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DC8B" w14:textId="77777777" w:rsidR="00790E54" w:rsidRDefault="00790E54" w:rsidP="00642BC0">
      <w:pPr>
        <w:pStyle w:val="ad"/>
      </w:pPr>
    </w:p>
    <w:p w14:paraId="2780EA47" w14:textId="77777777" w:rsidR="00790E54" w:rsidRDefault="00790E54">
      <w:pPr>
        <w:widowControl/>
        <w:rPr>
          <w:rFonts w:ascii="新細明體" w:hAnsi="新細明體"/>
          <w:b/>
          <w:kern w:val="2"/>
          <w:sz w:val="36"/>
          <w:szCs w:val="36"/>
        </w:rPr>
      </w:pPr>
      <w:r>
        <w:br w:type="page"/>
      </w:r>
    </w:p>
    <w:p w14:paraId="3AE4DCED" w14:textId="76369862" w:rsidR="008620A2" w:rsidRPr="004370A9" w:rsidRDefault="008620A2" w:rsidP="00642BC0">
      <w:pPr>
        <w:pStyle w:val="ad"/>
      </w:pPr>
      <w:r w:rsidRPr="004370A9">
        <w:rPr>
          <w:rFonts w:hint="eastAsia"/>
        </w:rPr>
        <w:lastRenderedPageBreak/>
        <w:t>陸、財政局主管</w:t>
      </w:r>
    </w:p>
    <w:p w14:paraId="78FC49A2" w14:textId="77965252" w:rsidR="008620A2" w:rsidRDefault="001B2473" w:rsidP="001C6C51">
      <w:pPr>
        <w:spacing w:line="500" w:lineRule="exact"/>
        <w:ind w:firstLineChars="200" w:firstLine="480"/>
        <w:jc w:val="both"/>
        <w:rPr>
          <w:rFonts w:ascii="標楷體" w:hAnsi="標楷體"/>
          <w:sz w:val="24"/>
          <w:szCs w:val="24"/>
        </w:rPr>
      </w:pPr>
      <w:r w:rsidRPr="001B2473">
        <w:rPr>
          <w:rFonts w:ascii="標楷體" w:hAnsi="標楷體" w:hint="eastAsia"/>
          <w:sz w:val="24"/>
          <w:szCs w:val="24"/>
        </w:rPr>
        <w:t>財政局主管計有公務機關2個，非營業特種基金單位1個。各該單位決算及附屬單位決算非營業部分之審核情形</w:t>
      </w:r>
      <w:r w:rsidR="00A934D8">
        <w:rPr>
          <w:rFonts w:ascii="標楷體" w:hAnsi="標楷體" w:hint="eastAsia"/>
          <w:sz w:val="24"/>
          <w:szCs w:val="24"/>
        </w:rPr>
        <w:t>如下</w:t>
      </w:r>
      <w:r w:rsidRPr="001B2473">
        <w:rPr>
          <w:rFonts w:ascii="標楷體" w:hAnsi="標楷體" w:hint="eastAsia"/>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008620A2" w:rsidRPr="004370A9">
        <w:rPr>
          <w:rFonts w:ascii="標楷體" w:hAnsi="標楷體" w:hint="eastAsia"/>
          <w:sz w:val="24"/>
          <w:szCs w:val="24"/>
        </w:rPr>
        <w:t>：</w:t>
      </w:r>
    </w:p>
    <w:p w14:paraId="01A1CE61" w14:textId="77777777" w:rsidR="008620A2" w:rsidRPr="0043615D" w:rsidRDefault="008620A2" w:rsidP="001C6C51">
      <w:pPr>
        <w:widowControl/>
        <w:spacing w:beforeLines="12" w:before="43" w:afterLines="12" w:after="43" w:line="480" w:lineRule="exact"/>
        <w:jc w:val="both"/>
        <w:rPr>
          <w:rFonts w:ascii="新細明體" w:hAnsi="新細明體"/>
          <w:b/>
          <w:kern w:val="2"/>
          <w:sz w:val="32"/>
          <w:szCs w:val="32"/>
        </w:rPr>
      </w:pPr>
      <w:r w:rsidRPr="0043615D">
        <w:rPr>
          <w:rFonts w:ascii="新細明體" w:hAnsi="新細明體" w:hint="eastAsia"/>
          <w:b/>
          <w:kern w:val="2"/>
          <w:sz w:val="32"/>
          <w:szCs w:val="32"/>
        </w:rPr>
        <w:t>一、單位決算部分</w:t>
      </w:r>
    </w:p>
    <w:p w14:paraId="377722E6" w14:textId="2CE85391" w:rsidR="008620A2" w:rsidRDefault="008620A2" w:rsidP="00242825">
      <w:pPr>
        <w:spacing w:line="500" w:lineRule="exact"/>
        <w:ind w:firstLineChars="200" w:firstLine="480"/>
        <w:jc w:val="both"/>
        <w:rPr>
          <w:rFonts w:ascii="標楷體" w:hAnsi="標楷體"/>
          <w:sz w:val="24"/>
          <w:szCs w:val="24"/>
        </w:rPr>
      </w:pPr>
      <w:r w:rsidRPr="00DB58F3">
        <w:rPr>
          <w:rFonts w:ascii="標楷體" w:hAnsi="標楷體" w:hint="eastAsia"/>
          <w:sz w:val="24"/>
          <w:szCs w:val="24"/>
        </w:rPr>
        <w:t>財政局主管包括財政局及稅捐稽徵處等2個機關</w:t>
      </w:r>
      <w:r>
        <w:rPr>
          <w:rFonts w:ascii="標楷體" w:hAnsi="標楷體" w:hint="eastAsia"/>
          <w:sz w:val="24"/>
          <w:szCs w:val="24"/>
        </w:rPr>
        <w:t>，</w:t>
      </w:r>
      <w:r w:rsidRPr="00DB58F3">
        <w:rPr>
          <w:rFonts w:ascii="標楷體" w:hAnsi="標楷體" w:hint="eastAsia"/>
          <w:sz w:val="24"/>
          <w:szCs w:val="24"/>
        </w:rPr>
        <w:t>掌理新北市財稅管理、庫款支付、菸酒金融、公產管理、稅捐稽徵等業務</w:t>
      </w:r>
      <w:r>
        <w:rPr>
          <w:rFonts w:ascii="標楷體" w:hAnsi="標楷體" w:hint="eastAsia"/>
          <w:sz w:val="24"/>
          <w:szCs w:val="24"/>
        </w:rPr>
        <w:t>。</w:t>
      </w:r>
      <w:r w:rsidRPr="00DB58F3">
        <w:rPr>
          <w:rFonts w:ascii="標楷體" w:hAnsi="標楷體" w:hint="eastAsia"/>
          <w:sz w:val="24"/>
          <w:szCs w:val="24"/>
        </w:rPr>
        <w:t>茲將1</w:t>
      </w:r>
      <w:r>
        <w:rPr>
          <w:rFonts w:ascii="標楷體" w:hAnsi="標楷體" w:hint="eastAsia"/>
          <w:sz w:val="24"/>
          <w:szCs w:val="24"/>
        </w:rPr>
        <w:t>1</w:t>
      </w:r>
      <w:r w:rsidR="00736129">
        <w:rPr>
          <w:rFonts w:ascii="標楷體" w:hAnsi="標楷體" w:hint="eastAsia"/>
          <w:sz w:val="24"/>
          <w:szCs w:val="24"/>
        </w:rPr>
        <w:t>4</w:t>
      </w:r>
      <w:r w:rsidRPr="00DB58F3">
        <w:rPr>
          <w:rFonts w:ascii="標楷體" w:hAnsi="標楷體" w:hint="eastAsia"/>
          <w:sz w:val="24"/>
          <w:szCs w:val="24"/>
        </w:rPr>
        <w:t>年度決算審核結果說明</w:t>
      </w:r>
      <w:r w:rsidR="00A934D8">
        <w:rPr>
          <w:rFonts w:ascii="標楷體" w:hAnsi="標楷體" w:hint="eastAsia"/>
          <w:sz w:val="24"/>
          <w:szCs w:val="24"/>
        </w:rPr>
        <w:t>如下</w:t>
      </w:r>
      <w:r>
        <w:rPr>
          <w:rFonts w:ascii="標楷體" w:hAnsi="標楷體" w:hint="eastAsia"/>
          <w:sz w:val="24"/>
          <w:szCs w:val="24"/>
        </w:rPr>
        <w:t>：</w:t>
      </w:r>
    </w:p>
    <w:p w14:paraId="7082AC37" w14:textId="77777777" w:rsidR="008620A2" w:rsidRPr="004370A9" w:rsidRDefault="008620A2" w:rsidP="00127FED">
      <w:pPr>
        <w:widowControl/>
        <w:spacing w:line="50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（一）計畫實施之查核</w:t>
      </w:r>
    </w:p>
    <w:p w14:paraId="6015BD67" w14:textId="0DD0AAB6" w:rsidR="008620A2" w:rsidRPr="004370A9" w:rsidRDefault="003F72E7" w:rsidP="001C6C51">
      <w:pPr>
        <w:spacing w:line="500" w:lineRule="exact"/>
        <w:ind w:firstLineChars="200" w:firstLine="480"/>
        <w:jc w:val="both"/>
        <w:rPr>
          <w:rFonts w:ascii="標楷體" w:hAnsi="標楷體"/>
          <w:sz w:val="24"/>
          <w:szCs w:val="24"/>
        </w:rPr>
      </w:pPr>
      <w:r w:rsidRPr="004370A9">
        <w:rPr>
          <w:rFonts w:ascii="標楷體" w:hAnsi="標楷體" w:hint="eastAsia"/>
          <w:sz w:val="24"/>
          <w:szCs w:val="24"/>
        </w:rPr>
        <w:t>業務計畫</w:t>
      </w:r>
      <w:r>
        <w:rPr>
          <w:rFonts w:ascii="標楷體" w:hAnsi="標楷體" w:hint="eastAsia"/>
          <w:sz w:val="24"/>
          <w:szCs w:val="24"/>
        </w:rPr>
        <w:t>8</w:t>
      </w:r>
      <w:r w:rsidRPr="004370A9">
        <w:rPr>
          <w:rFonts w:ascii="標楷體" w:hAnsi="標楷體" w:hint="eastAsia"/>
          <w:sz w:val="24"/>
          <w:szCs w:val="24"/>
        </w:rPr>
        <w:t>項，下分工作計畫</w:t>
      </w:r>
      <w:r>
        <w:rPr>
          <w:rFonts w:ascii="標楷體" w:hAnsi="標楷體" w:hint="eastAsia"/>
          <w:sz w:val="24"/>
          <w:szCs w:val="24"/>
        </w:rPr>
        <w:t>8</w:t>
      </w:r>
      <w:r w:rsidRPr="004370A9">
        <w:rPr>
          <w:rFonts w:ascii="標楷體" w:hAnsi="標楷體" w:hint="eastAsia"/>
          <w:sz w:val="24"/>
          <w:szCs w:val="24"/>
        </w:rPr>
        <w:t>項，包括</w:t>
      </w:r>
      <w:r>
        <w:rPr>
          <w:rFonts w:ascii="標楷體" w:hAnsi="標楷體" w:hint="eastAsia"/>
          <w:sz w:val="24"/>
          <w:szCs w:val="24"/>
        </w:rPr>
        <w:t>持續推動落實開源節流</w:t>
      </w:r>
      <w:r w:rsidR="00A54EDE">
        <w:rPr>
          <w:rFonts w:ascii="標楷體" w:hAnsi="標楷體" w:hint="eastAsia"/>
          <w:sz w:val="24"/>
          <w:szCs w:val="24"/>
        </w:rPr>
        <w:t>及</w:t>
      </w:r>
      <w:r>
        <w:rPr>
          <w:rFonts w:ascii="標楷體" w:hAnsi="標楷體" w:hint="eastAsia"/>
          <w:sz w:val="24"/>
          <w:szCs w:val="24"/>
        </w:rPr>
        <w:t>精進財務策略</w:t>
      </w:r>
      <w:r w:rsidR="00A54EDE">
        <w:rPr>
          <w:rFonts w:ascii="標楷體" w:hAnsi="標楷體" w:hint="eastAsia"/>
          <w:sz w:val="24"/>
          <w:szCs w:val="24"/>
        </w:rPr>
        <w:t>、</w:t>
      </w:r>
      <w:r w:rsidRPr="004370A9">
        <w:rPr>
          <w:rFonts w:ascii="標楷體" w:hAnsi="標楷體" w:hint="eastAsia"/>
          <w:sz w:val="24"/>
          <w:szCs w:val="24"/>
        </w:rPr>
        <w:t>提升</w:t>
      </w:r>
      <w:r>
        <w:rPr>
          <w:rFonts w:ascii="標楷體" w:hAnsi="標楷體" w:hint="eastAsia"/>
          <w:sz w:val="24"/>
          <w:szCs w:val="24"/>
        </w:rPr>
        <w:t>公</w:t>
      </w:r>
      <w:r w:rsidRPr="004370A9">
        <w:rPr>
          <w:rFonts w:ascii="標楷體" w:hAnsi="標楷體" w:hint="eastAsia"/>
          <w:sz w:val="24"/>
          <w:szCs w:val="24"/>
        </w:rPr>
        <w:t>產管理效能</w:t>
      </w:r>
      <w:r w:rsidR="00A54EDE">
        <w:rPr>
          <w:rFonts w:ascii="標楷體" w:hAnsi="標楷體" w:hint="eastAsia"/>
          <w:sz w:val="24"/>
          <w:szCs w:val="24"/>
        </w:rPr>
        <w:t>及</w:t>
      </w:r>
      <w:r>
        <w:rPr>
          <w:rFonts w:ascii="標楷體" w:hAnsi="標楷體" w:hint="eastAsia"/>
          <w:sz w:val="24"/>
          <w:szCs w:val="24"/>
        </w:rPr>
        <w:t>促進</w:t>
      </w:r>
      <w:r w:rsidRPr="004370A9">
        <w:rPr>
          <w:rFonts w:ascii="標楷體" w:hAnsi="標楷體" w:hint="eastAsia"/>
          <w:sz w:val="24"/>
          <w:szCs w:val="24"/>
        </w:rPr>
        <w:t>資產</w:t>
      </w:r>
      <w:r>
        <w:rPr>
          <w:rFonts w:ascii="標楷體" w:hAnsi="標楷體" w:hint="eastAsia"/>
          <w:sz w:val="24"/>
          <w:szCs w:val="24"/>
        </w:rPr>
        <w:t>活化運用</w:t>
      </w:r>
      <w:r w:rsidR="00A54EDE">
        <w:rPr>
          <w:rFonts w:ascii="標楷體" w:hAnsi="標楷體" w:hint="eastAsia"/>
          <w:sz w:val="24"/>
          <w:szCs w:val="24"/>
        </w:rPr>
        <w:t>、</w:t>
      </w:r>
      <w:r w:rsidRPr="004370A9">
        <w:rPr>
          <w:rFonts w:ascii="標楷體" w:hAnsi="標楷體" w:hint="eastAsia"/>
          <w:sz w:val="24"/>
          <w:szCs w:val="24"/>
        </w:rPr>
        <w:t>加強菸酒</w:t>
      </w:r>
      <w:r>
        <w:rPr>
          <w:rFonts w:ascii="標楷體" w:hAnsi="標楷體" w:hint="eastAsia"/>
          <w:sz w:val="24"/>
          <w:szCs w:val="24"/>
        </w:rPr>
        <w:t>管理</w:t>
      </w:r>
      <w:r w:rsidR="00A54EDE">
        <w:rPr>
          <w:rFonts w:ascii="標楷體" w:hAnsi="標楷體" w:hint="eastAsia"/>
          <w:sz w:val="24"/>
          <w:szCs w:val="24"/>
        </w:rPr>
        <w:t>、</w:t>
      </w:r>
      <w:r>
        <w:rPr>
          <w:rFonts w:ascii="標楷體" w:hAnsi="標楷體" w:hint="eastAsia"/>
          <w:sz w:val="24"/>
          <w:szCs w:val="24"/>
        </w:rPr>
        <w:t>督導基層金融</w:t>
      </w:r>
      <w:r w:rsidR="00A54EDE">
        <w:rPr>
          <w:rFonts w:ascii="標楷體" w:hAnsi="標楷體" w:hint="eastAsia"/>
          <w:sz w:val="24"/>
          <w:szCs w:val="24"/>
        </w:rPr>
        <w:t>、</w:t>
      </w:r>
      <w:r>
        <w:rPr>
          <w:rFonts w:ascii="標楷體" w:hAnsi="標楷體" w:hint="eastAsia"/>
          <w:sz w:val="24"/>
          <w:szCs w:val="24"/>
        </w:rPr>
        <w:t>落實稅捐稽徵</w:t>
      </w:r>
      <w:r w:rsidRPr="004370A9">
        <w:rPr>
          <w:rFonts w:ascii="標楷體" w:hAnsi="標楷體" w:hint="eastAsia"/>
          <w:sz w:val="24"/>
          <w:szCs w:val="24"/>
        </w:rPr>
        <w:t>等重要施政項目，</w:t>
      </w:r>
      <w:r w:rsidRPr="004370A9">
        <w:rPr>
          <w:rFonts w:ascii="標楷體" w:hAnsi="標楷體" w:hint="eastAsia"/>
          <w:sz w:val="24"/>
          <w:szCs w:val="24"/>
          <w:lang w:eastAsia="zh-HK"/>
        </w:rPr>
        <w:t>其中已執行完成者</w:t>
      </w:r>
      <w:r w:rsidR="00736129">
        <w:rPr>
          <w:rFonts w:ascii="標楷體" w:hAnsi="標楷體"/>
          <w:sz w:val="24"/>
          <w:szCs w:val="24"/>
        </w:rPr>
        <w:t>7</w:t>
      </w:r>
      <w:r w:rsidRPr="004370A9">
        <w:rPr>
          <w:rFonts w:ascii="標楷體" w:hAnsi="標楷體"/>
          <w:sz w:val="24"/>
          <w:szCs w:val="24"/>
        </w:rPr>
        <w:t>項，尚在執行者</w:t>
      </w:r>
      <w:r w:rsidR="00736129">
        <w:rPr>
          <w:rFonts w:ascii="標楷體" w:hAnsi="標楷體"/>
          <w:sz w:val="24"/>
          <w:szCs w:val="24"/>
        </w:rPr>
        <w:t>1</w:t>
      </w:r>
      <w:r w:rsidRPr="004370A9">
        <w:rPr>
          <w:rFonts w:ascii="標楷體" w:hAnsi="標楷體"/>
          <w:sz w:val="24"/>
          <w:szCs w:val="24"/>
        </w:rPr>
        <w:t>項，</w:t>
      </w:r>
      <w:r w:rsidR="0085718C" w:rsidRPr="0085718C">
        <w:rPr>
          <w:rFonts w:ascii="標楷體" w:hAnsi="標楷體" w:hint="eastAsia"/>
          <w:sz w:val="24"/>
          <w:szCs w:val="24"/>
        </w:rPr>
        <w:t>主要係新北市汐止區行政中心外牆防水整修工程採購案與委託設計監造技術服務案，歷經1</w:t>
      </w:r>
      <w:r w:rsidR="0085718C" w:rsidRPr="0085718C">
        <w:rPr>
          <w:rFonts w:ascii="標楷體" w:hAnsi="標楷體"/>
          <w:sz w:val="24"/>
          <w:szCs w:val="24"/>
        </w:rPr>
        <w:t>0</w:t>
      </w:r>
      <w:r w:rsidR="0085718C" w:rsidRPr="0085718C">
        <w:rPr>
          <w:rFonts w:ascii="標楷體" w:hAnsi="標楷體" w:hint="eastAsia"/>
          <w:sz w:val="24"/>
          <w:szCs w:val="24"/>
        </w:rPr>
        <w:t>次招標均無人投標而流標，尚在執行中</w:t>
      </w:r>
      <w:r w:rsidR="008620A2" w:rsidRPr="007E729D">
        <w:rPr>
          <w:rFonts w:ascii="標楷體" w:hAnsi="標楷體" w:hint="eastAsia"/>
          <w:sz w:val="24"/>
          <w:szCs w:val="24"/>
        </w:rPr>
        <w:t>。</w:t>
      </w:r>
    </w:p>
    <w:p w14:paraId="3D100956" w14:textId="77777777" w:rsidR="008620A2" w:rsidRPr="004370A9" w:rsidRDefault="008620A2" w:rsidP="00127FED">
      <w:pPr>
        <w:widowControl/>
        <w:spacing w:beforeLines="7" w:before="25" w:afterLines="7" w:after="25" w:line="500" w:lineRule="exact"/>
        <w:ind w:firstLineChars="180" w:firstLine="504"/>
        <w:jc w:val="both"/>
        <w:rPr>
          <w:rFonts w:ascii="標楷體" w:hAnsi="標楷體"/>
          <w:b/>
          <w:snapToGrid w:val="0"/>
          <w:kern w:val="2"/>
          <w:sz w:val="28"/>
          <w:szCs w:val="24"/>
        </w:rPr>
      </w:pPr>
      <w:r w:rsidRPr="004370A9">
        <w:rPr>
          <w:rFonts w:ascii="標楷體" w:hAnsi="標楷體" w:hint="eastAsia"/>
          <w:b/>
          <w:snapToGrid w:val="0"/>
          <w:kern w:val="2"/>
          <w:sz w:val="28"/>
          <w:szCs w:val="24"/>
        </w:rPr>
        <w:t>（二）預算執行之審核</w:t>
      </w:r>
    </w:p>
    <w:p w14:paraId="2B42F7D1" w14:textId="11A18862" w:rsidR="008620A2" w:rsidRPr="004370A9" w:rsidRDefault="008620A2" w:rsidP="001C6C51">
      <w:pPr>
        <w:spacing w:beforeLines="10" w:before="36" w:afterLines="10" w:after="36" w:line="490" w:lineRule="exact"/>
        <w:ind w:firstLineChars="200" w:firstLine="496"/>
        <w:jc w:val="both"/>
        <w:rPr>
          <w:rFonts w:ascii="標楷體" w:hAnsi="標楷體"/>
          <w:spacing w:val="4"/>
          <w:sz w:val="24"/>
          <w:szCs w:val="24"/>
        </w:rPr>
      </w:pPr>
      <w:r w:rsidRPr="004370A9">
        <w:rPr>
          <w:rFonts w:ascii="標楷體" w:hAnsi="標楷體" w:hint="eastAsia"/>
          <w:spacing w:val="4"/>
          <w:sz w:val="24"/>
          <w:szCs w:val="24"/>
        </w:rPr>
        <w:t>1.</w:t>
      </w:r>
      <w:r w:rsidR="004E484A" w:rsidRPr="003C3A1A">
        <w:rPr>
          <w:rFonts w:ascii="標楷體" w:hAnsi="標楷體"/>
          <w:spacing w:val="4"/>
          <w:sz w:val="24"/>
          <w:szCs w:val="24"/>
        </w:rPr>
        <w:t>歲入預算數1,408億230萬餘元，決算審核結果，審定實現數1,427億8,845萬餘元，應收保留數1億459萬餘元，主要係</w:t>
      </w:r>
      <w:r w:rsidR="004E484A" w:rsidRPr="003C3A1A">
        <w:rPr>
          <w:rFonts w:ascii="標楷體" w:hAnsi="標楷體" w:hint="eastAsia"/>
          <w:spacing w:val="4"/>
          <w:sz w:val="24"/>
          <w:szCs w:val="24"/>
        </w:rPr>
        <w:t>違反菸酒管理法案件罰鍰，尚待繼續收繳，及中央補助地方政府推動學校午餐採用國產可溯源食材經費尾款尚未核撥</w:t>
      </w:r>
      <w:r w:rsidR="004E484A" w:rsidRPr="003C3A1A">
        <w:rPr>
          <w:rFonts w:ascii="標楷體" w:hAnsi="標楷體"/>
          <w:spacing w:val="4"/>
          <w:sz w:val="24"/>
          <w:szCs w:val="24"/>
        </w:rPr>
        <w:t>；合計決算審定數為1,428億9,304萬餘元，較預算增加20億9,074萬餘元（1.48％），</w:t>
      </w:r>
      <w:r w:rsidR="003C3A1A" w:rsidRPr="003C3A1A">
        <w:rPr>
          <w:rFonts w:ascii="標楷體" w:hAnsi="標楷體" w:hint="eastAsia"/>
          <w:spacing w:val="4"/>
          <w:sz w:val="24"/>
          <w:szCs w:val="24"/>
        </w:rPr>
        <w:t>主要係獲配之中央統籌分配稅款</w:t>
      </w:r>
      <w:r w:rsidR="003C3A1A" w:rsidRPr="003C3A1A">
        <w:rPr>
          <w:rFonts w:ascii="標楷體" w:hAnsi="標楷體"/>
          <w:spacing w:val="4"/>
          <w:sz w:val="24"/>
          <w:szCs w:val="24"/>
        </w:rPr>
        <w:t>較預計增加</w:t>
      </w:r>
      <w:r w:rsidR="00613357">
        <w:rPr>
          <w:rFonts w:ascii="標楷體" w:hAnsi="標楷體" w:hint="eastAsia"/>
          <w:spacing w:val="4"/>
          <w:sz w:val="24"/>
          <w:szCs w:val="24"/>
        </w:rPr>
        <w:t>所致</w:t>
      </w:r>
      <w:r w:rsidR="003C3A1A" w:rsidRPr="003C3A1A">
        <w:rPr>
          <w:rFonts w:ascii="標楷體" w:hAnsi="標楷體" w:hint="eastAsia"/>
          <w:spacing w:val="4"/>
          <w:sz w:val="24"/>
          <w:szCs w:val="24"/>
        </w:rPr>
        <w:t>。</w:t>
      </w:r>
    </w:p>
    <w:p w14:paraId="4329E305" w14:textId="2473292A" w:rsidR="008620A2" w:rsidRPr="0073706B" w:rsidRDefault="008620A2" w:rsidP="00C3314D">
      <w:pPr>
        <w:spacing w:beforeLines="10" w:before="36" w:afterLines="10" w:after="36" w:line="480" w:lineRule="exact"/>
        <w:ind w:firstLineChars="200" w:firstLine="480"/>
        <w:jc w:val="both"/>
        <w:rPr>
          <w:rFonts w:ascii="標楷體" w:hAnsi="標楷體"/>
          <w:spacing w:val="4"/>
          <w:sz w:val="24"/>
          <w:szCs w:val="24"/>
        </w:rPr>
      </w:pPr>
      <w:r w:rsidRPr="004370A9">
        <w:rPr>
          <w:rFonts w:ascii="標楷體" w:hAnsi="標楷體" w:hint="eastAsia"/>
          <w:sz w:val="24"/>
          <w:szCs w:val="24"/>
        </w:rPr>
        <w:t>2.</w:t>
      </w:r>
      <w:r w:rsidR="00AB2FD1" w:rsidRPr="00A73644">
        <w:rPr>
          <w:rFonts w:ascii="標楷體" w:hAnsi="標楷體"/>
          <w:spacing w:val="4"/>
          <w:sz w:val="24"/>
          <w:szCs w:val="24"/>
        </w:rPr>
        <w:t>以前年度歲入轉入數計4,502萬餘元，決算審核結果，審定實現數138萬餘元（3.07％）；減免（註銷）數1,999萬餘元（44.41％），主要係</w:t>
      </w:r>
      <w:r w:rsidR="00A73644" w:rsidRPr="00A73644">
        <w:rPr>
          <w:rFonts w:ascii="標楷體" w:hAnsi="標楷體" w:hint="eastAsia"/>
          <w:spacing w:val="4"/>
          <w:sz w:val="24"/>
          <w:szCs w:val="24"/>
        </w:rPr>
        <w:t>違反菸酒管理法案件罰鍰取得債權憑證，依規定辦理註銷</w:t>
      </w:r>
      <w:r w:rsidR="00AB2FD1" w:rsidRPr="00A73644">
        <w:rPr>
          <w:rFonts w:ascii="標楷體" w:hAnsi="標楷體"/>
          <w:spacing w:val="4"/>
          <w:sz w:val="24"/>
          <w:szCs w:val="24"/>
        </w:rPr>
        <w:t>；應收保留數2,364萬餘元（52.52％），主要係</w:t>
      </w:r>
      <w:r w:rsidR="00A73644" w:rsidRPr="00A73644">
        <w:rPr>
          <w:rFonts w:ascii="標楷體" w:hAnsi="標楷體" w:hint="eastAsia"/>
          <w:spacing w:val="4"/>
          <w:sz w:val="24"/>
          <w:szCs w:val="24"/>
        </w:rPr>
        <w:t>違反菸酒管理法案件罰鍰，尚待繼續收繳</w:t>
      </w:r>
      <w:r w:rsidR="00AB2FD1" w:rsidRPr="00A73644">
        <w:rPr>
          <w:rFonts w:ascii="標楷體" w:hAnsi="標楷體"/>
          <w:spacing w:val="4"/>
          <w:sz w:val="24"/>
          <w:szCs w:val="24"/>
        </w:rPr>
        <w:t>。</w:t>
      </w:r>
    </w:p>
    <w:p w14:paraId="38F70558" w14:textId="39DC22C6" w:rsidR="008620A2" w:rsidRPr="00CB5B60" w:rsidRDefault="008620A2" w:rsidP="00C3314D">
      <w:pPr>
        <w:spacing w:line="480" w:lineRule="exact"/>
        <w:ind w:firstLineChars="200" w:firstLine="496"/>
        <w:jc w:val="both"/>
        <w:rPr>
          <w:rFonts w:ascii="標楷體" w:hAnsi="標楷體"/>
          <w:spacing w:val="4"/>
          <w:sz w:val="24"/>
          <w:szCs w:val="24"/>
          <w:highlight w:val="yellow"/>
        </w:rPr>
      </w:pPr>
      <w:r w:rsidRPr="0073706B">
        <w:rPr>
          <w:rFonts w:ascii="標楷體" w:hAnsi="標楷體" w:hint="eastAsia"/>
          <w:spacing w:val="4"/>
          <w:sz w:val="24"/>
          <w:szCs w:val="24"/>
        </w:rPr>
        <w:t>3.</w:t>
      </w:r>
      <w:r w:rsidR="00AB2FD1" w:rsidRPr="00DF7039">
        <w:rPr>
          <w:rFonts w:ascii="標楷體" w:hAnsi="標楷體"/>
          <w:spacing w:val="4"/>
          <w:sz w:val="24"/>
          <w:szCs w:val="24"/>
        </w:rPr>
        <w:t>歲出原編列預算數41億4,168萬餘元，</w:t>
      </w:r>
      <w:r w:rsidR="00DF7039" w:rsidRPr="00690AEB">
        <w:rPr>
          <w:rFonts w:ascii="標楷體" w:hAnsi="標楷體" w:hint="eastAsia"/>
          <w:spacing w:val="4"/>
          <w:sz w:val="24"/>
          <w:szCs w:val="24"/>
        </w:rPr>
        <w:t>因人事費不足</w:t>
      </w:r>
      <w:r w:rsidR="006B751F">
        <w:rPr>
          <w:rFonts w:ascii="標楷體" w:hAnsi="標楷體" w:hint="eastAsia"/>
          <w:spacing w:val="4"/>
          <w:sz w:val="24"/>
          <w:szCs w:val="24"/>
        </w:rPr>
        <w:t>，</w:t>
      </w:r>
      <w:r w:rsidR="00DF7039" w:rsidRPr="00690AEB">
        <w:rPr>
          <w:rFonts w:ascii="標楷體" w:hAnsi="標楷體" w:hint="eastAsia"/>
          <w:spacing w:val="4"/>
          <w:sz w:val="24"/>
          <w:szCs w:val="24"/>
        </w:rPr>
        <w:t>申請</w:t>
      </w:r>
      <w:r w:rsidR="00AB2FD1" w:rsidRPr="00DF7039">
        <w:rPr>
          <w:rFonts w:ascii="標楷體" w:hAnsi="標楷體"/>
          <w:spacing w:val="4"/>
          <w:sz w:val="24"/>
          <w:szCs w:val="24"/>
        </w:rPr>
        <w:t>動支各類員工待遇準備600萬元，合計41億4,768萬餘元，決算審核結果，審定實現數39億3,461萬餘元（94.86％），應付保留數485萬餘元（0.12％），保留原因詳「（一）計畫實施之查</w:t>
      </w:r>
      <w:r w:rsidR="00AB2FD1" w:rsidRPr="00DF7039">
        <w:rPr>
          <w:rFonts w:ascii="標楷體" w:hAnsi="標楷體"/>
          <w:spacing w:val="4"/>
          <w:sz w:val="24"/>
          <w:szCs w:val="24"/>
        </w:rPr>
        <w:lastRenderedPageBreak/>
        <w:t>核」說明；合計決算審定數為39億3,946萬餘元，預算賸餘2億821萬餘元（5.02％），</w:t>
      </w:r>
      <w:r w:rsidR="00AB2FD1" w:rsidRPr="00B64396">
        <w:rPr>
          <w:rFonts w:ascii="標楷體" w:hAnsi="標楷體"/>
          <w:spacing w:val="6"/>
          <w:sz w:val="24"/>
          <w:szCs w:val="24"/>
        </w:rPr>
        <w:t>主要係</w:t>
      </w:r>
      <w:r w:rsidR="00CB5B60" w:rsidRPr="00B64396">
        <w:rPr>
          <w:rFonts w:ascii="標楷體" w:hAnsi="標楷體" w:hint="eastAsia"/>
          <w:spacing w:val="6"/>
          <w:sz w:val="24"/>
          <w:szCs w:val="24"/>
        </w:rPr>
        <w:t>依</w:t>
      </w:r>
      <w:r w:rsidR="006B751F">
        <w:rPr>
          <w:rFonts w:ascii="標楷體" w:hAnsi="標楷體" w:hint="eastAsia"/>
          <w:spacing w:val="6"/>
          <w:sz w:val="24"/>
          <w:szCs w:val="24"/>
        </w:rPr>
        <w:t>新北市</w:t>
      </w:r>
      <w:r w:rsidR="00CB5B60" w:rsidRPr="00B64396">
        <w:rPr>
          <w:rFonts w:ascii="標楷體" w:hAnsi="標楷體" w:hint="eastAsia"/>
          <w:spacing w:val="6"/>
          <w:sz w:val="24"/>
          <w:szCs w:val="24"/>
        </w:rPr>
        <w:t>公共建設用地基金年度財務狀況，以市有不動產作價撥入基金較預計減少之結餘</w:t>
      </w:r>
      <w:r w:rsidR="00AB2FD1" w:rsidRPr="00DF7039">
        <w:rPr>
          <w:rFonts w:ascii="標楷體" w:hAnsi="標楷體"/>
          <w:spacing w:val="4"/>
          <w:sz w:val="24"/>
          <w:szCs w:val="24"/>
        </w:rPr>
        <w:t>。</w:t>
      </w:r>
    </w:p>
    <w:p w14:paraId="7794C23A" w14:textId="40CA2A95" w:rsidR="008620A2" w:rsidRPr="00AB7D00" w:rsidRDefault="008620A2" w:rsidP="002C7DC8">
      <w:pPr>
        <w:spacing w:line="490" w:lineRule="exact"/>
        <w:ind w:firstLineChars="200" w:firstLine="496"/>
        <w:jc w:val="both"/>
        <w:rPr>
          <w:rFonts w:ascii="標楷體" w:hAnsi="標楷體"/>
          <w:spacing w:val="4"/>
          <w:sz w:val="24"/>
          <w:szCs w:val="24"/>
        </w:rPr>
      </w:pPr>
      <w:r w:rsidRPr="00AB7D00">
        <w:rPr>
          <w:rFonts w:ascii="標楷體" w:hAnsi="標楷體" w:hint="eastAsia"/>
          <w:spacing w:val="4"/>
          <w:sz w:val="24"/>
          <w:szCs w:val="24"/>
        </w:rPr>
        <w:t>4.</w:t>
      </w:r>
      <w:r w:rsidR="00AB2FD1" w:rsidRPr="00AB7D00">
        <w:rPr>
          <w:rFonts w:ascii="標楷體" w:hAnsi="標楷體"/>
          <w:spacing w:val="4"/>
          <w:sz w:val="24"/>
          <w:szCs w:val="24"/>
        </w:rPr>
        <w:t>以前年度歲出轉入數計4,635萬餘元，決算審核結果，審定實現數1,545萬餘元（33.33％）；減免（註銷）數581萬餘元（12.55％），主要係</w:t>
      </w:r>
      <w:r w:rsidR="00AB7D00" w:rsidRPr="00AB7D00">
        <w:rPr>
          <w:rFonts w:ascii="標楷體" w:hAnsi="標楷體" w:hint="eastAsia"/>
          <w:spacing w:val="4"/>
          <w:sz w:val="24"/>
          <w:szCs w:val="24"/>
        </w:rPr>
        <w:t>新北市新莊區新莊市場（原文高二）B</w:t>
      </w:r>
      <w:r w:rsidR="00AB7D00" w:rsidRPr="00AB7D00">
        <w:rPr>
          <w:rFonts w:ascii="標楷體" w:hAnsi="標楷體"/>
          <w:spacing w:val="4"/>
          <w:sz w:val="24"/>
          <w:szCs w:val="24"/>
        </w:rPr>
        <w:t>OT</w:t>
      </w:r>
      <w:r w:rsidR="00AB7D00" w:rsidRPr="00AB7D00">
        <w:rPr>
          <w:rFonts w:ascii="標楷體" w:hAnsi="標楷體" w:hint="eastAsia"/>
          <w:spacing w:val="4"/>
          <w:sz w:val="24"/>
          <w:szCs w:val="24"/>
        </w:rPr>
        <w:t>案促參前置作業服務案，因計畫變更未實施，辦理註銷</w:t>
      </w:r>
      <w:r w:rsidR="00AB2FD1" w:rsidRPr="00AB7D00">
        <w:rPr>
          <w:rFonts w:ascii="標楷體" w:hAnsi="標楷體"/>
          <w:spacing w:val="4"/>
          <w:sz w:val="24"/>
          <w:szCs w:val="24"/>
        </w:rPr>
        <w:t>；應付保留數2,508萬餘元（54.12％），主要係</w:t>
      </w:r>
      <w:r w:rsidR="00AB7D00" w:rsidRPr="00AB7D00">
        <w:rPr>
          <w:rFonts w:ascii="標楷體" w:hAnsi="標楷體" w:hint="eastAsia"/>
          <w:spacing w:val="4"/>
          <w:sz w:val="24"/>
          <w:szCs w:val="24"/>
        </w:rPr>
        <w:t>新北市瑞芳區醫療長照設施大樓B</w:t>
      </w:r>
      <w:r w:rsidR="00AB7D00" w:rsidRPr="00AB7D00">
        <w:rPr>
          <w:rFonts w:ascii="標楷體" w:hAnsi="標楷體"/>
          <w:spacing w:val="4"/>
          <w:sz w:val="24"/>
          <w:szCs w:val="24"/>
        </w:rPr>
        <w:t>OT+BTO</w:t>
      </w:r>
      <w:r w:rsidR="00AB7D00" w:rsidRPr="00AB7D00">
        <w:rPr>
          <w:rFonts w:ascii="標楷體" w:hAnsi="標楷體" w:hint="eastAsia"/>
          <w:spacing w:val="4"/>
          <w:sz w:val="24"/>
          <w:szCs w:val="24"/>
        </w:rPr>
        <w:t>案合約期程跨年度</w:t>
      </w:r>
      <w:r w:rsidR="003733A7">
        <w:rPr>
          <w:rFonts w:ascii="標楷體" w:hAnsi="標楷體" w:hint="eastAsia"/>
          <w:spacing w:val="4"/>
          <w:sz w:val="24"/>
          <w:szCs w:val="24"/>
        </w:rPr>
        <w:t>、</w:t>
      </w:r>
      <w:r w:rsidR="00AB7D00" w:rsidRPr="00AB7D00">
        <w:rPr>
          <w:rFonts w:ascii="標楷體" w:hAnsi="標楷體" w:hint="eastAsia"/>
          <w:spacing w:val="4"/>
          <w:sz w:val="24"/>
          <w:szCs w:val="24"/>
        </w:rPr>
        <w:t>新北市金山區溫泉及觀光遊憩設施B</w:t>
      </w:r>
      <w:r w:rsidR="00AB7D00" w:rsidRPr="00AB7D00">
        <w:rPr>
          <w:rFonts w:ascii="標楷體" w:hAnsi="標楷體"/>
          <w:spacing w:val="4"/>
          <w:sz w:val="24"/>
          <w:szCs w:val="24"/>
        </w:rPr>
        <w:t>OT+ROT</w:t>
      </w:r>
      <w:r w:rsidR="00AB7D00" w:rsidRPr="00AB7D00">
        <w:rPr>
          <w:rFonts w:ascii="標楷體" w:hAnsi="標楷體" w:hint="eastAsia"/>
          <w:spacing w:val="4"/>
          <w:sz w:val="24"/>
          <w:szCs w:val="24"/>
        </w:rPr>
        <w:t>前置作業計畫委託專業服務案尚在執行中，須保留續予執行</w:t>
      </w:r>
      <w:r w:rsidR="00AB2FD1" w:rsidRPr="00AB7D00">
        <w:rPr>
          <w:rFonts w:ascii="標楷體" w:hAnsi="標楷體"/>
          <w:spacing w:val="4"/>
          <w:sz w:val="24"/>
          <w:szCs w:val="24"/>
        </w:rPr>
        <w:t>。</w:t>
      </w:r>
    </w:p>
    <w:p w14:paraId="20EC334B" w14:textId="77777777" w:rsidR="008620A2" w:rsidRPr="004370A9" w:rsidRDefault="008620A2" w:rsidP="00E67C6B">
      <w:pPr>
        <w:widowControl/>
        <w:spacing w:beforeLines="8" w:before="28" w:afterLines="8" w:after="28" w:line="480" w:lineRule="exact"/>
        <w:ind w:firstLineChars="180" w:firstLine="504"/>
        <w:jc w:val="both"/>
        <w:rPr>
          <w:rFonts w:ascii="標楷體" w:hAnsi="標楷體"/>
          <w:b/>
          <w:snapToGrid w:val="0"/>
          <w:kern w:val="2"/>
          <w:sz w:val="28"/>
          <w:szCs w:val="24"/>
        </w:rPr>
      </w:pPr>
      <w:r w:rsidRPr="003E7879">
        <w:rPr>
          <w:rFonts w:ascii="標楷體" w:hAnsi="標楷體" w:hint="eastAsia"/>
          <w:b/>
          <w:snapToGrid w:val="0"/>
          <w:kern w:val="2"/>
          <w:sz w:val="28"/>
          <w:szCs w:val="24"/>
        </w:rPr>
        <w:t>（三）融資調度之審核</w:t>
      </w:r>
    </w:p>
    <w:p w14:paraId="2078806A" w14:textId="338D4ACC" w:rsidR="008620A2" w:rsidRPr="001D37D0" w:rsidRDefault="008620A2" w:rsidP="002C7DC8">
      <w:pPr>
        <w:widowControl/>
        <w:spacing w:line="490" w:lineRule="exact"/>
        <w:ind w:firstLineChars="200" w:firstLine="480"/>
        <w:jc w:val="both"/>
        <w:rPr>
          <w:rFonts w:ascii="標楷體" w:hAnsi="標楷體"/>
          <w:snapToGrid w:val="0"/>
          <w:kern w:val="2"/>
          <w:sz w:val="24"/>
          <w:szCs w:val="24"/>
        </w:rPr>
      </w:pPr>
      <w:r w:rsidRPr="004370A9">
        <w:rPr>
          <w:rFonts w:ascii="標楷體" w:hAnsi="標楷體" w:hint="eastAsia"/>
          <w:snapToGrid w:val="0"/>
          <w:kern w:val="2"/>
          <w:sz w:val="24"/>
          <w:szCs w:val="24"/>
        </w:rPr>
        <w:t>1.</w:t>
      </w:r>
      <w:r w:rsidR="003F72E7" w:rsidRPr="001B5EE3">
        <w:rPr>
          <w:rFonts w:ascii="標楷體" w:hAnsi="標楷體" w:hint="eastAsia"/>
          <w:spacing w:val="-2"/>
          <w:sz w:val="24"/>
          <w:szCs w:val="24"/>
        </w:rPr>
        <w:t>債務之舉借</w:t>
      </w:r>
      <w:r w:rsidR="003F72E7" w:rsidRPr="001B5EE3">
        <w:rPr>
          <w:rFonts w:ascii="標楷體" w:hAnsi="標楷體" w:hint="eastAsia"/>
          <w:snapToGrid w:val="0"/>
          <w:spacing w:val="-2"/>
          <w:kern w:val="2"/>
          <w:sz w:val="24"/>
          <w:szCs w:val="24"/>
        </w:rPr>
        <w:t>預算數</w:t>
      </w:r>
      <w:r w:rsidR="00FD0D4F">
        <w:rPr>
          <w:rFonts w:ascii="標楷體" w:hAnsi="標楷體" w:hint="eastAsia"/>
          <w:snapToGrid w:val="0"/>
          <w:spacing w:val="-2"/>
          <w:kern w:val="2"/>
          <w:sz w:val="24"/>
          <w:szCs w:val="24"/>
        </w:rPr>
        <w:t>1</w:t>
      </w:r>
      <w:r w:rsidR="00FD0D4F">
        <w:rPr>
          <w:rFonts w:ascii="標楷體" w:hAnsi="標楷體"/>
          <w:snapToGrid w:val="0"/>
          <w:spacing w:val="-2"/>
          <w:kern w:val="2"/>
          <w:sz w:val="24"/>
          <w:szCs w:val="24"/>
        </w:rPr>
        <w:t>,144</w:t>
      </w:r>
      <w:r w:rsidR="003F72E7" w:rsidRPr="001B5EE3">
        <w:rPr>
          <w:rFonts w:ascii="標楷體" w:hAnsi="標楷體" w:hint="eastAsia"/>
          <w:snapToGrid w:val="0"/>
          <w:spacing w:val="-2"/>
          <w:kern w:val="2"/>
          <w:sz w:val="24"/>
          <w:szCs w:val="24"/>
        </w:rPr>
        <w:t>億元，決算審核結果，審定實現數</w:t>
      </w:r>
      <w:r w:rsidR="00FD0D4F">
        <w:rPr>
          <w:rFonts w:ascii="標楷體" w:hAnsi="標楷體"/>
          <w:snapToGrid w:val="0"/>
          <w:spacing w:val="-2"/>
          <w:kern w:val="2"/>
          <w:sz w:val="24"/>
          <w:szCs w:val="24"/>
        </w:rPr>
        <w:t>972</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8F6744">
        <w:rPr>
          <w:rFonts w:ascii="標楷體" w:hAnsi="標楷體"/>
          <w:snapToGrid w:val="0"/>
          <w:spacing w:val="-2"/>
          <w:kern w:val="2"/>
          <w:sz w:val="24"/>
          <w:szCs w:val="24"/>
        </w:rPr>
        <w:t>85</w:t>
      </w:r>
      <w:r w:rsidR="00346667" w:rsidRPr="001B5EE3">
        <w:rPr>
          <w:rFonts w:ascii="標楷體" w:hAnsi="標楷體"/>
          <w:snapToGrid w:val="0"/>
          <w:spacing w:val="-2"/>
          <w:kern w:val="2"/>
          <w:sz w:val="24"/>
          <w:szCs w:val="24"/>
        </w:rPr>
        <w:t>.</w:t>
      </w:r>
      <w:r w:rsidR="008F6744">
        <w:rPr>
          <w:rFonts w:ascii="標楷體" w:hAnsi="標楷體"/>
          <w:snapToGrid w:val="0"/>
          <w:spacing w:val="-2"/>
          <w:kern w:val="2"/>
          <w:sz w:val="24"/>
          <w:szCs w:val="24"/>
        </w:rPr>
        <w:t>01</w:t>
      </w:r>
      <w:r w:rsidR="003F72E7" w:rsidRPr="001B5EE3">
        <w:rPr>
          <w:rFonts w:ascii="標楷體" w:hAnsi="標楷體" w:hint="eastAsia"/>
          <w:snapToGrid w:val="0"/>
          <w:spacing w:val="-2"/>
          <w:kern w:val="2"/>
          <w:sz w:val="24"/>
          <w:szCs w:val="24"/>
        </w:rPr>
        <w:t>％），較預算減少</w:t>
      </w:r>
      <w:r w:rsidR="00FD0D4F">
        <w:rPr>
          <w:rFonts w:ascii="標楷體" w:hAnsi="標楷體"/>
          <w:snapToGrid w:val="0"/>
          <w:spacing w:val="-2"/>
          <w:kern w:val="2"/>
          <w:sz w:val="24"/>
          <w:szCs w:val="24"/>
        </w:rPr>
        <w:t>171</w:t>
      </w:r>
      <w:r w:rsidR="003F72E7" w:rsidRPr="001B5EE3">
        <w:rPr>
          <w:rFonts w:ascii="標楷體" w:hAnsi="標楷體" w:hint="eastAsia"/>
          <w:snapToGrid w:val="0"/>
          <w:spacing w:val="-2"/>
          <w:kern w:val="2"/>
          <w:sz w:val="24"/>
          <w:szCs w:val="24"/>
        </w:rPr>
        <w:t>億</w:t>
      </w:r>
      <w:r w:rsidR="00A06896" w:rsidRPr="001B5EE3">
        <w:rPr>
          <w:rFonts w:ascii="標楷體" w:hAnsi="標楷體" w:hint="eastAsia"/>
          <w:snapToGrid w:val="0"/>
          <w:spacing w:val="-2"/>
          <w:kern w:val="2"/>
          <w:sz w:val="24"/>
          <w:szCs w:val="24"/>
        </w:rPr>
        <w:t>5</w:t>
      </w:r>
      <w:r w:rsidR="00A06896" w:rsidRPr="001B5EE3">
        <w:rPr>
          <w:rFonts w:ascii="標楷體" w:hAnsi="標楷體"/>
          <w:snapToGrid w:val="0"/>
          <w:spacing w:val="-2"/>
          <w:kern w:val="2"/>
          <w:sz w:val="24"/>
          <w:szCs w:val="24"/>
        </w:rPr>
        <w:t>,000</w:t>
      </w:r>
      <w:r w:rsidR="00A06896" w:rsidRPr="001B5EE3">
        <w:rPr>
          <w:rFonts w:ascii="標楷體" w:hAnsi="標楷體" w:hint="eastAsia"/>
          <w:snapToGrid w:val="0"/>
          <w:spacing w:val="-2"/>
          <w:kern w:val="2"/>
          <w:sz w:val="24"/>
          <w:szCs w:val="24"/>
        </w:rPr>
        <w:t>萬</w:t>
      </w:r>
      <w:r w:rsidR="003F72E7" w:rsidRPr="001B5EE3">
        <w:rPr>
          <w:rFonts w:ascii="標楷體" w:hAnsi="標楷體" w:hint="eastAsia"/>
          <w:snapToGrid w:val="0"/>
          <w:spacing w:val="-2"/>
          <w:kern w:val="2"/>
          <w:sz w:val="24"/>
          <w:szCs w:val="24"/>
        </w:rPr>
        <w:t>元（</w:t>
      </w:r>
      <w:r w:rsidR="008F6744">
        <w:rPr>
          <w:rFonts w:ascii="標楷體" w:hAnsi="標楷體"/>
          <w:snapToGrid w:val="0"/>
          <w:spacing w:val="-2"/>
          <w:kern w:val="2"/>
          <w:sz w:val="24"/>
          <w:szCs w:val="24"/>
        </w:rPr>
        <w:t>14</w:t>
      </w:r>
      <w:r w:rsidR="00346667" w:rsidRPr="001B5EE3">
        <w:rPr>
          <w:rFonts w:ascii="標楷體" w:hAnsi="標楷體"/>
          <w:snapToGrid w:val="0"/>
          <w:spacing w:val="-2"/>
          <w:kern w:val="2"/>
          <w:sz w:val="24"/>
          <w:szCs w:val="24"/>
        </w:rPr>
        <w:t>.</w:t>
      </w:r>
      <w:r w:rsidR="008F6744">
        <w:rPr>
          <w:rFonts w:ascii="標楷體" w:hAnsi="標楷體"/>
          <w:snapToGrid w:val="0"/>
          <w:spacing w:val="-2"/>
          <w:kern w:val="2"/>
          <w:sz w:val="24"/>
          <w:szCs w:val="24"/>
        </w:rPr>
        <w:t>99</w:t>
      </w:r>
      <w:r w:rsidR="003F72E7" w:rsidRPr="001B5EE3">
        <w:rPr>
          <w:rFonts w:ascii="標楷體" w:hAnsi="標楷體" w:hint="eastAsia"/>
          <w:snapToGrid w:val="0"/>
          <w:spacing w:val="-2"/>
          <w:kern w:val="2"/>
          <w:sz w:val="24"/>
          <w:szCs w:val="24"/>
        </w:rPr>
        <w:t>％），</w:t>
      </w:r>
      <w:r w:rsidR="003F72E7" w:rsidRPr="00690AEB">
        <w:rPr>
          <w:rFonts w:ascii="標楷體" w:hAnsi="標楷體" w:hint="eastAsia"/>
          <w:snapToGrid w:val="0"/>
          <w:spacing w:val="-2"/>
          <w:kern w:val="2"/>
          <w:sz w:val="24"/>
          <w:szCs w:val="24"/>
        </w:rPr>
        <w:t>主要係配合歲出經費之支用減少舉借所致</w:t>
      </w:r>
      <w:r w:rsidRPr="001B5EE3">
        <w:rPr>
          <w:rFonts w:ascii="標楷體" w:hAnsi="標楷體" w:hint="eastAsia"/>
          <w:snapToGrid w:val="0"/>
          <w:spacing w:val="-2"/>
          <w:kern w:val="2"/>
          <w:sz w:val="24"/>
          <w:szCs w:val="24"/>
        </w:rPr>
        <w:t>。</w:t>
      </w:r>
    </w:p>
    <w:p w14:paraId="49E336E0" w14:textId="49938436" w:rsidR="008620A2" w:rsidRPr="001D6E70" w:rsidRDefault="008620A2" w:rsidP="002C7DC8">
      <w:pPr>
        <w:widowControl/>
        <w:spacing w:line="490" w:lineRule="exact"/>
        <w:ind w:firstLineChars="200" w:firstLine="448"/>
        <w:jc w:val="both"/>
        <w:rPr>
          <w:rFonts w:ascii="標楷體" w:hAnsi="標楷體"/>
          <w:snapToGrid w:val="0"/>
          <w:kern w:val="2"/>
          <w:sz w:val="24"/>
          <w:szCs w:val="24"/>
        </w:rPr>
      </w:pPr>
      <w:r w:rsidRPr="004F674B">
        <w:rPr>
          <w:rFonts w:ascii="標楷體" w:hAnsi="標楷體" w:hint="eastAsia"/>
          <w:snapToGrid w:val="0"/>
          <w:spacing w:val="-8"/>
          <w:kern w:val="2"/>
          <w:sz w:val="24"/>
          <w:szCs w:val="24"/>
        </w:rPr>
        <w:t>2.</w:t>
      </w:r>
      <w:r w:rsidR="003F72E7" w:rsidRPr="001D6E70">
        <w:rPr>
          <w:rFonts w:ascii="標楷體" w:hAnsi="標楷體" w:hint="eastAsia"/>
          <w:snapToGrid w:val="0"/>
          <w:kern w:val="2"/>
          <w:sz w:val="24"/>
          <w:szCs w:val="24"/>
        </w:rPr>
        <w:t>債務之</w:t>
      </w:r>
      <w:r w:rsidR="003F72E7" w:rsidRPr="00066D57">
        <w:rPr>
          <w:rFonts w:ascii="標楷體" w:hAnsi="標楷體" w:hint="eastAsia"/>
          <w:snapToGrid w:val="0"/>
          <w:spacing w:val="-8"/>
          <w:kern w:val="2"/>
          <w:sz w:val="24"/>
          <w:szCs w:val="24"/>
        </w:rPr>
        <w:t>償還預算數</w:t>
      </w:r>
      <w:r w:rsidR="00380570">
        <w:rPr>
          <w:rFonts w:ascii="標楷體" w:hAnsi="標楷體" w:hint="eastAsia"/>
          <w:snapToGrid w:val="0"/>
          <w:spacing w:val="-8"/>
          <w:kern w:val="2"/>
          <w:sz w:val="24"/>
          <w:szCs w:val="24"/>
        </w:rPr>
        <w:t>1</w:t>
      </w:r>
      <w:r w:rsidR="00380570">
        <w:rPr>
          <w:rFonts w:ascii="標楷體" w:hAnsi="標楷體"/>
          <w:snapToGrid w:val="0"/>
          <w:spacing w:val="-8"/>
          <w:kern w:val="2"/>
          <w:sz w:val="24"/>
          <w:szCs w:val="24"/>
        </w:rPr>
        <w:t>,009</w:t>
      </w:r>
      <w:r w:rsidR="003F72E7" w:rsidRPr="00066D57">
        <w:rPr>
          <w:rFonts w:ascii="標楷體" w:hAnsi="標楷體" w:hint="eastAsia"/>
          <w:snapToGrid w:val="0"/>
          <w:spacing w:val="-8"/>
          <w:kern w:val="2"/>
          <w:sz w:val="24"/>
          <w:szCs w:val="24"/>
        </w:rPr>
        <w:t>億元，決算審核結果，審定實現數</w:t>
      </w:r>
      <w:r w:rsidR="00380570">
        <w:rPr>
          <w:rFonts w:ascii="標楷體" w:hAnsi="標楷體"/>
          <w:snapToGrid w:val="0"/>
          <w:spacing w:val="-8"/>
          <w:kern w:val="2"/>
          <w:sz w:val="24"/>
          <w:szCs w:val="24"/>
        </w:rPr>
        <w:t>953</w:t>
      </w:r>
      <w:r w:rsidR="003F72E7" w:rsidRPr="00066D57">
        <w:rPr>
          <w:rFonts w:ascii="標楷體" w:hAnsi="標楷體" w:hint="eastAsia"/>
          <w:snapToGrid w:val="0"/>
          <w:spacing w:val="-8"/>
          <w:kern w:val="2"/>
          <w:sz w:val="24"/>
          <w:szCs w:val="24"/>
        </w:rPr>
        <w:t>億</w:t>
      </w:r>
      <w:r w:rsidR="00380570">
        <w:rPr>
          <w:rFonts w:ascii="標楷體" w:hAnsi="標楷體" w:hint="eastAsia"/>
          <w:snapToGrid w:val="0"/>
          <w:spacing w:val="-8"/>
          <w:kern w:val="2"/>
          <w:sz w:val="24"/>
          <w:szCs w:val="24"/>
        </w:rPr>
        <w:t>5</w:t>
      </w:r>
      <w:r w:rsidR="00A06896" w:rsidRPr="00066D57">
        <w:rPr>
          <w:rFonts w:ascii="標楷體" w:hAnsi="標楷體"/>
          <w:snapToGrid w:val="0"/>
          <w:spacing w:val="-8"/>
          <w:kern w:val="2"/>
          <w:sz w:val="24"/>
          <w:szCs w:val="24"/>
        </w:rPr>
        <w:t>,</w:t>
      </w:r>
      <w:r w:rsidR="00380570">
        <w:rPr>
          <w:rFonts w:ascii="標楷體" w:hAnsi="標楷體"/>
          <w:snapToGrid w:val="0"/>
          <w:spacing w:val="-8"/>
          <w:kern w:val="2"/>
          <w:sz w:val="24"/>
          <w:szCs w:val="24"/>
        </w:rPr>
        <w:t>00</w:t>
      </w:r>
      <w:r w:rsidR="00A06896" w:rsidRPr="00066D57">
        <w:rPr>
          <w:rFonts w:ascii="標楷體" w:hAnsi="標楷體"/>
          <w:snapToGrid w:val="0"/>
          <w:spacing w:val="-8"/>
          <w:kern w:val="2"/>
          <w:sz w:val="24"/>
          <w:szCs w:val="24"/>
        </w:rPr>
        <w:t>0</w:t>
      </w:r>
      <w:r w:rsidR="00A06896" w:rsidRPr="00066D57">
        <w:rPr>
          <w:rFonts w:ascii="標楷體" w:hAnsi="標楷體" w:hint="eastAsia"/>
          <w:snapToGrid w:val="0"/>
          <w:spacing w:val="-8"/>
          <w:kern w:val="2"/>
          <w:sz w:val="24"/>
          <w:szCs w:val="24"/>
        </w:rPr>
        <w:t>萬</w:t>
      </w:r>
      <w:r w:rsidR="003F72E7" w:rsidRPr="00066D57">
        <w:rPr>
          <w:rFonts w:ascii="標楷體" w:hAnsi="標楷體" w:hint="eastAsia"/>
          <w:snapToGrid w:val="0"/>
          <w:spacing w:val="-8"/>
          <w:kern w:val="2"/>
          <w:sz w:val="24"/>
          <w:szCs w:val="24"/>
        </w:rPr>
        <w:t>元（</w:t>
      </w:r>
      <w:r w:rsidR="00346667" w:rsidRPr="00066D57">
        <w:rPr>
          <w:rFonts w:ascii="標楷體" w:hAnsi="標楷體"/>
          <w:snapToGrid w:val="0"/>
          <w:spacing w:val="-8"/>
          <w:kern w:val="2"/>
          <w:sz w:val="24"/>
          <w:szCs w:val="24"/>
        </w:rPr>
        <w:t>9</w:t>
      </w:r>
      <w:r w:rsidR="009A04D6">
        <w:rPr>
          <w:rFonts w:ascii="標楷體" w:hAnsi="標楷體"/>
          <w:snapToGrid w:val="0"/>
          <w:spacing w:val="-8"/>
          <w:kern w:val="2"/>
          <w:sz w:val="24"/>
          <w:szCs w:val="24"/>
        </w:rPr>
        <w:t>4</w:t>
      </w:r>
      <w:r w:rsidR="00346667" w:rsidRPr="00066D57">
        <w:rPr>
          <w:rFonts w:ascii="標楷體" w:hAnsi="標楷體"/>
          <w:snapToGrid w:val="0"/>
          <w:spacing w:val="-8"/>
          <w:kern w:val="2"/>
          <w:sz w:val="24"/>
          <w:szCs w:val="24"/>
        </w:rPr>
        <w:t>.</w:t>
      </w:r>
      <w:r w:rsidR="00380570">
        <w:rPr>
          <w:rFonts w:ascii="標楷體" w:hAnsi="標楷體"/>
          <w:snapToGrid w:val="0"/>
          <w:spacing w:val="-8"/>
          <w:kern w:val="2"/>
          <w:sz w:val="24"/>
          <w:szCs w:val="24"/>
        </w:rPr>
        <w:t>50</w:t>
      </w:r>
      <w:r w:rsidR="003F72E7" w:rsidRPr="00066D57">
        <w:rPr>
          <w:rFonts w:ascii="標楷體" w:hAnsi="標楷體" w:hint="eastAsia"/>
          <w:snapToGrid w:val="0"/>
          <w:spacing w:val="-8"/>
          <w:kern w:val="2"/>
          <w:sz w:val="24"/>
          <w:szCs w:val="24"/>
        </w:rPr>
        <w:t>％）</w:t>
      </w:r>
      <w:r w:rsidRPr="00066D57">
        <w:rPr>
          <w:rFonts w:ascii="標楷體" w:hAnsi="標楷體" w:hint="eastAsia"/>
          <w:snapToGrid w:val="0"/>
          <w:spacing w:val="-8"/>
          <w:kern w:val="2"/>
          <w:sz w:val="24"/>
          <w:szCs w:val="24"/>
        </w:rPr>
        <w:t>。</w:t>
      </w:r>
    </w:p>
    <w:p w14:paraId="2CBD1D72" w14:textId="77777777" w:rsidR="008620A2" w:rsidRPr="00B77F51" w:rsidRDefault="008620A2" w:rsidP="009B212D">
      <w:pPr>
        <w:widowControl/>
        <w:spacing w:beforeLines="8" w:before="28" w:afterLines="8" w:after="28" w:line="520"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二、</w:t>
      </w:r>
      <w:r w:rsidRPr="0073706B">
        <w:rPr>
          <w:rFonts w:ascii="標楷體" w:hAnsi="標楷體" w:hint="eastAsia"/>
          <w:b/>
          <w:snapToGrid w:val="0"/>
          <w:kern w:val="2"/>
          <w:sz w:val="32"/>
          <w:szCs w:val="24"/>
        </w:rPr>
        <w:t>附屬單位決算非營業部分</w:t>
      </w:r>
    </w:p>
    <w:p w14:paraId="6E1F71BB" w14:textId="45486638" w:rsidR="008620A2" w:rsidRPr="00B77F51" w:rsidRDefault="008620A2" w:rsidP="002C7DC8">
      <w:pPr>
        <w:widowControl/>
        <w:spacing w:line="490" w:lineRule="exact"/>
        <w:ind w:firstLineChars="200" w:firstLine="480"/>
        <w:jc w:val="both"/>
        <w:rPr>
          <w:rFonts w:ascii="標楷體" w:hAnsi="標楷體"/>
          <w:snapToGrid w:val="0"/>
          <w:kern w:val="2"/>
          <w:sz w:val="24"/>
          <w:szCs w:val="24"/>
        </w:rPr>
      </w:pPr>
      <w:r>
        <w:rPr>
          <w:rFonts w:ascii="標楷體" w:hAnsi="標楷體" w:hint="eastAsia"/>
          <w:snapToGrid w:val="0"/>
          <w:kern w:val="2"/>
          <w:sz w:val="24"/>
          <w:szCs w:val="24"/>
        </w:rPr>
        <w:t>財政</w:t>
      </w:r>
      <w:r w:rsidRPr="00B77F51">
        <w:rPr>
          <w:rFonts w:ascii="標楷體" w:hAnsi="標楷體" w:hint="eastAsia"/>
          <w:snapToGrid w:val="0"/>
          <w:kern w:val="2"/>
          <w:sz w:val="24"/>
          <w:szCs w:val="24"/>
        </w:rPr>
        <w:t>局主管</w:t>
      </w:r>
      <w:r>
        <w:rPr>
          <w:rFonts w:ascii="標楷體" w:hAnsi="標楷體" w:hint="eastAsia"/>
          <w:snapToGrid w:val="0"/>
          <w:kern w:val="2"/>
          <w:sz w:val="24"/>
          <w:szCs w:val="24"/>
        </w:rPr>
        <w:t>僅資本計畫基金</w:t>
      </w:r>
      <w:r w:rsidR="00481675">
        <w:rPr>
          <w:rFonts w:ascii="標楷體" w:hAnsi="標楷體" w:hint="eastAsia"/>
          <w:sz w:val="24"/>
          <w:szCs w:val="24"/>
        </w:rPr>
        <w:t>－</w:t>
      </w:r>
      <w:r w:rsidR="008221FB">
        <w:rPr>
          <w:rFonts w:ascii="標楷體" w:hAnsi="標楷體" w:hint="eastAsia"/>
          <w:snapToGrid w:val="0"/>
          <w:kern w:val="2"/>
          <w:sz w:val="24"/>
          <w:szCs w:val="24"/>
        </w:rPr>
        <w:t>新北市</w:t>
      </w:r>
      <w:r w:rsidRPr="00B77F51">
        <w:rPr>
          <w:rFonts w:ascii="標楷體" w:hAnsi="標楷體" w:hint="eastAsia"/>
          <w:snapToGrid w:val="0"/>
          <w:kern w:val="2"/>
          <w:sz w:val="24"/>
          <w:szCs w:val="24"/>
        </w:rPr>
        <w:t>公共建設用地基金</w:t>
      </w:r>
      <w:r>
        <w:rPr>
          <w:rFonts w:ascii="標楷體" w:hAnsi="標楷體" w:hint="eastAsia"/>
          <w:snapToGrid w:val="0"/>
          <w:kern w:val="2"/>
          <w:sz w:val="24"/>
          <w:szCs w:val="24"/>
        </w:rPr>
        <w:t>1個</w:t>
      </w:r>
      <w:r w:rsidRPr="00B77F51">
        <w:rPr>
          <w:rFonts w:ascii="標楷體" w:hAnsi="標楷體" w:hint="eastAsia"/>
          <w:snapToGrid w:val="0"/>
          <w:kern w:val="2"/>
          <w:sz w:val="24"/>
          <w:szCs w:val="24"/>
        </w:rPr>
        <w:t>單位。茲將</w:t>
      </w:r>
      <w:r>
        <w:rPr>
          <w:rFonts w:ascii="標楷體" w:hAnsi="標楷體" w:hint="eastAsia"/>
          <w:snapToGrid w:val="0"/>
          <w:kern w:val="2"/>
          <w:sz w:val="24"/>
          <w:szCs w:val="24"/>
        </w:rPr>
        <w:t>1</w:t>
      </w:r>
      <w:r w:rsidR="00346667">
        <w:rPr>
          <w:rFonts w:ascii="標楷體" w:hAnsi="標楷體"/>
          <w:snapToGrid w:val="0"/>
          <w:kern w:val="2"/>
          <w:sz w:val="24"/>
          <w:szCs w:val="24"/>
        </w:rPr>
        <w:t>1</w:t>
      </w:r>
      <w:r w:rsidR="00F7609D">
        <w:rPr>
          <w:rFonts w:ascii="標楷體" w:hAnsi="標楷體"/>
          <w:snapToGrid w:val="0"/>
          <w:kern w:val="2"/>
          <w:sz w:val="24"/>
          <w:szCs w:val="24"/>
        </w:rPr>
        <w:t>4</w:t>
      </w:r>
      <w:r w:rsidRPr="00B77F51">
        <w:rPr>
          <w:rFonts w:ascii="標楷體" w:hAnsi="標楷體" w:hint="eastAsia"/>
          <w:snapToGrid w:val="0"/>
          <w:kern w:val="2"/>
          <w:sz w:val="24"/>
          <w:szCs w:val="24"/>
        </w:rPr>
        <w:t>年度決算審核結果說明</w:t>
      </w:r>
      <w:r w:rsidR="00A934D8">
        <w:rPr>
          <w:rFonts w:ascii="標楷體" w:hAnsi="標楷體" w:hint="eastAsia"/>
          <w:snapToGrid w:val="0"/>
          <w:kern w:val="2"/>
          <w:sz w:val="24"/>
          <w:szCs w:val="24"/>
        </w:rPr>
        <w:t>如下</w:t>
      </w:r>
      <w:r w:rsidRPr="00B77F51">
        <w:rPr>
          <w:rFonts w:ascii="標楷體" w:hAnsi="標楷體" w:hint="eastAsia"/>
          <w:snapToGrid w:val="0"/>
          <w:kern w:val="2"/>
          <w:sz w:val="24"/>
          <w:szCs w:val="24"/>
        </w:rPr>
        <w:t>：</w:t>
      </w:r>
    </w:p>
    <w:p w14:paraId="475B1289" w14:textId="5194D32E" w:rsidR="008620A2" w:rsidRPr="00346667" w:rsidRDefault="008620A2" w:rsidP="009B212D">
      <w:pPr>
        <w:pStyle w:val="af9"/>
        <w:widowControl/>
        <w:numPr>
          <w:ilvl w:val="0"/>
          <w:numId w:val="30"/>
        </w:numPr>
        <w:spacing w:beforeLines="8" w:before="28" w:afterLines="8" w:after="28" w:line="480" w:lineRule="exact"/>
        <w:ind w:leftChars="0" w:left="1373" w:hanging="868"/>
        <w:jc w:val="both"/>
        <w:rPr>
          <w:rFonts w:ascii="標楷體" w:hAnsi="標楷體"/>
          <w:b/>
          <w:snapToGrid w:val="0"/>
          <w:sz w:val="28"/>
          <w:szCs w:val="24"/>
        </w:rPr>
      </w:pPr>
      <w:r w:rsidRPr="00346667">
        <w:rPr>
          <w:rFonts w:ascii="標楷體" w:hAnsi="標楷體" w:hint="eastAsia"/>
          <w:b/>
          <w:snapToGrid w:val="0"/>
          <w:sz w:val="28"/>
          <w:szCs w:val="24"/>
        </w:rPr>
        <w:t>計畫實施之查核</w:t>
      </w:r>
    </w:p>
    <w:p w14:paraId="0BE2F880" w14:textId="2BC6486B" w:rsidR="008620A2" w:rsidRPr="00B77F51" w:rsidRDefault="003F72E7" w:rsidP="002C7DC8">
      <w:pPr>
        <w:widowControl/>
        <w:spacing w:line="490" w:lineRule="exact"/>
        <w:ind w:firstLineChars="180" w:firstLine="432"/>
        <w:jc w:val="both"/>
        <w:rPr>
          <w:rFonts w:ascii="標楷體" w:hAnsi="標楷體"/>
          <w:snapToGrid w:val="0"/>
          <w:kern w:val="2"/>
          <w:sz w:val="24"/>
          <w:szCs w:val="24"/>
        </w:rPr>
      </w:pPr>
      <w:r w:rsidRPr="007022B4">
        <w:rPr>
          <w:rFonts w:ascii="標楷體" w:hAnsi="標楷體" w:hint="eastAsia"/>
          <w:snapToGrid w:val="0"/>
          <w:kern w:val="2"/>
          <w:sz w:val="24"/>
          <w:szCs w:val="24"/>
        </w:rPr>
        <w:t>業務計畫主要有公共建設用地計畫、公共建設興建計畫、償債計畫及一般行政管理</w:t>
      </w:r>
      <w:r w:rsidR="00066D57">
        <w:rPr>
          <w:rFonts w:ascii="標楷體" w:hAnsi="標楷體" w:hint="eastAsia"/>
          <w:snapToGrid w:val="0"/>
          <w:kern w:val="2"/>
          <w:sz w:val="24"/>
          <w:szCs w:val="24"/>
        </w:rPr>
        <w:t>計畫</w:t>
      </w:r>
      <w:r w:rsidRPr="007022B4">
        <w:rPr>
          <w:rFonts w:ascii="標楷體" w:hAnsi="標楷體" w:hint="eastAsia"/>
          <w:snapToGrid w:val="0"/>
          <w:kern w:val="2"/>
          <w:sz w:val="24"/>
          <w:szCs w:val="24"/>
        </w:rPr>
        <w:t>等4項，實施結果，</w:t>
      </w:r>
      <w:r w:rsidR="00294428" w:rsidRPr="00294428">
        <w:rPr>
          <w:rFonts w:ascii="標楷體" w:hAnsi="標楷體" w:hint="eastAsia"/>
          <w:snapToGrid w:val="0"/>
          <w:kern w:val="2"/>
          <w:sz w:val="24"/>
          <w:szCs w:val="24"/>
        </w:rPr>
        <w:t>計有公共建設</w:t>
      </w:r>
      <w:r w:rsidR="00F7609D">
        <w:rPr>
          <w:rFonts w:ascii="標楷體" w:hAnsi="標楷體" w:hint="eastAsia"/>
          <w:snapToGrid w:val="0"/>
          <w:kern w:val="2"/>
          <w:sz w:val="24"/>
          <w:szCs w:val="24"/>
        </w:rPr>
        <w:t>興建</w:t>
      </w:r>
      <w:r w:rsidR="00294428" w:rsidRPr="00294428">
        <w:rPr>
          <w:rFonts w:ascii="標楷體" w:hAnsi="標楷體" w:hint="eastAsia"/>
          <w:snapToGrid w:val="0"/>
          <w:kern w:val="2"/>
          <w:sz w:val="24"/>
          <w:szCs w:val="24"/>
        </w:rPr>
        <w:t>計畫</w:t>
      </w:r>
      <w:r w:rsidR="00066D57">
        <w:rPr>
          <w:rFonts w:ascii="標楷體" w:hAnsi="標楷體" w:hint="eastAsia"/>
          <w:snapToGrid w:val="0"/>
          <w:kern w:val="2"/>
          <w:sz w:val="24"/>
          <w:szCs w:val="24"/>
        </w:rPr>
        <w:t>、</w:t>
      </w:r>
      <w:r w:rsidR="00294428" w:rsidRPr="00294428">
        <w:rPr>
          <w:rFonts w:ascii="標楷體" w:hAnsi="標楷體" w:hint="eastAsia"/>
          <w:snapToGrid w:val="0"/>
          <w:kern w:val="2"/>
          <w:sz w:val="24"/>
          <w:szCs w:val="24"/>
        </w:rPr>
        <w:t>償債計畫</w:t>
      </w:r>
      <w:r w:rsidR="00066D57" w:rsidRPr="007022B4">
        <w:rPr>
          <w:rFonts w:ascii="標楷體" w:hAnsi="標楷體" w:hint="eastAsia"/>
          <w:snapToGrid w:val="0"/>
          <w:kern w:val="2"/>
          <w:sz w:val="24"/>
          <w:szCs w:val="24"/>
        </w:rPr>
        <w:t>及一般行政管理</w:t>
      </w:r>
      <w:r w:rsidR="00066D57">
        <w:rPr>
          <w:rFonts w:ascii="標楷體" w:hAnsi="標楷體" w:hint="eastAsia"/>
          <w:snapToGrid w:val="0"/>
          <w:kern w:val="2"/>
          <w:sz w:val="24"/>
          <w:szCs w:val="24"/>
        </w:rPr>
        <w:t>計畫</w:t>
      </w:r>
      <w:r w:rsidR="00294428" w:rsidRPr="00294428">
        <w:rPr>
          <w:rFonts w:ascii="標楷體" w:hAnsi="標楷體" w:hint="eastAsia"/>
          <w:snapToGrid w:val="0"/>
          <w:kern w:val="2"/>
          <w:sz w:val="24"/>
          <w:szCs w:val="24"/>
        </w:rPr>
        <w:t>等</w:t>
      </w:r>
      <w:r w:rsidR="00066D57">
        <w:rPr>
          <w:rFonts w:ascii="標楷體" w:hAnsi="標楷體"/>
          <w:snapToGrid w:val="0"/>
          <w:kern w:val="2"/>
          <w:sz w:val="24"/>
          <w:szCs w:val="24"/>
        </w:rPr>
        <w:t>3</w:t>
      </w:r>
      <w:r w:rsidR="00294428" w:rsidRPr="00294428">
        <w:rPr>
          <w:rFonts w:ascii="標楷體" w:hAnsi="標楷體" w:hint="eastAsia"/>
          <w:snapToGrid w:val="0"/>
          <w:kern w:val="2"/>
          <w:sz w:val="24"/>
          <w:szCs w:val="24"/>
        </w:rPr>
        <w:t>項</w:t>
      </w:r>
      <w:r w:rsidR="00294428">
        <w:rPr>
          <w:rFonts w:ascii="標楷體" w:hAnsi="標楷體" w:hint="eastAsia"/>
          <w:snapToGrid w:val="0"/>
          <w:kern w:val="2"/>
          <w:sz w:val="24"/>
          <w:szCs w:val="24"/>
        </w:rPr>
        <w:t>，因</w:t>
      </w:r>
      <w:r w:rsidR="0059352D" w:rsidRPr="0059352D">
        <w:rPr>
          <w:rFonts w:ascii="標楷體" w:hAnsi="標楷體" w:hint="eastAsia"/>
          <w:snapToGrid w:val="0"/>
          <w:kern w:val="2"/>
          <w:sz w:val="24"/>
          <w:szCs w:val="24"/>
        </w:rPr>
        <w:t>淡水河北側沿河平面道路工程執行中，預付款尚未核銷轉正</w:t>
      </w:r>
      <w:r w:rsidR="00294428">
        <w:rPr>
          <w:rFonts w:ascii="標楷體" w:hAnsi="標楷體" w:hint="eastAsia"/>
          <w:snapToGrid w:val="0"/>
          <w:kern w:val="2"/>
          <w:sz w:val="24"/>
          <w:szCs w:val="24"/>
        </w:rPr>
        <w:t>；</w:t>
      </w:r>
      <w:r w:rsidR="0059352D" w:rsidRPr="0059352D">
        <w:rPr>
          <w:rFonts w:ascii="標楷體" w:hAnsi="標楷體" w:hint="eastAsia"/>
          <w:snapToGrid w:val="0"/>
          <w:kern w:val="2"/>
          <w:sz w:val="24"/>
          <w:szCs w:val="24"/>
        </w:rPr>
        <w:t>依借款契約屆期之還本金額及償債計畫所定還本金額較預計減少</w:t>
      </w:r>
      <w:r w:rsidR="00066D57">
        <w:rPr>
          <w:rFonts w:ascii="標楷體" w:hAnsi="標楷體" w:hint="eastAsia"/>
          <w:snapToGrid w:val="0"/>
          <w:kern w:val="2"/>
          <w:sz w:val="24"/>
          <w:szCs w:val="24"/>
        </w:rPr>
        <w:t>，致未達預計目標</w:t>
      </w:r>
      <w:r w:rsidR="008620A2" w:rsidRPr="007022B4">
        <w:rPr>
          <w:rFonts w:ascii="標楷體" w:hAnsi="標楷體" w:hint="eastAsia"/>
          <w:snapToGrid w:val="0"/>
          <w:kern w:val="2"/>
          <w:sz w:val="24"/>
          <w:szCs w:val="24"/>
        </w:rPr>
        <w:t>。</w:t>
      </w:r>
    </w:p>
    <w:p w14:paraId="1D63FB1A" w14:textId="77777777" w:rsidR="008620A2" w:rsidRPr="00B77F51" w:rsidRDefault="008620A2" w:rsidP="009B212D">
      <w:pPr>
        <w:widowControl/>
        <w:spacing w:beforeLines="8" w:before="28" w:afterLines="8" w:after="28" w:line="490" w:lineRule="exact"/>
        <w:ind w:firstLineChars="180" w:firstLine="504"/>
        <w:jc w:val="both"/>
        <w:rPr>
          <w:rFonts w:ascii="標楷體" w:hAnsi="標楷體"/>
          <w:b/>
          <w:snapToGrid w:val="0"/>
          <w:kern w:val="2"/>
          <w:sz w:val="28"/>
          <w:szCs w:val="24"/>
        </w:rPr>
      </w:pPr>
      <w:r w:rsidRPr="00B77F51">
        <w:rPr>
          <w:rFonts w:ascii="標楷體" w:hAnsi="標楷體" w:hint="eastAsia"/>
          <w:b/>
          <w:snapToGrid w:val="0"/>
          <w:kern w:val="2"/>
          <w:sz w:val="28"/>
          <w:szCs w:val="24"/>
        </w:rPr>
        <w:t>（二）餘絀之審定</w:t>
      </w:r>
    </w:p>
    <w:p w14:paraId="1FA4DB8E" w14:textId="3EC7AB30" w:rsidR="008620A2" w:rsidRPr="00B77F51" w:rsidRDefault="003F72E7" w:rsidP="002C7DC8">
      <w:pPr>
        <w:widowControl/>
        <w:spacing w:line="490" w:lineRule="exact"/>
        <w:ind w:firstLineChars="200" w:firstLine="504"/>
        <w:jc w:val="both"/>
        <w:rPr>
          <w:rFonts w:ascii="標楷體" w:hAnsi="標楷體"/>
          <w:snapToGrid w:val="0"/>
          <w:kern w:val="2"/>
          <w:sz w:val="24"/>
          <w:szCs w:val="24"/>
        </w:rPr>
      </w:pPr>
      <w:r w:rsidRPr="00AD0CF6">
        <w:rPr>
          <w:rFonts w:ascii="標楷體" w:hAnsi="標楷體" w:hint="eastAsia"/>
          <w:snapToGrid w:val="0"/>
          <w:spacing w:val="6"/>
          <w:kern w:val="2"/>
          <w:sz w:val="24"/>
          <w:szCs w:val="24"/>
        </w:rPr>
        <w:t>決</w:t>
      </w:r>
      <w:r w:rsidRPr="0073706B">
        <w:rPr>
          <w:rFonts w:ascii="標楷體" w:hAnsi="標楷體" w:hint="eastAsia"/>
          <w:snapToGrid w:val="0"/>
          <w:kern w:val="2"/>
          <w:sz w:val="24"/>
          <w:szCs w:val="24"/>
        </w:rPr>
        <w:t>算審核結果，</w:t>
      </w:r>
      <w:r w:rsidR="00520ABA" w:rsidRPr="00520ABA">
        <w:rPr>
          <w:rFonts w:ascii="標楷體" w:hAnsi="標楷體" w:hint="eastAsia"/>
          <w:snapToGrid w:val="0"/>
          <w:kern w:val="2"/>
          <w:sz w:val="24"/>
          <w:szCs w:val="24"/>
        </w:rPr>
        <w:t>審定賸餘</w:t>
      </w:r>
      <w:r w:rsidR="00520ABA" w:rsidRPr="00520ABA">
        <w:rPr>
          <w:rFonts w:ascii="標楷體" w:hAnsi="標楷體"/>
          <w:snapToGrid w:val="0"/>
          <w:kern w:val="2"/>
          <w:sz w:val="24"/>
          <w:szCs w:val="24"/>
        </w:rPr>
        <w:t>74</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1,601</w:t>
      </w:r>
      <w:r w:rsidR="00520ABA" w:rsidRPr="00520ABA">
        <w:rPr>
          <w:rFonts w:ascii="標楷體" w:hAnsi="標楷體" w:hint="eastAsia"/>
          <w:snapToGrid w:val="0"/>
          <w:kern w:val="2"/>
          <w:sz w:val="24"/>
          <w:szCs w:val="24"/>
        </w:rPr>
        <w:t>萬餘元，較預算賸餘</w:t>
      </w:r>
      <w:r w:rsidR="00520ABA" w:rsidRPr="00520ABA">
        <w:rPr>
          <w:rFonts w:ascii="標楷體" w:hAnsi="標楷體"/>
          <w:snapToGrid w:val="0"/>
          <w:kern w:val="2"/>
          <w:sz w:val="24"/>
          <w:szCs w:val="24"/>
        </w:rPr>
        <w:t>19</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440</w:t>
      </w:r>
      <w:r w:rsidR="00520ABA" w:rsidRPr="00520ABA">
        <w:rPr>
          <w:rFonts w:ascii="標楷體" w:hAnsi="標楷體" w:hint="eastAsia"/>
          <w:snapToGrid w:val="0"/>
          <w:kern w:val="2"/>
          <w:sz w:val="24"/>
          <w:szCs w:val="24"/>
        </w:rPr>
        <w:t>萬餘元，增加</w:t>
      </w:r>
      <w:r w:rsidR="00520ABA" w:rsidRPr="00520ABA">
        <w:rPr>
          <w:rFonts w:ascii="標楷體" w:hAnsi="標楷體"/>
          <w:snapToGrid w:val="0"/>
          <w:kern w:val="2"/>
          <w:sz w:val="24"/>
          <w:szCs w:val="24"/>
        </w:rPr>
        <w:t>55</w:t>
      </w:r>
      <w:r w:rsidR="00520ABA" w:rsidRPr="00520ABA">
        <w:rPr>
          <w:rFonts w:ascii="標楷體" w:hAnsi="標楷體" w:hint="eastAsia"/>
          <w:snapToGrid w:val="0"/>
          <w:kern w:val="2"/>
          <w:sz w:val="24"/>
          <w:szCs w:val="24"/>
        </w:rPr>
        <w:t>億</w:t>
      </w:r>
      <w:r w:rsidR="00520ABA" w:rsidRPr="00520ABA">
        <w:rPr>
          <w:rFonts w:ascii="標楷體" w:hAnsi="標楷體"/>
          <w:snapToGrid w:val="0"/>
          <w:kern w:val="2"/>
          <w:sz w:val="24"/>
          <w:szCs w:val="24"/>
        </w:rPr>
        <w:t>1,161</w:t>
      </w:r>
      <w:r w:rsidR="00520ABA" w:rsidRPr="00520ABA">
        <w:rPr>
          <w:rFonts w:ascii="標楷體" w:hAnsi="標楷體" w:hint="eastAsia"/>
          <w:snapToGrid w:val="0"/>
          <w:kern w:val="2"/>
          <w:sz w:val="24"/>
          <w:szCs w:val="24"/>
        </w:rPr>
        <w:t>萬餘元，約</w:t>
      </w:r>
      <w:r w:rsidR="00520ABA" w:rsidRPr="00520ABA">
        <w:rPr>
          <w:rFonts w:ascii="標楷體" w:hAnsi="標楷體"/>
          <w:snapToGrid w:val="0"/>
          <w:kern w:val="2"/>
          <w:sz w:val="24"/>
          <w:szCs w:val="24"/>
        </w:rPr>
        <w:t>289.41</w:t>
      </w:r>
      <w:r w:rsidR="00520ABA" w:rsidRPr="00520ABA">
        <w:rPr>
          <w:rFonts w:ascii="標楷體" w:hAnsi="標楷體" w:hint="eastAsia"/>
          <w:snapToGrid w:val="0"/>
          <w:kern w:val="2"/>
          <w:sz w:val="24"/>
          <w:szCs w:val="24"/>
        </w:rPr>
        <w:t>％，主要係實收之容積移轉代金收入較預計增加所致</w:t>
      </w:r>
      <w:r w:rsidR="008620A2" w:rsidRPr="00B77F51">
        <w:rPr>
          <w:rFonts w:ascii="標楷體" w:hAnsi="標楷體" w:hint="eastAsia"/>
          <w:snapToGrid w:val="0"/>
          <w:kern w:val="2"/>
          <w:sz w:val="24"/>
          <w:szCs w:val="24"/>
        </w:rPr>
        <w:t>。</w:t>
      </w:r>
    </w:p>
    <w:p w14:paraId="12879887" w14:textId="77777777" w:rsidR="008620A2" w:rsidRPr="00B77F51" w:rsidRDefault="008620A2" w:rsidP="009B212D">
      <w:pPr>
        <w:widowControl/>
        <w:spacing w:beforeLines="8" w:before="28" w:afterLines="8" w:after="28" w:line="506" w:lineRule="exact"/>
        <w:jc w:val="both"/>
        <w:rPr>
          <w:rFonts w:ascii="標楷體" w:hAnsi="標楷體"/>
          <w:b/>
          <w:snapToGrid w:val="0"/>
          <w:kern w:val="2"/>
          <w:sz w:val="32"/>
          <w:szCs w:val="24"/>
        </w:rPr>
      </w:pPr>
      <w:r w:rsidRPr="00B77F51">
        <w:rPr>
          <w:rFonts w:ascii="標楷體" w:hAnsi="標楷體" w:hint="eastAsia"/>
          <w:b/>
          <w:snapToGrid w:val="0"/>
          <w:kern w:val="2"/>
          <w:sz w:val="32"/>
          <w:szCs w:val="24"/>
        </w:rPr>
        <w:t>三、重要審核意見</w:t>
      </w:r>
    </w:p>
    <w:p w14:paraId="76F32085" w14:textId="3EC2C7A0" w:rsidR="008620A2" w:rsidRPr="004370A9" w:rsidRDefault="008620A2" w:rsidP="002C7DC8">
      <w:pPr>
        <w:widowControl/>
        <w:spacing w:line="490" w:lineRule="exact"/>
        <w:ind w:firstLineChars="200" w:firstLine="561"/>
        <w:jc w:val="both"/>
        <w:outlineLvl w:val="0"/>
        <w:rPr>
          <w:rFonts w:ascii="標楷體" w:hAnsi="標楷體"/>
          <w:b/>
          <w:bCs/>
          <w:sz w:val="24"/>
          <w:szCs w:val="24"/>
        </w:rPr>
      </w:pPr>
      <w:r w:rsidRPr="00B77F51">
        <w:rPr>
          <w:rFonts w:ascii="標楷體" w:hAnsi="標楷體" w:hint="eastAsia"/>
          <w:b/>
          <w:snapToGrid w:val="0"/>
          <w:kern w:val="2"/>
          <w:sz w:val="28"/>
          <w:szCs w:val="24"/>
        </w:rPr>
        <w:t>（一）</w:t>
      </w:r>
      <w:r w:rsidR="00540CB6" w:rsidRPr="00510725">
        <w:rPr>
          <w:rFonts w:ascii="標楷體" w:hAnsi="標楷體" w:cs="DFKaiShu-SB-Estd-BF" w:hint="eastAsia"/>
          <w:b/>
          <w:sz w:val="28"/>
          <w:szCs w:val="28"/>
        </w:rPr>
        <w:t>推動</w:t>
      </w:r>
      <w:r w:rsidR="00540CB6" w:rsidRPr="00510725">
        <w:rPr>
          <w:rFonts w:ascii="標楷體" w:hAnsi="標楷體" w:cs="DFKaiShu-SB-Estd-BF"/>
          <w:b/>
          <w:sz w:val="28"/>
          <w:szCs w:val="28"/>
        </w:rPr>
        <w:t>新北市公有建物供需調配精進方案，媒合調配</w:t>
      </w:r>
      <w:r w:rsidR="00540CB6" w:rsidRPr="00510725">
        <w:rPr>
          <w:rFonts w:ascii="標楷體" w:hAnsi="標楷體" w:cs="DFKaiShu-SB-Estd-BF" w:hint="eastAsia"/>
          <w:b/>
          <w:sz w:val="28"/>
          <w:szCs w:val="28"/>
        </w:rPr>
        <w:t>公有建物供需，活化市有資產並提高市民公共服務品質，惟部分已調配之公有建物，需用機關遲未進駐使用，允宜督促儘速辦理，並強化相關追蹤與管控作業</w:t>
      </w:r>
      <w:r w:rsidR="00540CB6" w:rsidRPr="007022B4">
        <w:rPr>
          <w:rFonts w:ascii="標楷體" w:hAnsi="標楷體" w:cs="DFKaiShu-SB-Estd-BF" w:hint="eastAsia"/>
          <w:b/>
          <w:sz w:val="28"/>
          <w:szCs w:val="28"/>
        </w:rPr>
        <w:t>。</w:t>
      </w:r>
    </w:p>
    <w:p w14:paraId="68339855" w14:textId="665AF2D0" w:rsidR="002109AF" w:rsidRPr="00040098" w:rsidRDefault="00DC723B" w:rsidP="00FC7CF9">
      <w:pPr>
        <w:pStyle w:val="afffff7"/>
        <w:overflowPunct w:val="0"/>
        <w:spacing w:line="528" w:lineRule="exact"/>
        <w:ind w:firstLine="480"/>
        <w:rPr>
          <w:rFonts w:hAnsi="標楷體"/>
          <w:lang w:eastAsia="zh-HK"/>
        </w:rPr>
      </w:pPr>
      <w:r w:rsidRPr="00DC723B">
        <w:rPr>
          <w:rFonts w:hAnsi="標楷體"/>
          <w:noProof/>
          <w:lang w:val="en-US" w:eastAsia="zh-TW"/>
        </w:rPr>
        <w:lastRenderedPageBreak/>
        <mc:AlternateContent>
          <mc:Choice Requires="wps">
            <w:drawing>
              <wp:anchor distT="36195" distB="0" distL="114300" distR="114300" simplePos="0" relativeHeight="251661312" behindDoc="0" locked="0" layoutInCell="1" allowOverlap="1" wp14:anchorId="0FFEC024" wp14:editId="67702752">
                <wp:simplePos x="0" y="0"/>
                <wp:positionH relativeFrom="column">
                  <wp:posOffset>2790825</wp:posOffset>
                </wp:positionH>
                <wp:positionV relativeFrom="paragraph">
                  <wp:posOffset>1146175</wp:posOffset>
                </wp:positionV>
                <wp:extent cx="3376295" cy="2053590"/>
                <wp:effectExtent l="0" t="0" r="0" b="381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6295" cy="2053590"/>
                        </a:xfrm>
                        <a:prstGeom prst="rect">
                          <a:avLst/>
                        </a:prstGeom>
                        <a:solidFill>
                          <a:srgbClr val="FFFFFF"/>
                        </a:solidFill>
                        <a:ln w="9525">
                          <a:noFill/>
                          <a:miter lim="800000"/>
                          <a:headEnd/>
                          <a:tailEnd/>
                        </a:ln>
                      </wps:spPr>
                      <wps:txbx>
                        <w:txbxContent>
                          <w:tbl>
                            <w:tblPr>
                              <w:tblOverlap w:val="never"/>
                              <w:tblW w:w="4840" w:type="dxa"/>
                              <w:tblCellMar>
                                <w:left w:w="28" w:type="dxa"/>
                                <w:right w:w="28" w:type="dxa"/>
                              </w:tblCellMar>
                              <w:tblLook w:val="04A0" w:firstRow="1" w:lastRow="0" w:firstColumn="1" w:lastColumn="0" w:noHBand="0" w:noVBand="1"/>
                            </w:tblPr>
                            <w:tblGrid>
                              <w:gridCol w:w="800"/>
                              <w:gridCol w:w="1240"/>
                              <w:gridCol w:w="1500"/>
                              <w:gridCol w:w="1300"/>
                            </w:tblGrid>
                            <w:tr w:rsidR="00DC723B" w:rsidRPr="00475DE2" w14:paraId="03635664" w14:textId="77777777" w:rsidTr="00BA2C81">
                              <w:trPr>
                                <w:trHeight w:val="330"/>
                              </w:trPr>
                              <w:tc>
                                <w:tcPr>
                                  <w:tcW w:w="4840" w:type="dxa"/>
                                  <w:gridSpan w:val="4"/>
                                  <w:tcBorders>
                                    <w:top w:val="nil"/>
                                    <w:left w:val="nil"/>
                                    <w:bottom w:val="nil"/>
                                    <w:right w:val="nil"/>
                                  </w:tcBorders>
                                  <w:noWrap/>
                                  <w:vAlign w:val="center"/>
                                  <w:hideMark/>
                                </w:tcPr>
                                <w:p w14:paraId="22C53A89" w14:textId="173B94D7" w:rsidR="00DC723B" w:rsidRPr="00475DE2" w:rsidRDefault="00DC723B" w:rsidP="006B751F">
                                  <w:pPr>
                                    <w:widowControl/>
                                    <w:spacing w:line="360" w:lineRule="exact"/>
                                    <w:suppressOverlap/>
                                    <w:jc w:val="center"/>
                                    <w:rPr>
                                      <w:rFonts w:ascii="標楷體" w:hAnsi="標楷體" w:cs="新細明體"/>
                                      <w:b/>
                                      <w:bCs/>
                                      <w:color w:val="000000"/>
                                      <w:sz w:val="24"/>
                                      <w:szCs w:val="24"/>
                                    </w:rPr>
                                  </w:pPr>
                                  <w:r w:rsidRPr="00475DE2">
                                    <w:rPr>
                                      <w:rFonts w:ascii="標楷體" w:hAnsi="標楷體" w:cs="新細明體" w:hint="eastAsia"/>
                                      <w:b/>
                                      <w:bCs/>
                                      <w:color w:val="000000"/>
                                      <w:sz w:val="24"/>
                                      <w:szCs w:val="24"/>
                                    </w:rPr>
                                    <w:t>表1</w:t>
                                  </w:r>
                                  <w:r w:rsidR="002E6D49">
                                    <w:rPr>
                                      <w:rFonts w:ascii="標楷體" w:hAnsi="標楷體" w:cs="Arial" w:hint="eastAsia"/>
                                      <w:b/>
                                      <w:bCs/>
                                      <w:sz w:val="24"/>
                                      <w:szCs w:val="24"/>
                                    </w:rPr>
                                    <w:t xml:space="preserve">　</w:t>
                                  </w:r>
                                  <w:r w:rsidRPr="00475DE2">
                                    <w:rPr>
                                      <w:rFonts w:ascii="標楷體" w:hAnsi="標楷體" w:cs="新細明體" w:hint="eastAsia"/>
                                      <w:b/>
                                      <w:bCs/>
                                      <w:color w:val="000000"/>
                                      <w:sz w:val="24"/>
                                      <w:szCs w:val="24"/>
                                    </w:rPr>
                                    <w:t>新北市公有建物媒合調配情形</w:t>
                                  </w:r>
                                </w:p>
                              </w:tc>
                            </w:tr>
                            <w:tr w:rsidR="00DC723B" w:rsidRPr="002358D8" w14:paraId="39632D00" w14:textId="77777777" w:rsidTr="0045622D">
                              <w:trPr>
                                <w:trHeight w:val="63"/>
                              </w:trPr>
                              <w:tc>
                                <w:tcPr>
                                  <w:tcW w:w="4840" w:type="dxa"/>
                                  <w:gridSpan w:val="4"/>
                                  <w:tcBorders>
                                    <w:top w:val="nil"/>
                                    <w:left w:val="nil"/>
                                    <w:bottom w:val="single" w:sz="4" w:space="0" w:color="auto"/>
                                    <w:right w:val="nil"/>
                                  </w:tcBorders>
                                  <w:noWrap/>
                                  <w:vAlign w:val="center"/>
                                  <w:hideMark/>
                                </w:tcPr>
                                <w:p w14:paraId="14F5EBC9" w14:textId="77777777" w:rsidR="00DC723B" w:rsidRPr="002358D8" w:rsidRDefault="00DC723B" w:rsidP="002358D8">
                                  <w:pPr>
                                    <w:widowControl/>
                                    <w:spacing w:line="280" w:lineRule="exact"/>
                                    <w:suppressOverlap/>
                                    <w:jc w:val="right"/>
                                    <w:rPr>
                                      <w:rFonts w:ascii="標楷體" w:hAnsi="標楷體" w:cs="新細明體"/>
                                      <w:color w:val="000000"/>
                                      <w:sz w:val="20"/>
                                      <w:szCs w:val="20"/>
                                    </w:rPr>
                                  </w:pPr>
                                  <w:r w:rsidRPr="002358D8">
                                    <w:rPr>
                                      <w:rFonts w:ascii="標楷體" w:hAnsi="標楷體" w:cs="新細明體" w:hint="eastAsia"/>
                                      <w:color w:val="000000"/>
                                      <w:sz w:val="20"/>
                                      <w:szCs w:val="20"/>
                                    </w:rPr>
                                    <w:t>單位：件、％</w:t>
                                  </w:r>
                                </w:p>
                              </w:tc>
                            </w:tr>
                            <w:tr w:rsidR="00DC723B" w:rsidRPr="00475DE2" w14:paraId="41E45D44" w14:textId="77777777" w:rsidTr="0045622D">
                              <w:trPr>
                                <w:trHeight w:val="585"/>
                              </w:trPr>
                              <w:tc>
                                <w:tcPr>
                                  <w:tcW w:w="800" w:type="dxa"/>
                                  <w:tcBorders>
                                    <w:top w:val="single" w:sz="4" w:space="0" w:color="auto"/>
                                    <w:left w:val="single" w:sz="4" w:space="0" w:color="auto"/>
                                    <w:bottom w:val="single" w:sz="4" w:space="0" w:color="auto"/>
                                    <w:right w:val="single" w:sz="4" w:space="0" w:color="auto"/>
                                  </w:tcBorders>
                                  <w:vAlign w:val="center"/>
                                  <w:hideMark/>
                                </w:tcPr>
                                <w:p w14:paraId="2CC22E92"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年度</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0815B26"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完成調配</w:t>
                                  </w:r>
                                  <w:r w:rsidRPr="00475DE2">
                                    <w:rPr>
                                      <w:rFonts w:ascii="標楷體" w:hAnsi="標楷體" w:cs="新細明體" w:hint="eastAsia"/>
                                      <w:color w:val="000000"/>
                                      <w:sz w:val="20"/>
                                      <w:szCs w:val="20"/>
                                    </w:rPr>
                                    <w:br/>
                                    <w:t>案件</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D929EEA"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需用機關尚未</w:t>
                                  </w:r>
                                  <w:r w:rsidRPr="00475DE2">
                                    <w:rPr>
                                      <w:rFonts w:ascii="標楷體" w:hAnsi="標楷體" w:cs="新細明體" w:hint="eastAsia"/>
                                      <w:color w:val="000000"/>
                                      <w:sz w:val="20"/>
                                      <w:szCs w:val="20"/>
                                    </w:rPr>
                                    <w:br/>
                                    <w:t>進駐案件</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CE7563E"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尚未進駐</w:t>
                                  </w:r>
                                  <w:r w:rsidRPr="00475DE2">
                                    <w:rPr>
                                      <w:rFonts w:ascii="標楷體" w:hAnsi="標楷體" w:cs="新細明體" w:hint="eastAsia"/>
                                      <w:color w:val="000000"/>
                                      <w:sz w:val="20"/>
                                      <w:szCs w:val="20"/>
                                    </w:rPr>
                                    <w:br/>
                                    <w:t>案件比率</w:t>
                                  </w:r>
                                </w:p>
                              </w:tc>
                            </w:tr>
                            <w:tr w:rsidR="00DC723B" w:rsidRPr="00475DE2" w14:paraId="4159F55B"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vAlign w:val="center"/>
                                  <w:hideMark/>
                                </w:tcPr>
                                <w:p w14:paraId="70DAE440"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112</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873505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44</w:t>
                                  </w:r>
                                </w:p>
                              </w:tc>
                              <w:tc>
                                <w:tcPr>
                                  <w:tcW w:w="1500" w:type="dxa"/>
                                  <w:tcBorders>
                                    <w:top w:val="single" w:sz="4" w:space="0" w:color="auto"/>
                                    <w:left w:val="single" w:sz="4" w:space="0" w:color="auto"/>
                                    <w:bottom w:val="single" w:sz="4" w:space="0" w:color="auto"/>
                                    <w:right w:val="single" w:sz="4" w:space="0" w:color="auto"/>
                                  </w:tcBorders>
                                  <w:vAlign w:val="center"/>
                                  <w:hideMark/>
                                </w:tcPr>
                                <w:p w14:paraId="1ADD81B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29</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EC5B26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65.91</w:t>
                                  </w:r>
                                </w:p>
                              </w:tc>
                            </w:tr>
                            <w:tr w:rsidR="00DC723B" w:rsidRPr="00475DE2" w14:paraId="7051F27C"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vAlign w:val="center"/>
                                  <w:hideMark/>
                                </w:tcPr>
                                <w:p w14:paraId="3326790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FDDAA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37</w:t>
                                  </w:r>
                                </w:p>
                              </w:tc>
                              <w:tc>
                                <w:tcPr>
                                  <w:tcW w:w="1500" w:type="dxa"/>
                                  <w:tcBorders>
                                    <w:top w:val="single" w:sz="4" w:space="0" w:color="auto"/>
                                    <w:left w:val="single" w:sz="4" w:space="0" w:color="auto"/>
                                    <w:bottom w:val="single" w:sz="4" w:space="0" w:color="auto"/>
                                    <w:right w:val="single" w:sz="4" w:space="0" w:color="auto"/>
                                  </w:tcBorders>
                                  <w:vAlign w:val="center"/>
                                  <w:hideMark/>
                                </w:tcPr>
                                <w:p w14:paraId="56B9519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31</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E7B03E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83.78</w:t>
                                  </w:r>
                                </w:p>
                              </w:tc>
                            </w:tr>
                            <w:tr w:rsidR="00DC723B" w:rsidRPr="00475DE2" w14:paraId="7689C347" w14:textId="77777777" w:rsidTr="00920A5B">
                              <w:trPr>
                                <w:trHeight w:val="522"/>
                              </w:trPr>
                              <w:tc>
                                <w:tcPr>
                                  <w:tcW w:w="800" w:type="dxa"/>
                                  <w:tcBorders>
                                    <w:top w:val="single" w:sz="4" w:space="0" w:color="auto"/>
                                    <w:left w:val="single" w:sz="4" w:space="0" w:color="auto"/>
                                    <w:bottom w:val="single" w:sz="4" w:space="0" w:color="auto"/>
                                    <w:right w:val="single" w:sz="4" w:space="0" w:color="auto"/>
                                  </w:tcBorders>
                                  <w:vAlign w:val="center"/>
                                  <w:hideMark/>
                                </w:tcPr>
                                <w:p w14:paraId="12D06E0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11969BD"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47</w:t>
                                  </w:r>
                                </w:p>
                              </w:tc>
                              <w:tc>
                                <w:tcPr>
                                  <w:tcW w:w="1500" w:type="dxa"/>
                                  <w:tcBorders>
                                    <w:top w:val="single" w:sz="4" w:space="0" w:color="auto"/>
                                    <w:left w:val="single" w:sz="4" w:space="0" w:color="auto"/>
                                    <w:bottom w:val="single" w:sz="4" w:space="0" w:color="auto"/>
                                    <w:right w:val="single" w:sz="4" w:space="0" w:color="auto"/>
                                  </w:tcBorders>
                                  <w:vAlign w:val="center"/>
                                  <w:hideMark/>
                                </w:tcPr>
                                <w:p w14:paraId="26FA732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46</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120131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97.87</w:t>
                                  </w:r>
                                </w:p>
                              </w:tc>
                            </w:tr>
                            <w:tr w:rsidR="00DC723B" w:rsidRPr="00475DE2" w14:paraId="399AD4B2" w14:textId="77777777" w:rsidTr="0045622D">
                              <w:trPr>
                                <w:trHeight w:val="99"/>
                              </w:trPr>
                              <w:tc>
                                <w:tcPr>
                                  <w:tcW w:w="4840" w:type="dxa"/>
                                  <w:gridSpan w:val="4"/>
                                  <w:tcBorders>
                                    <w:top w:val="single" w:sz="4" w:space="0" w:color="auto"/>
                                    <w:left w:val="nil"/>
                                    <w:bottom w:val="nil"/>
                                    <w:right w:val="nil"/>
                                  </w:tcBorders>
                                  <w:noWrap/>
                                  <w:vAlign w:val="center"/>
                                  <w:hideMark/>
                                </w:tcPr>
                                <w:p w14:paraId="1E157E4B" w14:textId="77777777" w:rsidR="00DC723B" w:rsidRPr="00475DE2" w:rsidRDefault="00DC723B" w:rsidP="005974F3">
                                  <w:pPr>
                                    <w:widowControl/>
                                    <w:spacing w:line="240" w:lineRule="exact"/>
                                    <w:suppressOverlap/>
                                    <w:rPr>
                                      <w:rFonts w:ascii="標楷體" w:hAnsi="標楷體" w:cs="新細明體"/>
                                      <w:color w:val="000000"/>
                                      <w:sz w:val="18"/>
                                      <w:szCs w:val="18"/>
                                    </w:rPr>
                                  </w:pPr>
                                  <w:r w:rsidRPr="00475DE2">
                                    <w:rPr>
                                      <w:rFonts w:ascii="標楷體" w:hAnsi="標楷體" w:cs="新細明體" w:hint="eastAsia"/>
                                      <w:color w:val="000000"/>
                                      <w:sz w:val="18"/>
                                      <w:szCs w:val="18"/>
                                    </w:rPr>
                                    <w:t>資料來源：整理自財政局提供資料。</w:t>
                                  </w:r>
                                </w:p>
                              </w:tc>
                            </w:tr>
                          </w:tbl>
                          <w:p w14:paraId="3B90C456" w14:textId="6995FE8C" w:rsidR="00DC723B" w:rsidRPr="00920A5B" w:rsidRDefault="00DC723B" w:rsidP="00920A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FEC024" id="_x0000_t202" coordsize="21600,21600" o:spt="202" path="m,l,21600r21600,l21600,xe">
                <v:stroke joinstyle="miter"/>
                <v:path gradientshapeok="t" o:connecttype="rect"/>
              </v:shapetype>
              <v:shape id="文字方塊 2" o:spid="_x0000_s1026" type="#_x0000_t202" style="position:absolute;left:0;text-align:left;margin-left:219.75pt;margin-top:90.25pt;width:265.85pt;height:161.7pt;z-index:251661312;visibility:visible;mso-wrap-style:square;mso-width-percent:0;mso-height-percent:0;mso-wrap-distance-left:9pt;mso-wrap-distance-top:2.85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" stroked="f">
                <v:textbox>
                  <w:txbxContent>
                    <w:tbl>
                      <w:tblPr>
                        <w:tblOverlap w:val="never"/>
                        <w:tblW w:w="4840" w:type="dxa"/>
                        <w:tblCellMar>
                          <w:left w:w="28" w:type="dxa"/>
                          <w:right w:w="28" w:type="dxa"/>
                        </w:tblCellMar>
                        <w:tblLook w:val="04A0" w:firstRow="1" w:lastRow="0" w:firstColumn="1" w:lastColumn="0" w:noHBand="0" w:noVBand="1"/>
                      </w:tblPr>
                      <w:tblGrid>
                        <w:gridCol w:w="800"/>
                        <w:gridCol w:w="1240"/>
                        <w:gridCol w:w="1500"/>
                        <w:gridCol w:w="1300"/>
                      </w:tblGrid>
                      <w:tr w:rsidR="00DC723B" w:rsidRPr="00475DE2" w14:paraId="03635664" w14:textId="77777777" w:rsidTr="00BA2C81">
                        <w:trPr>
                          <w:trHeight w:val="330"/>
                        </w:trPr>
                        <w:tc>
                          <w:tcPr>
                            <w:tcW w:w="4840" w:type="dxa"/>
                            <w:gridSpan w:val="4"/>
                            <w:tcBorders>
                              <w:top w:val="nil"/>
                              <w:left w:val="nil"/>
                              <w:bottom w:val="nil"/>
                              <w:right w:val="nil"/>
                            </w:tcBorders>
                            <w:noWrap/>
                            <w:vAlign w:val="center"/>
                            <w:hideMark/>
                          </w:tcPr>
                          <w:p w14:paraId="22C53A89" w14:textId="173B94D7" w:rsidR="00DC723B" w:rsidRPr="00475DE2" w:rsidRDefault="00DC723B" w:rsidP="006B751F">
                            <w:pPr>
                              <w:widowControl/>
                              <w:spacing w:line="360" w:lineRule="exact"/>
                              <w:suppressOverlap/>
                              <w:jc w:val="center"/>
                              <w:rPr>
                                <w:rFonts w:ascii="標楷體" w:hAnsi="標楷體" w:cs="新細明體"/>
                                <w:b/>
                                <w:bCs/>
                                <w:color w:val="000000"/>
                                <w:sz w:val="24"/>
                                <w:szCs w:val="24"/>
                              </w:rPr>
                            </w:pPr>
                            <w:r w:rsidRPr="00475DE2">
                              <w:rPr>
                                <w:rFonts w:ascii="標楷體" w:hAnsi="標楷體" w:cs="新細明體" w:hint="eastAsia"/>
                                <w:b/>
                                <w:bCs/>
                                <w:color w:val="000000"/>
                                <w:sz w:val="24"/>
                                <w:szCs w:val="24"/>
                              </w:rPr>
                              <w:t>表1</w:t>
                            </w:r>
                            <w:r w:rsidR="002E6D49">
                              <w:rPr>
                                <w:rFonts w:ascii="標楷體" w:hAnsi="標楷體" w:cs="Arial" w:hint="eastAsia"/>
                                <w:b/>
                                <w:bCs/>
                                <w:sz w:val="24"/>
                                <w:szCs w:val="24"/>
                              </w:rPr>
                              <w:t xml:space="preserve">　</w:t>
                            </w:r>
                            <w:r w:rsidRPr="00475DE2">
                              <w:rPr>
                                <w:rFonts w:ascii="標楷體" w:hAnsi="標楷體" w:cs="新細明體" w:hint="eastAsia"/>
                                <w:b/>
                                <w:bCs/>
                                <w:color w:val="000000"/>
                                <w:sz w:val="24"/>
                                <w:szCs w:val="24"/>
                              </w:rPr>
                              <w:t>新北市公有建物媒合調配情形</w:t>
                            </w:r>
                          </w:p>
                        </w:tc>
                      </w:tr>
                      <w:tr w:rsidR="00DC723B" w:rsidRPr="002358D8" w14:paraId="39632D00" w14:textId="77777777" w:rsidTr="0045622D">
                        <w:trPr>
                          <w:trHeight w:val="63"/>
                        </w:trPr>
                        <w:tc>
                          <w:tcPr>
                            <w:tcW w:w="4840" w:type="dxa"/>
                            <w:gridSpan w:val="4"/>
                            <w:tcBorders>
                              <w:top w:val="nil"/>
                              <w:left w:val="nil"/>
                              <w:bottom w:val="single" w:sz="4" w:space="0" w:color="auto"/>
                              <w:right w:val="nil"/>
                            </w:tcBorders>
                            <w:noWrap/>
                            <w:vAlign w:val="center"/>
                            <w:hideMark/>
                          </w:tcPr>
                          <w:p w14:paraId="14F5EBC9" w14:textId="77777777" w:rsidR="00DC723B" w:rsidRPr="002358D8" w:rsidRDefault="00DC723B" w:rsidP="002358D8">
                            <w:pPr>
                              <w:widowControl/>
                              <w:spacing w:line="280" w:lineRule="exact"/>
                              <w:suppressOverlap/>
                              <w:jc w:val="right"/>
                              <w:rPr>
                                <w:rFonts w:ascii="標楷體" w:hAnsi="標楷體" w:cs="新細明體"/>
                                <w:color w:val="000000"/>
                                <w:sz w:val="20"/>
                                <w:szCs w:val="20"/>
                              </w:rPr>
                            </w:pPr>
                            <w:r w:rsidRPr="002358D8">
                              <w:rPr>
                                <w:rFonts w:ascii="標楷體" w:hAnsi="標楷體" w:cs="新細明體" w:hint="eastAsia"/>
                                <w:color w:val="000000"/>
                                <w:sz w:val="20"/>
                                <w:szCs w:val="20"/>
                              </w:rPr>
                              <w:t>單位：件、％</w:t>
                            </w:r>
                          </w:p>
                        </w:tc>
                      </w:tr>
                      <w:tr w:rsidR="00DC723B" w:rsidRPr="00475DE2" w14:paraId="41E45D44" w14:textId="77777777" w:rsidTr="0045622D">
                        <w:trPr>
                          <w:trHeight w:val="585"/>
                        </w:trPr>
                        <w:tc>
                          <w:tcPr>
                            <w:tcW w:w="800" w:type="dxa"/>
                            <w:tcBorders>
                              <w:top w:val="single" w:sz="4" w:space="0" w:color="auto"/>
                              <w:left w:val="single" w:sz="4" w:space="0" w:color="auto"/>
                              <w:bottom w:val="single" w:sz="4" w:space="0" w:color="auto"/>
                              <w:right w:val="single" w:sz="4" w:space="0" w:color="auto"/>
                            </w:tcBorders>
                            <w:vAlign w:val="center"/>
                            <w:hideMark/>
                          </w:tcPr>
                          <w:p w14:paraId="2CC22E92"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年度</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0815B26"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完成調配</w:t>
                            </w:r>
                            <w:r w:rsidRPr="00475DE2">
                              <w:rPr>
                                <w:rFonts w:ascii="標楷體" w:hAnsi="標楷體" w:cs="新細明體" w:hint="eastAsia"/>
                                <w:color w:val="000000"/>
                                <w:sz w:val="20"/>
                                <w:szCs w:val="20"/>
                              </w:rPr>
                              <w:br/>
                              <w:t>案件</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D929EEA"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需用機關尚未</w:t>
                            </w:r>
                            <w:r w:rsidRPr="00475DE2">
                              <w:rPr>
                                <w:rFonts w:ascii="標楷體" w:hAnsi="標楷體" w:cs="新細明體" w:hint="eastAsia"/>
                                <w:color w:val="000000"/>
                                <w:sz w:val="20"/>
                                <w:szCs w:val="20"/>
                              </w:rPr>
                              <w:br/>
                              <w:t>進駐案件</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CE7563E" w14:textId="77777777" w:rsidR="00DC723B" w:rsidRPr="00475DE2" w:rsidRDefault="00DC723B" w:rsidP="00DC723B">
                            <w:pPr>
                              <w:widowControl/>
                              <w:spacing w:line="240" w:lineRule="exact"/>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尚未進駐</w:t>
                            </w:r>
                            <w:r w:rsidRPr="00475DE2">
                              <w:rPr>
                                <w:rFonts w:ascii="標楷體" w:hAnsi="標楷體" w:cs="新細明體" w:hint="eastAsia"/>
                                <w:color w:val="000000"/>
                                <w:sz w:val="20"/>
                                <w:szCs w:val="20"/>
                              </w:rPr>
                              <w:br/>
                              <w:t>案件比率</w:t>
                            </w:r>
                          </w:p>
                        </w:tc>
                      </w:tr>
                      <w:tr w:rsidR="00DC723B" w:rsidRPr="00475DE2" w14:paraId="4159F55B"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vAlign w:val="center"/>
                            <w:hideMark/>
                          </w:tcPr>
                          <w:p w14:paraId="70DAE440"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112</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873505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44</w:t>
                            </w:r>
                          </w:p>
                        </w:tc>
                        <w:tc>
                          <w:tcPr>
                            <w:tcW w:w="1500" w:type="dxa"/>
                            <w:tcBorders>
                              <w:top w:val="single" w:sz="4" w:space="0" w:color="auto"/>
                              <w:left w:val="single" w:sz="4" w:space="0" w:color="auto"/>
                              <w:bottom w:val="single" w:sz="4" w:space="0" w:color="auto"/>
                              <w:right w:val="single" w:sz="4" w:space="0" w:color="auto"/>
                            </w:tcBorders>
                            <w:vAlign w:val="center"/>
                            <w:hideMark/>
                          </w:tcPr>
                          <w:p w14:paraId="1ADD81B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29</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EC5B26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65.91</w:t>
                            </w:r>
                          </w:p>
                        </w:tc>
                      </w:tr>
                      <w:tr w:rsidR="00DC723B" w:rsidRPr="00475DE2" w14:paraId="7051F27C" w14:textId="77777777" w:rsidTr="00920A5B">
                        <w:trPr>
                          <w:trHeight w:val="494"/>
                        </w:trPr>
                        <w:tc>
                          <w:tcPr>
                            <w:tcW w:w="800" w:type="dxa"/>
                            <w:tcBorders>
                              <w:top w:val="single" w:sz="4" w:space="0" w:color="auto"/>
                              <w:left w:val="single" w:sz="4" w:space="0" w:color="auto"/>
                              <w:bottom w:val="single" w:sz="4" w:space="0" w:color="auto"/>
                              <w:right w:val="single" w:sz="4" w:space="0" w:color="auto"/>
                            </w:tcBorders>
                            <w:vAlign w:val="center"/>
                            <w:hideMark/>
                          </w:tcPr>
                          <w:p w14:paraId="33267907"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113</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FDDAA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37</w:t>
                            </w:r>
                          </w:p>
                        </w:tc>
                        <w:tc>
                          <w:tcPr>
                            <w:tcW w:w="1500" w:type="dxa"/>
                            <w:tcBorders>
                              <w:top w:val="single" w:sz="4" w:space="0" w:color="auto"/>
                              <w:left w:val="single" w:sz="4" w:space="0" w:color="auto"/>
                              <w:bottom w:val="single" w:sz="4" w:space="0" w:color="auto"/>
                              <w:right w:val="single" w:sz="4" w:space="0" w:color="auto"/>
                            </w:tcBorders>
                            <w:vAlign w:val="center"/>
                            <w:hideMark/>
                          </w:tcPr>
                          <w:p w14:paraId="56B95191"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31</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E7B03E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83.78</w:t>
                            </w:r>
                          </w:p>
                        </w:tc>
                      </w:tr>
                      <w:tr w:rsidR="00DC723B" w:rsidRPr="00475DE2" w14:paraId="7689C347" w14:textId="77777777" w:rsidTr="00920A5B">
                        <w:trPr>
                          <w:trHeight w:val="522"/>
                        </w:trPr>
                        <w:tc>
                          <w:tcPr>
                            <w:tcW w:w="800" w:type="dxa"/>
                            <w:tcBorders>
                              <w:top w:val="single" w:sz="4" w:space="0" w:color="auto"/>
                              <w:left w:val="single" w:sz="4" w:space="0" w:color="auto"/>
                              <w:bottom w:val="single" w:sz="4" w:space="0" w:color="auto"/>
                              <w:right w:val="single" w:sz="4" w:space="0" w:color="auto"/>
                            </w:tcBorders>
                            <w:vAlign w:val="center"/>
                            <w:hideMark/>
                          </w:tcPr>
                          <w:p w14:paraId="12D06E0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114</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11969BD"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47</w:t>
                            </w:r>
                          </w:p>
                        </w:tc>
                        <w:tc>
                          <w:tcPr>
                            <w:tcW w:w="1500" w:type="dxa"/>
                            <w:tcBorders>
                              <w:top w:val="single" w:sz="4" w:space="0" w:color="auto"/>
                              <w:left w:val="single" w:sz="4" w:space="0" w:color="auto"/>
                              <w:bottom w:val="single" w:sz="4" w:space="0" w:color="auto"/>
                              <w:right w:val="single" w:sz="4" w:space="0" w:color="auto"/>
                            </w:tcBorders>
                            <w:vAlign w:val="center"/>
                            <w:hideMark/>
                          </w:tcPr>
                          <w:p w14:paraId="26FA7325"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46</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120131A" w14:textId="77777777" w:rsidR="00DC723B" w:rsidRPr="00475DE2" w:rsidRDefault="00DC723B" w:rsidP="00DC723B">
                            <w:pPr>
                              <w:widowControl/>
                              <w:suppressOverlap/>
                              <w:jc w:val="center"/>
                              <w:rPr>
                                <w:rFonts w:ascii="標楷體" w:hAnsi="標楷體" w:cs="新細明體"/>
                                <w:color w:val="000000"/>
                                <w:sz w:val="20"/>
                                <w:szCs w:val="20"/>
                              </w:rPr>
                            </w:pPr>
                            <w:r w:rsidRPr="00475DE2">
                              <w:rPr>
                                <w:rFonts w:ascii="標楷體" w:hAnsi="標楷體" w:cs="新細明體" w:hint="eastAsia"/>
                                <w:color w:val="000000"/>
                                <w:sz w:val="20"/>
                                <w:szCs w:val="20"/>
                              </w:rPr>
                              <w:t>97.87</w:t>
                            </w:r>
                          </w:p>
                        </w:tc>
                      </w:tr>
                      <w:tr w:rsidR="00DC723B" w:rsidRPr="00475DE2" w14:paraId="399AD4B2" w14:textId="77777777" w:rsidTr="0045622D">
                        <w:trPr>
                          <w:trHeight w:val="99"/>
                        </w:trPr>
                        <w:tc>
                          <w:tcPr>
                            <w:tcW w:w="4840" w:type="dxa"/>
                            <w:gridSpan w:val="4"/>
                            <w:tcBorders>
                              <w:top w:val="single" w:sz="4" w:space="0" w:color="auto"/>
                              <w:left w:val="nil"/>
                              <w:bottom w:val="nil"/>
                              <w:right w:val="nil"/>
                            </w:tcBorders>
                            <w:noWrap/>
                            <w:vAlign w:val="center"/>
                            <w:hideMark/>
                          </w:tcPr>
                          <w:p w14:paraId="1E157E4B" w14:textId="77777777" w:rsidR="00DC723B" w:rsidRPr="00475DE2" w:rsidRDefault="00DC723B" w:rsidP="005974F3">
                            <w:pPr>
                              <w:widowControl/>
                              <w:spacing w:line="240" w:lineRule="exact"/>
                              <w:suppressOverlap/>
                              <w:rPr>
                                <w:rFonts w:ascii="標楷體" w:hAnsi="標楷體" w:cs="新細明體"/>
                                <w:color w:val="000000"/>
                                <w:sz w:val="18"/>
                                <w:szCs w:val="18"/>
                              </w:rPr>
                            </w:pPr>
                            <w:r w:rsidRPr="00475DE2">
                              <w:rPr>
                                <w:rFonts w:ascii="標楷體" w:hAnsi="標楷體" w:cs="新細明體" w:hint="eastAsia"/>
                                <w:color w:val="000000"/>
                                <w:sz w:val="18"/>
                                <w:szCs w:val="18"/>
                              </w:rPr>
                              <w:t>資料來源：整理自財政局提供資料。</w:t>
                            </w:r>
                          </w:p>
                        </w:tc>
                      </w:tr>
                    </w:tbl>
                    <w:p w14:paraId="3B90C456" w14:textId="6995FE8C" w:rsidR="00DC723B" w:rsidRPr="00920A5B" w:rsidRDefault="00DC723B" w:rsidP="00920A5B"/>
                  </w:txbxContent>
                </v:textbox>
                <w10:wrap type="square"/>
              </v:shape>
            </w:pict>
          </mc:Fallback>
        </mc:AlternateContent>
      </w:r>
      <w:r w:rsidR="00540CB6">
        <w:rPr>
          <w:rFonts w:hAnsi="標楷體" w:hint="eastAsia"/>
          <w:noProof/>
          <w:lang w:val="en-US" w:eastAsia="zh-TW"/>
        </w:rPr>
        <w:t>市政</w:t>
      </w:r>
      <w:r w:rsidR="00540CB6" w:rsidRPr="00876FCF">
        <w:rPr>
          <w:rFonts w:hAnsi="標楷體" w:hint="eastAsia"/>
          <w:szCs w:val="32"/>
        </w:rPr>
        <w:t>府為提</w:t>
      </w:r>
      <w:r w:rsidR="00540CB6" w:rsidRPr="00876FCF">
        <w:rPr>
          <w:rFonts w:hAnsi="標楷體"/>
          <w:szCs w:val="32"/>
        </w:rPr>
        <w:t>升</w:t>
      </w:r>
      <w:r w:rsidR="00540CB6" w:rsidRPr="00876FCF">
        <w:rPr>
          <w:rFonts w:hAnsi="標楷體" w:hint="eastAsia"/>
          <w:szCs w:val="32"/>
        </w:rPr>
        <w:t>公有建物使用效能及減少財政支出，持續推動</w:t>
      </w:r>
      <w:r w:rsidR="00540CB6" w:rsidRPr="00876FCF">
        <w:rPr>
          <w:rFonts w:hAnsi="標楷體"/>
          <w:szCs w:val="32"/>
        </w:rPr>
        <w:t>新北市公有建物供需調配精進方案實施計畫，建置公有建物使用供需資料庫，</w:t>
      </w:r>
      <w:r w:rsidR="00540CB6" w:rsidRPr="00876FCF">
        <w:rPr>
          <w:rFonts w:hAnsi="標楷體" w:hint="eastAsia"/>
          <w:color w:val="000000"/>
          <w:szCs w:val="28"/>
        </w:rPr>
        <w:t>每半</w:t>
      </w:r>
      <w:r w:rsidR="00540CB6" w:rsidRPr="00876FCF">
        <w:rPr>
          <w:rFonts w:hAnsi="標楷體" w:hint="eastAsia"/>
          <w:szCs w:val="32"/>
        </w:rPr>
        <w:t>年</w:t>
      </w:r>
      <w:r w:rsidR="00540CB6" w:rsidRPr="00876FCF">
        <w:rPr>
          <w:rFonts w:hAnsi="標楷體"/>
          <w:szCs w:val="32"/>
        </w:rPr>
        <w:t>就</w:t>
      </w:r>
      <w:r w:rsidR="00540CB6" w:rsidRPr="00876FCF">
        <w:rPr>
          <w:rFonts w:hAnsi="標楷體" w:hint="eastAsia"/>
          <w:szCs w:val="32"/>
        </w:rPr>
        <w:t>各機關提報之</w:t>
      </w:r>
      <w:r w:rsidR="00540CB6" w:rsidRPr="00876FCF">
        <w:rPr>
          <w:rFonts w:hAnsi="標楷體"/>
          <w:szCs w:val="32"/>
        </w:rPr>
        <w:t>餘裕空間及公益設施空間</w:t>
      </w:r>
      <w:r w:rsidR="00540CB6" w:rsidRPr="00876FCF">
        <w:rPr>
          <w:rFonts w:hAnsi="標楷體" w:hint="eastAsia"/>
          <w:szCs w:val="32"/>
        </w:rPr>
        <w:t>等</w:t>
      </w:r>
      <w:r w:rsidR="00540CB6" w:rsidRPr="00876FCF">
        <w:rPr>
          <w:rFonts w:hAnsi="標楷體"/>
          <w:szCs w:val="32"/>
        </w:rPr>
        <w:t>進行媒合調配，</w:t>
      </w:r>
      <w:r w:rsidR="00540CB6" w:rsidRPr="00876FCF">
        <w:rPr>
          <w:rFonts w:hAnsi="標楷體" w:hint="eastAsia"/>
          <w:szCs w:val="32"/>
        </w:rPr>
        <w:t>1</w:t>
      </w:r>
      <w:r w:rsidR="00540CB6" w:rsidRPr="00876FCF">
        <w:rPr>
          <w:rFonts w:hAnsi="標楷體"/>
          <w:szCs w:val="32"/>
        </w:rPr>
        <w:t>12</w:t>
      </w:r>
      <w:r w:rsidR="00540CB6" w:rsidRPr="00876FCF">
        <w:rPr>
          <w:rFonts w:hAnsi="標楷體" w:hint="eastAsia"/>
          <w:szCs w:val="32"/>
        </w:rPr>
        <w:t>至11</w:t>
      </w:r>
      <w:r w:rsidR="00540CB6" w:rsidRPr="00876FCF">
        <w:rPr>
          <w:rFonts w:hAnsi="標楷體"/>
          <w:szCs w:val="32"/>
        </w:rPr>
        <w:t>4</w:t>
      </w:r>
      <w:r w:rsidR="00540CB6" w:rsidRPr="00876FCF">
        <w:rPr>
          <w:rFonts w:hAnsi="標楷體" w:hint="eastAsia"/>
          <w:szCs w:val="32"/>
        </w:rPr>
        <w:t>年度分別調配4</w:t>
      </w:r>
      <w:r w:rsidR="00540CB6" w:rsidRPr="00876FCF">
        <w:rPr>
          <w:rFonts w:hAnsi="標楷體"/>
          <w:szCs w:val="32"/>
        </w:rPr>
        <w:t>4</w:t>
      </w:r>
      <w:r w:rsidR="00540CB6" w:rsidRPr="00876FCF">
        <w:rPr>
          <w:rFonts w:hAnsi="標楷體" w:hint="eastAsia"/>
          <w:szCs w:val="32"/>
        </w:rPr>
        <w:t>件、3</w:t>
      </w:r>
      <w:r w:rsidR="00540CB6" w:rsidRPr="00876FCF">
        <w:rPr>
          <w:rFonts w:hAnsi="標楷體"/>
          <w:szCs w:val="32"/>
        </w:rPr>
        <w:t>7</w:t>
      </w:r>
      <w:r w:rsidR="00540CB6" w:rsidRPr="00876FCF">
        <w:rPr>
          <w:rFonts w:hAnsi="標楷體" w:hint="eastAsia"/>
          <w:szCs w:val="32"/>
        </w:rPr>
        <w:t>件及4</w:t>
      </w:r>
      <w:r w:rsidR="00540CB6" w:rsidRPr="00876FCF">
        <w:rPr>
          <w:rFonts w:hAnsi="標楷體"/>
          <w:szCs w:val="32"/>
        </w:rPr>
        <w:t>7</w:t>
      </w:r>
      <w:r w:rsidR="00540CB6" w:rsidRPr="00876FCF">
        <w:rPr>
          <w:rFonts w:hAnsi="標楷體" w:hint="eastAsia"/>
          <w:szCs w:val="32"/>
        </w:rPr>
        <w:t>件，其中需用機關尚未進駐者有2</w:t>
      </w:r>
      <w:r w:rsidR="00540CB6" w:rsidRPr="00876FCF">
        <w:rPr>
          <w:rFonts w:hAnsi="標楷體"/>
          <w:szCs w:val="32"/>
        </w:rPr>
        <w:t>9</w:t>
      </w:r>
      <w:r w:rsidR="00540CB6" w:rsidRPr="00876FCF">
        <w:rPr>
          <w:rFonts w:hAnsi="標楷體" w:hint="eastAsia"/>
          <w:szCs w:val="32"/>
        </w:rPr>
        <w:t>件、3</w:t>
      </w:r>
      <w:r w:rsidR="00540CB6" w:rsidRPr="00876FCF">
        <w:rPr>
          <w:rFonts w:hAnsi="標楷體"/>
          <w:szCs w:val="32"/>
        </w:rPr>
        <w:t>1</w:t>
      </w:r>
      <w:r w:rsidR="00540CB6" w:rsidRPr="00876FCF">
        <w:rPr>
          <w:rFonts w:hAnsi="標楷體" w:hint="eastAsia"/>
          <w:szCs w:val="32"/>
        </w:rPr>
        <w:t>件及4</w:t>
      </w:r>
      <w:r w:rsidR="00540CB6" w:rsidRPr="00876FCF">
        <w:rPr>
          <w:rFonts w:hAnsi="標楷體"/>
          <w:szCs w:val="32"/>
        </w:rPr>
        <w:t>6</w:t>
      </w:r>
      <w:r w:rsidR="00540CB6" w:rsidRPr="00876FCF">
        <w:rPr>
          <w:rFonts w:hAnsi="標楷體" w:hint="eastAsia"/>
          <w:szCs w:val="32"/>
        </w:rPr>
        <w:t>件，未進駐比率為6</w:t>
      </w:r>
      <w:r w:rsidR="00540CB6" w:rsidRPr="00876FCF">
        <w:rPr>
          <w:rFonts w:hAnsi="標楷體"/>
          <w:szCs w:val="32"/>
        </w:rPr>
        <w:t>5.91</w:t>
      </w:r>
      <w:r w:rsidR="00540CB6" w:rsidRPr="00876FCF">
        <w:rPr>
          <w:rFonts w:hAnsi="標楷體" w:hint="eastAsia"/>
          <w:szCs w:val="32"/>
        </w:rPr>
        <w:t>％、8</w:t>
      </w:r>
      <w:r w:rsidR="00540CB6" w:rsidRPr="00876FCF">
        <w:rPr>
          <w:rFonts w:hAnsi="標楷體"/>
          <w:szCs w:val="32"/>
        </w:rPr>
        <w:t>3</w:t>
      </w:r>
      <w:r w:rsidR="00540CB6" w:rsidRPr="00876FCF">
        <w:rPr>
          <w:rFonts w:hAnsi="標楷體" w:hint="eastAsia"/>
          <w:szCs w:val="32"/>
        </w:rPr>
        <w:t>.7</w:t>
      </w:r>
      <w:r w:rsidR="00540CB6" w:rsidRPr="00876FCF">
        <w:rPr>
          <w:rFonts w:hAnsi="標楷體"/>
          <w:szCs w:val="32"/>
        </w:rPr>
        <w:t>8</w:t>
      </w:r>
      <w:r w:rsidR="00540CB6" w:rsidRPr="00876FCF">
        <w:rPr>
          <w:rFonts w:hAnsi="標楷體" w:hint="eastAsia"/>
          <w:szCs w:val="32"/>
        </w:rPr>
        <w:t>％</w:t>
      </w:r>
      <w:r w:rsidR="00E000CD">
        <w:rPr>
          <w:rFonts w:hAnsi="標楷體" w:hint="eastAsia"/>
          <w:szCs w:val="32"/>
          <w:lang w:eastAsia="zh-TW"/>
        </w:rPr>
        <w:t>及</w:t>
      </w:r>
      <w:r w:rsidR="00540CB6" w:rsidRPr="00876FCF">
        <w:rPr>
          <w:rFonts w:hAnsi="標楷體" w:hint="eastAsia"/>
          <w:szCs w:val="32"/>
        </w:rPr>
        <w:t>9</w:t>
      </w:r>
      <w:r w:rsidR="00540CB6" w:rsidRPr="00876FCF">
        <w:rPr>
          <w:rFonts w:hAnsi="標楷體"/>
          <w:szCs w:val="32"/>
        </w:rPr>
        <w:t>7</w:t>
      </w:r>
      <w:r w:rsidR="00540CB6" w:rsidRPr="00876FCF">
        <w:rPr>
          <w:rFonts w:hAnsi="標楷體" w:hint="eastAsia"/>
          <w:szCs w:val="32"/>
        </w:rPr>
        <w:t>.</w:t>
      </w:r>
      <w:r w:rsidR="0000425F">
        <w:rPr>
          <w:rFonts w:hAnsi="標楷體" w:hint="eastAsia"/>
          <w:szCs w:val="32"/>
          <w:lang w:eastAsia="zh-TW"/>
        </w:rPr>
        <w:t>8</w:t>
      </w:r>
      <w:r w:rsidR="00540CB6" w:rsidRPr="00876FCF">
        <w:rPr>
          <w:rFonts w:hAnsi="標楷體"/>
          <w:szCs w:val="32"/>
        </w:rPr>
        <w:t>7</w:t>
      </w:r>
      <w:r w:rsidR="00540CB6" w:rsidRPr="00876FCF">
        <w:rPr>
          <w:rFonts w:hAnsi="標楷體" w:hint="eastAsia"/>
          <w:szCs w:val="32"/>
        </w:rPr>
        <w:t>％（表</w:t>
      </w:r>
      <w:r w:rsidR="00540CB6">
        <w:rPr>
          <w:rFonts w:hAnsi="標楷體"/>
          <w:szCs w:val="32"/>
        </w:rPr>
        <w:t>1</w:t>
      </w:r>
      <w:r w:rsidR="00540CB6" w:rsidRPr="00876FCF">
        <w:rPr>
          <w:rFonts w:hAnsi="標楷體" w:hint="eastAsia"/>
          <w:szCs w:val="32"/>
        </w:rPr>
        <w:t>），</w:t>
      </w:r>
      <w:proofErr w:type="spellStart"/>
      <w:r w:rsidR="00540CB6" w:rsidRPr="00876FCF">
        <w:rPr>
          <w:rFonts w:hAnsi="標楷體" w:hint="eastAsia"/>
          <w:szCs w:val="32"/>
        </w:rPr>
        <w:t>呈逐年攀升現象</w:t>
      </w:r>
      <w:r w:rsidR="006922BC">
        <w:rPr>
          <w:rFonts w:hAnsi="標楷體" w:hint="eastAsia"/>
          <w:szCs w:val="32"/>
          <w:lang w:eastAsia="zh-TW"/>
        </w:rPr>
        <w:t>；又</w:t>
      </w:r>
      <w:r w:rsidR="00540CB6" w:rsidRPr="00876FCF">
        <w:rPr>
          <w:rFonts w:hAnsi="標楷體" w:hint="eastAsia"/>
          <w:szCs w:val="32"/>
          <w:lang w:eastAsia="zh-TW"/>
        </w:rPr>
        <w:t>經</w:t>
      </w:r>
      <w:proofErr w:type="spellEnd"/>
      <w:r w:rsidR="00540CB6" w:rsidRPr="00876FCF">
        <w:rPr>
          <w:rFonts w:hAnsi="標楷體" w:hint="eastAsia"/>
          <w:szCs w:val="32"/>
        </w:rPr>
        <w:t>排除調配者為公益設施空間者，尚有1</w:t>
      </w:r>
      <w:r w:rsidR="00540CB6" w:rsidRPr="00876FCF">
        <w:rPr>
          <w:rFonts w:hAnsi="標楷體"/>
          <w:szCs w:val="32"/>
        </w:rPr>
        <w:t>12</w:t>
      </w:r>
      <w:r w:rsidR="00540CB6" w:rsidRPr="00876FCF">
        <w:rPr>
          <w:rFonts w:hAnsi="標楷體" w:hint="eastAsia"/>
          <w:szCs w:val="32"/>
        </w:rPr>
        <w:t>年度完成調配之衛生局特殊儀器放置空間及實驗室（媒合地點為新北市政府蘆洲重陽大樓1、1</w:t>
      </w:r>
      <w:r w:rsidR="00540CB6" w:rsidRPr="00876FCF">
        <w:rPr>
          <w:rFonts w:hAnsi="標楷體"/>
          <w:szCs w:val="32"/>
        </w:rPr>
        <w:t>1</w:t>
      </w:r>
      <w:r w:rsidR="00540CB6" w:rsidRPr="00876FCF">
        <w:rPr>
          <w:rFonts w:hAnsi="標楷體" w:hint="eastAsia"/>
          <w:szCs w:val="32"/>
        </w:rPr>
        <w:t>及1</w:t>
      </w:r>
      <w:r w:rsidR="00540CB6" w:rsidRPr="00876FCF">
        <w:rPr>
          <w:rFonts w:hAnsi="標楷體"/>
          <w:szCs w:val="32"/>
        </w:rPr>
        <w:t>2</w:t>
      </w:r>
      <w:r w:rsidR="00540CB6" w:rsidRPr="00876FCF">
        <w:rPr>
          <w:rFonts w:hAnsi="標楷體" w:hint="eastAsia"/>
          <w:szCs w:val="32"/>
        </w:rPr>
        <w:t>樓）、1</w:t>
      </w:r>
      <w:r w:rsidR="00540CB6" w:rsidRPr="00876FCF">
        <w:rPr>
          <w:rFonts w:hAnsi="標楷體"/>
          <w:szCs w:val="32"/>
        </w:rPr>
        <w:t>13</w:t>
      </w:r>
      <w:r w:rsidR="00540CB6" w:rsidRPr="00876FCF">
        <w:rPr>
          <w:rFonts w:hAnsi="標楷體" w:hint="eastAsia"/>
          <w:szCs w:val="32"/>
        </w:rPr>
        <w:t>年度完成調配之觀光旅遊局地方觀光產業及周邊環境改造規劃中心（媒合地點為警察局金山分局中角派出所舊有廳舍）、社會局玩具銀行物流中心（媒合地點為新北市板橋後埔公有零售市場2樓）等</w:t>
      </w:r>
      <w:r w:rsidR="00540CB6" w:rsidRPr="00876FCF">
        <w:rPr>
          <w:rFonts w:hAnsi="標楷體"/>
          <w:szCs w:val="32"/>
        </w:rPr>
        <w:t>餘裕空間</w:t>
      </w:r>
      <w:r w:rsidR="00540CB6" w:rsidRPr="00876FCF">
        <w:rPr>
          <w:rFonts w:hAnsi="標楷體" w:hint="eastAsia"/>
          <w:szCs w:val="32"/>
        </w:rPr>
        <w:t>，</w:t>
      </w:r>
      <w:r w:rsidR="00E000CD">
        <w:rPr>
          <w:rFonts w:hAnsi="標楷體" w:hint="eastAsia"/>
          <w:szCs w:val="32"/>
          <w:lang w:eastAsia="zh-TW"/>
        </w:rPr>
        <w:t>惟</w:t>
      </w:r>
      <w:proofErr w:type="spellStart"/>
      <w:r w:rsidR="00540CB6" w:rsidRPr="00876FCF">
        <w:rPr>
          <w:rFonts w:hAnsi="標楷體" w:hint="eastAsia"/>
          <w:szCs w:val="32"/>
        </w:rPr>
        <w:t>需用機關遲未進駐使用</w:t>
      </w:r>
      <w:r w:rsidR="003741A8">
        <w:rPr>
          <w:rFonts w:hAnsi="標楷體" w:hint="eastAsia"/>
          <w:szCs w:val="32"/>
        </w:rPr>
        <w:t>，</w:t>
      </w:r>
      <w:r w:rsidR="003741A8">
        <w:rPr>
          <w:rFonts w:hAnsi="標楷體" w:hint="eastAsia"/>
          <w:color w:val="000000"/>
          <w:szCs w:val="28"/>
        </w:rPr>
        <w:t>允宜</w:t>
      </w:r>
      <w:r w:rsidR="003741A8">
        <w:rPr>
          <w:rFonts w:hAnsi="標楷體" w:hint="eastAsia"/>
          <w:szCs w:val="32"/>
        </w:rPr>
        <w:t>督促需用機關儘速辦理，並強化相關追蹤與管控作業</w:t>
      </w:r>
      <w:r w:rsidR="005356D4">
        <w:rPr>
          <w:rFonts w:hAnsi="標楷體" w:hint="eastAsia"/>
          <w:szCs w:val="32"/>
          <w:lang w:eastAsia="zh-TW"/>
        </w:rPr>
        <w:t>等情事</w:t>
      </w:r>
      <w:proofErr w:type="spellEnd"/>
      <w:r w:rsidR="00540CB6" w:rsidRPr="00240F7C">
        <w:rPr>
          <w:rFonts w:hAnsi="標楷體" w:hint="eastAsia"/>
          <w:lang w:eastAsia="zh-HK"/>
        </w:rPr>
        <w:t>，經函請研謀妥處</w:t>
      </w:r>
      <w:r w:rsidR="00540CB6" w:rsidRPr="00040098">
        <w:rPr>
          <w:rFonts w:hAnsi="標楷體" w:hint="eastAsia"/>
          <w:lang w:eastAsia="zh-HK"/>
        </w:rPr>
        <w:t>。據復：</w:t>
      </w:r>
      <w:r w:rsidR="00081F93" w:rsidRPr="00040098">
        <w:rPr>
          <w:rFonts w:hAnsi="標楷體" w:hint="eastAsia"/>
          <w:lang w:eastAsia="zh-HK"/>
        </w:rPr>
        <w:t>財政局針對完成調配案件</w:t>
      </w:r>
      <w:r w:rsidR="009D6048">
        <w:rPr>
          <w:rFonts w:hAnsi="標楷體" w:hint="eastAsia"/>
          <w:lang w:eastAsia="zh-HK"/>
        </w:rPr>
        <w:t>，</w:t>
      </w:r>
      <w:r w:rsidR="00081F93" w:rsidRPr="00040098">
        <w:rPr>
          <w:rFonts w:hAnsi="標楷體" w:hint="eastAsia"/>
          <w:lang w:eastAsia="zh-HK"/>
        </w:rPr>
        <w:t>每年定期2次（5月及11月）發文追蹤需用機關辦理進度，就未進駐機關要求研提規劃進駐期程並說明未進駐原因，以督促機關儘速完成進駐，落實市府資產活化目標</w:t>
      </w:r>
      <w:r w:rsidR="005356D4">
        <w:rPr>
          <w:rFonts w:hAnsi="標楷體" w:hint="eastAsia"/>
          <w:lang w:eastAsia="zh-TW"/>
        </w:rPr>
        <w:t>；另</w:t>
      </w:r>
      <w:r w:rsidR="006D3BB2" w:rsidRPr="00040098">
        <w:rPr>
          <w:rFonts w:hAnsi="標楷體" w:hint="eastAsia"/>
          <w:lang w:eastAsia="zh-HK"/>
        </w:rPr>
        <w:t>衛生局調配</w:t>
      </w:r>
      <w:proofErr w:type="spellStart"/>
      <w:r w:rsidR="00AC2D09" w:rsidRPr="00876FCF">
        <w:rPr>
          <w:rFonts w:hAnsi="標楷體" w:hint="eastAsia"/>
          <w:szCs w:val="32"/>
        </w:rPr>
        <w:t>特殊儀器放置空間及實驗室</w:t>
      </w:r>
      <w:r w:rsidR="006D3BB2" w:rsidRPr="00040098">
        <w:rPr>
          <w:rFonts w:hAnsi="標楷體" w:hint="eastAsia"/>
          <w:lang w:eastAsia="zh-HK"/>
        </w:rPr>
        <w:t>預計於</w:t>
      </w:r>
      <w:proofErr w:type="spellEnd"/>
      <w:r w:rsidR="006D3BB2" w:rsidRPr="00040098">
        <w:rPr>
          <w:rFonts w:hAnsi="標楷體" w:hint="eastAsia"/>
          <w:lang w:eastAsia="zh-HK"/>
        </w:rPr>
        <w:t>115年8月完工</w:t>
      </w:r>
      <w:r w:rsidR="009D6048">
        <w:rPr>
          <w:rFonts w:hAnsi="標楷體" w:hint="eastAsia"/>
          <w:lang w:eastAsia="zh-HK"/>
        </w:rPr>
        <w:t>，</w:t>
      </w:r>
      <w:r w:rsidR="006D3BB2" w:rsidRPr="00040098">
        <w:rPr>
          <w:rFonts w:hAnsi="標楷體" w:hint="eastAsia"/>
          <w:lang w:eastAsia="zh-HK"/>
        </w:rPr>
        <w:t>同步啟動實驗室及特殊儀器搬遷作業</w:t>
      </w:r>
      <w:r w:rsidR="005356D4">
        <w:rPr>
          <w:rFonts w:hAnsi="標楷體" w:hint="eastAsia"/>
          <w:lang w:eastAsia="zh-HK"/>
        </w:rPr>
        <w:t>，</w:t>
      </w:r>
      <w:r w:rsidR="006D3BB2" w:rsidRPr="00040098">
        <w:rPr>
          <w:rFonts w:hAnsi="標楷體" w:hint="eastAsia"/>
          <w:lang w:eastAsia="zh-HK"/>
        </w:rPr>
        <w:t>觀光旅遊局調配</w:t>
      </w:r>
      <w:proofErr w:type="spellStart"/>
      <w:r w:rsidR="00AC2D09" w:rsidRPr="00876FCF">
        <w:rPr>
          <w:rFonts w:hAnsi="標楷體" w:hint="eastAsia"/>
          <w:szCs w:val="32"/>
        </w:rPr>
        <w:t>地方觀光產業及周邊環境改造規劃中心</w:t>
      </w:r>
      <w:r w:rsidR="005356D4">
        <w:rPr>
          <w:rFonts w:hAnsi="標楷體" w:hint="eastAsia"/>
          <w:szCs w:val="32"/>
          <w:lang w:eastAsia="zh-TW"/>
        </w:rPr>
        <w:t>之</w:t>
      </w:r>
      <w:proofErr w:type="spellEnd"/>
      <w:r w:rsidR="006676F5" w:rsidRPr="00040098">
        <w:rPr>
          <w:rFonts w:hAnsi="標楷體" w:hint="eastAsia"/>
          <w:lang w:eastAsia="zh-HK"/>
        </w:rPr>
        <w:t>承租廠商</w:t>
      </w:r>
      <w:r w:rsidR="006D3BB2" w:rsidRPr="00040098">
        <w:rPr>
          <w:rFonts w:hAnsi="標楷體" w:hint="eastAsia"/>
          <w:lang w:eastAsia="zh-HK"/>
        </w:rPr>
        <w:t>預計於115年第4季營運</w:t>
      </w:r>
      <w:r w:rsidR="005356D4">
        <w:rPr>
          <w:rFonts w:hAnsi="標楷體" w:hint="eastAsia"/>
          <w:lang w:eastAsia="zh-HK"/>
        </w:rPr>
        <w:t>，</w:t>
      </w:r>
      <w:r w:rsidR="006D3BB2" w:rsidRPr="00040098">
        <w:rPr>
          <w:rFonts w:hAnsi="標楷體" w:hint="eastAsia"/>
          <w:lang w:eastAsia="zh-HK"/>
        </w:rPr>
        <w:t>社會局調配</w:t>
      </w:r>
      <w:proofErr w:type="spellStart"/>
      <w:r w:rsidR="00AC2D09" w:rsidRPr="00876FCF">
        <w:rPr>
          <w:rFonts w:hAnsi="標楷體" w:hint="eastAsia"/>
          <w:szCs w:val="32"/>
        </w:rPr>
        <w:t>玩具銀行物流中心</w:t>
      </w:r>
      <w:r w:rsidR="006D3BB2" w:rsidRPr="00040098">
        <w:rPr>
          <w:rFonts w:hAnsi="標楷體" w:hint="eastAsia"/>
          <w:lang w:eastAsia="zh-HK"/>
        </w:rPr>
        <w:t>預計於</w:t>
      </w:r>
      <w:proofErr w:type="spellEnd"/>
      <w:r w:rsidR="006676F5" w:rsidRPr="00040098">
        <w:rPr>
          <w:rFonts w:hAnsi="標楷體" w:hint="eastAsia"/>
          <w:lang w:eastAsia="zh-HK"/>
        </w:rPr>
        <w:t>115年12月底前完成進駐。</w:t>
      </w:r>
    </w:p>
    <w:p w14:paraId="1E67E533" w14:textId="11F208CE" w:rsidR="008620A2" w:rsidRPr="004F674B" w:rsidRDefault="008620A2" w:rsidP="00FC7CF9">
      <w:pPr>
        <w:spacing w:beforeLines="15" w:before="54" w:afterLines="15" w:after="54" w:line="562"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二）</w:t>
      </w:r>
      <w:r w:rsidR="00540CB6" w:rsidRPr="00A65FDA">
        <w:rPr>
          <w:rFonts w:ascii="標楷體" w:hAnsi="標楷體" w:hint="eastAsia"/>
          <w:b/>
          <w:snapToGrid w:val="0"/>
          <w:sz w:val="28"/>
          <w:szCs w:val="24"/>
          <w:lang w:eastAsia="zh-HK"/>
        </w:rPr>
        <w:t>規</w:t>
      </w:r>
      <w:r w:rsidR="00540CB6" w:rsidRPr="00CE203A">
        <w:rPr>
          <w:rFonts w:ascii="標楷體" w:hAnsi="標楷體" w:hint="eastAsia"/>
          <w:b/>
          <w:snapToGrid w:val="0"/>
          <w:sz w:val="28"/>
          <w:szCs w:val="24"/>
          <w:lang w:eastAsia="zh-HK"/>
        </w:rPr>
        <w:t>劃發行永續發展債券，擬具新北市建設公債及新北市市庫券發行自治條例修正草案，響應永續發展</w:t>
      </w:r>
      <w:r w:rsidR="00540CB6" w:rsidRPr="00CE203A">
        <w:rPr>
          <w:rFonts w:ascii="標楷體" w:hAnsi="標楷體" w:hint="eastAsia"/>
          <w:b/>
          <w:snapToGrid w:val="0"/>
          <w:spacing w:val="1"/>
          <w:sz w:val="28"/>
          <w:szCs w:val="24"/>
          <w:lang w:eastAsia="zh-HK"/>
        </w:rPr>
        <w:t>政策，惟市議會完成一讀程序近一年，尚乏具體進展，允宜積極與市議會溝通協調推進相關審議作業，儘速完成法制</w:t>
      </w:r>
      <w:r w:rsidR="00540CB6" w:rsidRPr="00CE203A">
        <w:rPr>
          <w:rFonts w:ascii="標楷體" w:hAnsi="標楷體" w:hint="eastAsia"/>
          <w:b/>
          <w:snapToGrid w:val="0"/>
          <w:sz w:val="28"/>
          <w:szCs w:val="24"/>
          <w:lang w:eastAsia="zh-HK"/>
        </w:rPr>
        <w:t>程序</w:t>
      </w:r>
      <w:r w:rsidR="00240F7C" w:rsidRPr="00240F7C">
        <w:rPr>
          <w:rFonts w:ascii="標楷體" w:hAnsi="標楷體" w:hint="eastAsia"/>
          <w:b/>
          <w:snapToGrid w:val="0"/>
          <w:sz w:val="28"/>
          <w:szCs w:val="24"/>
          <w:lang w:eastAsia="zh-HK"/>
        </w:rPr>
        <w:t>。</w:t>
      </w:r>
    </w:p>
    <w:p w14:paraId="12D093B9" w14:textId="719E8C97" w:rsidR="008620A2" w:rsidRDefault="005D3091" w:rsidP="00FC7CF9">
      <w:pPr>
        <w:overflowPunct w:val="0"/>
        <w:snapToGrid w:val="0"/>
        <w:spacing w:line="528" w:lineRule="exact"/>
        <w:ind w:firstLineChars="200" w:firstLine="480"/>
        <w:jc w:val="both"/>
        <w:rPr>
          <w:rFonts w:ascii="標楷體" w:hAnsi="標楷體"/>
          <w:snapToGrid w:val="0"/>
          <w:sz w:val="24"/>
          <w:szCs w:val="24"/>
          <w:lang w:eastAsia="zh-HK"/>
        </w:rPr>
      </w:pPr>
      <w:r w:rsidRPr="005D3091">
        <w:rPr>
          <w:rFonts w:ascii="標楷體" w:hAnsi="標楷體"/>
          <w:snapToGrid w:val="0"/>
          <w:sz w:val="24"/>
          <w:szCs w:val="24"/>
          <w:lang w:eastAsia="zh-HK"/>
        </w:rPr>
        <w:t>臺灣永續發展核心目標</w:t>
      </w:r>
      <w:r w:rsidRPr="005D3091">
        <w:rPr>
          <w:rFonts w:ascii="標楷體" w:hAnsi="標楷體" w:hint="eastAsia"/>
          <w:snapToGrid w:val="0"/>
          <w:sz w:val="24"/>
          <w:szCs w:val="24"/>
          <w:lang w:eastAsia="zh-HK"/>
        </w:rPr>
        <w:t>1</w:t>
      </w:r>
      <w:r w:rsidRPr="005D3091">
        <w:rPr>
          <w:rFonts w:ascii="標楷體" w:hAnsi="標楷體"/>
          <w:snapToGrid w:val="0"/>
          <w:sz w:val="24"/>
          <w:szCs w:val="24"/>
          <w:lang w:eastAsia="zh-HK"/>
        </w:rPr>
        <w:t>1</w:t>
      </w:r>
      <w:r w:rsidRPr="005D3091">
        <w:rPr>
          <w:rFonts w:ascii="標楷體" w:hAnsi="標楷體" w:hint="eastAsia"/>
          <w:snapToGrid w:val="0"/>
          <w:sz w:val="24"/>
          <w:szCs w:val="24"/>
          <w:lang w:eastAsia="zh-HK"/>
        </w:rPr>
        <w:t>、</w:t>
      </w:r>
      <w:r w:rsidRPr="005D3091">
        <w:rPr>
          <w:rFonts w:ascii="標楷體" w:hAnsi="標楷體"/>
          <w:snapToGrid w:val="0"/>
          <w:sz w:val="24"/>
          <w:szCs w:val="24"/>
          <w:lang w:eastAsia="zh-HK"/>
        </w:rPr>
        <w:t>12揭示，</w:t>
      </w:r>
      <w:r w:rsidRPr="005D3091">
        <w:rPr>
          <w:rFonts w:ascii="標楷體" w:hAnsi="標楷體" w:hint="eastAsia"/>
          <w:snapToGrid w:val="0"/>
          <w:sz w:val="24"/>
          <w:szCs w:val="24"/>
          <w:lang w:eastAsia="zh-HK"/>
        </w:rPr>
        <w:t>建構具包容、安全、韌性及永續特質的城市，促進綠色經濟，確保永續消費及生產模式</w:t>
      </w:r>
      <w:r w:rsidRPr="005D3091">
        <w:rPr>
          <w:rFonts w:ascii="標楷體" w:hAnsi="標楷體"/>
          <w:snapToGrid w:val="0"/>
          <w:sz w:val="24"/>
          <w:szCs w:val="24"/>
          <w:lang w:eastAsia="zh-HK"/>
        </w:rPr>
        <w:t>。</w:t>
      </w:r>
      <w:r w:rsidR="005C3857" w:rsidRPr="005C3857">
        <w:rPr>
          <w:rFonts w:ascii="標楷體" w:hAnsi="標楷體" w:hint="eastAsia"/>
          <w:snapToGrid w:val="0"/>
          <w:sz w:val="24"/>
          <w:szCs w:val="24"/>
          <w:lang w:eastAsia="zh-HK"/>
        </w:rPr>
        <w:t>依財政部113年1月15日台財庫字第11303609870號函說明，為達成國家2050淨零排放之目標，協助我國政府機關籌措永續發展所需資金，</w:t>
      </w:r>
      <w:r w:rsidR="005C3857" w:rsidRPr="005C3857">
        <w:rPr>
          <w:rFonts w:ascii="標楷體" w:hAnsi="標楷體" w:hint="eastAsia"/>
          <w:snapToGrid w:val="0"/>
          <w:sz w:val="24"/>
          <w:szCs w:val="24"/>
          <w:lang w:eastAsia="zh-HK"/>
        </w:rPr>
        <w:lastRenderedPageBreak/>
        <w:t>建請中央各部會及地方政府優予考量發行永續發展政府債券。</w:t>
      </w:r>
      <w:r w:rsidR="00405750">
        <w:rPr>
          <w:rFonts w:ascii="標楷體" w:hAnsi="標楷體" w:hint="eastAsia"/>
          <w:snapToGrid w:val="0"/>
          <w:sz w:val="24"/>
          <w:szCs w:val="24"/>
          <w:lang w:eastAsia="zh-HK"/>
        </w:rPr>
        <w:t>另</w:t>
      </w:r>
      <w:r w:rsidR="00405750" w:rsidRPr="00405750">
        <w:rPr>
          <w:rFonts w:ascii="標楷體" w:hAnsi="標楷體" w:hint="eastAsia"/>
          <w:snapToGrid w:val="0"/>
          <w:sz w:val="24"/>
          <w:szCs w:val="24"/>
          <w:lang w:eastAsia="zh-HK"/>
        </w:rPr>
        <w:t>行政院1</w:t>
      </w:r>
      <w:r w:rsidR="00405750" w:rsidRPr="00405750">
        <w:rPr>
          <w:rFonts w:ascii="標楷體" w:hAnsi="標楷體"/>
          <w:snapToGrid w:val="0"/>
          <w:sz w:val="24"/>
          <w:szCs w:val="24"/>
          <w:lang w:eastAsia="zh-HK"/>
        </w:rPr>
        <w:t>13</w:t>
      </w:r>
      <w:r w:rsidR="00405750" w:rsidRPr="00405750">
        <w:rPr>
          <w:rFonts w:ascii="標楷體" w:hAnsi="標楷體" w:hint="eastAsia"/>
          <w:snapToGrid w:val="0"/>
          <w:sz w:val="24"/>
          <w:szCs w:val="24"/>
          <w:lang w:eastAsia="zh-HK"/>
        </w:rPr>
        <w:t>年1</w:t>
      </w:r>
      <w:r w:rsidR="00405750" w:rsidRPr="00405750">
        <w:rPr>
          <w:rFonts w:ascii="標楷體" w:hAnsi="標楷體"/>
          <w:snapToGrid w:val="0"/>
          <w:sz w:val="24"/>
          <w:szCs w:val="24"/>
          <w:lang w:eastAsia="zh-HK"/>
        </w:rPr>
        <w:t>2</w:t>
      </w:r>
      <w:r w:rsidR="00405750" w:rsidRPr="00405750">
        <w:rPr>
          <w:rFonts w:ascii="標楷體" w:hAnsi="標楷體" w:hint="eastAsia"/>
          <w:snapToGrid w:val="0"/>
          <w:sz w:val="24"/>
          <w:szCs w:val="24"/>
          <w:lang w:eastAsia="zh-HK"/>
        </w:rPr>
        <w:t>月2</w:t>
      </w:r>
      <w:r w:rsidR="00405750" w:rsidRPr="00405750">
        <w:rPr>
          <w:rFonts w:ascii="標楷體" w:hAnsi="標楷體"/>
          <w:snapToGrid w:val="0"/>
          <w:sz w:val="24"/>
          <w:szCs w:val="24"/>
          <w:lang w:eastAsia="zh-HK"/>
        </w:rPr>
        <w:t>6</w:t>
      </w:r>
      <w:r w:rsidR="00405750" w:rsidRPr="00405750">
        <w:rPr>
          <w:rFonts w:ascii="標楷體" w:hAnsi="標楷體" w:hint="eastAsia"/>
          <w:snapToGrid w:val="0"/>
          <w:sz w:val="24"/>
          <w:szCs w:val="24"/>
          <w:lang w:eastAsia="zh-HK"/>
        </w:rPr>
        <w:t>日函核定「兆元投資國家發展方案（1</w:t>
      </w:r>
      <w:r w:rsidR="00405750" w:rsidRPr="00405750">
        <w:rPr>
          <w:rFonts w:ascii="標楷體" w:hAnsi="標楷體"/>
          <w:snapToGrid w:val="0"/>
          <w:sz w:val="24"/>
          <w:szCs w:val="24"/>
          <w:lang w:eastAsia="zh-HK"/>
        </w:rPr>
        <w:t>14</w:t>
      </w:r>
      <w:r w:rsidR="00550853">
        <w:rPr>
          <w:rFonts w:ascii="標楷體" w:hAnsi="標楷體"/>
          <w:snapToGrid w:val="0"/>
          <w:sz w:val="24"/>
          <w:szCs w:val="24"/>
          <w:lang w:eastAsia="zh-HK"/>
        </w:rPr>
        <w:t>－</w:t>
      </w:r>
      <w:r w:rsidR="00405750" w:rsidRPr="00405750">
        <w:rPr>
          <w:rFonts w:ascii="標楷體" w:hAnsi="標楷體"/>
          <w:snapToGrid w:val="0"/>
          <w:sz w:val="24"/>
          <w:szCs w:val="24"/>
          <w:lang w:eastAsia="zh-HK"/>
        </w:rPr>
        <w:t>117</w:t>
      </w:r>
      <w:r w:rsidR="00405750" w:rsidRPr="00405750">
        <w:rPr>
          <w:rFonts w:ascii="標楷體" w:hAnsi="標楷體" w:hint="eastAsia"/>
          <w:snapToGrid w:val="0"/>
          <w:sz w:val="24"/>
          <w:szCs w:val="24"/>
          <w:lang w:eastAsia="zh-HK"/>
        </w:rPr>
        <w:t>年）」</w:t>
      </w:r>
      <w:r w:rsidR="006922BC">
        <w:rPr>
          <w:rFonts w:ascii="標楷體" w:hAnsi="標楷體" w:hint="eastAsia"/>
          <w:snapToGrid w:val="0"/>
          <w:sz w:val="24"/>
          <w:szCs w:val="24"/>
          <w:lang w:eastAsia="zh-HK"/>
        </w:rPr>
        <w:t>載明</w:t>
      </w:r>
      <w:r w:rsidR="00405750" w:rsidRPr="00405750">
        <w:rPr>
          <w:rFonts w:ascii="標楷體" w:hAnsi="標楷體" w:hint="eastAsia"/>
          <w:snapToGrid w:val="0"/>
          <w:sz w:val="24"/>
          <w:szCs w:val="24"/>
          <w:lang w:eastAsia="zh-HK"/>
        </w:rPr>
        <w:t>，1</w:t>
      </w:r>
      <w:r w:rsidR="00405750" w:rsidRPr="00405750">
        <w:rPr>
          <w:rFonts w:ascii="標楷體" w:hAnsi="標楷體"/>
          <w:snapToGrid w:val="0"/>
          <w:sz w:val="24"/>
          <w:szCs w:val="24"/>
          <w:lang w:eastAsia="zh-HK"/>
        </w:rPr>
        <w:t>14</w:t>
      </w:r>
      <w:r w:rsidR="00405750" w:rsidRPr="00405750">
        <w:rPr>
          <w:rFonts w:ascii="標楷體" w:hAnsi="標楷體" w:hint="eastAsia"/>
          <w:snapToGrid w:val="0"/>
          <w:sz w:val="24"/>
          <w:szCs w:val="24"/>
          <w:lang w:eastAsia="zh-HK"/>
        </w:rPr>
        <w:t>至1</w:t>
      </w:r>
      <w:r w:rsidR="00405750" w:rsidRPr="00405750">
        <w:rPr>
          <w:rFonts w:ascii="標楷體" w:hAnsi="標楷體"/>
          <w:snapToGrid w:val="0"/>
          <w:sz w:val="24"/>
          <w:szCs w:val="24"/>
          <w:lang w:eastAsia="zh-HK"/>
        </w:rPr>
        <w:t>17</w:t>
      </w:r>
      <w:r w:rsidR="00405750" w:rsidRPr="00405750">
        <w:rPr>
          <w:rFonts w:ascii="標楷體" w:hAnsi="標楷體" w:hint="eastAsia"/>
          <w:snapToGrid w:val="0"/>
          <w:sz w:val="24"/>
          <w:szCs w:val="24"/>
          <w:lang w:eastAsia="zh-HK"/>
        </w:rPr>
        <w:t>年度我國目標發行永續發展債券規模5</w:t>
      </w:r>
      <w:r w:rsidR="00405750" w:rsidRPr="00405750">
        <w:rPr>
          <w:rFonts w:ascii="標楷體" w:hAnsi="標楷體"/>
          <w:snapToGrid w:val="0"/>
          <w:sz w:val="24"/>
          <w:szCs w:val="24"/>
          <w:lang w:eastAsia="zh-HK"/>
        </w:rPr>
        <w:t>,100</w:t>
      </w:r>
      <w:r w:rsidR="00405750" w:rsidRPr="00405750">
        <w:rPr>
          <w:rFonts w:ascii="標楷體" w:hAnsi="標楷體" w:hint="eastAsia"/>
          <w:snapToGrid w:val="0"/>
          <w:sz w:val="24"/>
          <w:szCs w:val="24"/>
          <w:lang w:eastAsia="zh-HK"/>
        </w:rPr>
        <w:t>億元至6</w:t>
      </w:r>
      <w:r w:rsidR="00405750" w:rsidRPr="00405750">
        <w:rPr>
          <w:rFonts w:ascii="標楷體" w:hAnsi="標楷體"/>
          <w:snapToGrid w:val="0"/>
          <w:sz w:val="24"/>
          <w:szCs w:val="24"/>
          <w:lang w:eastAsia="zh-HK"/>
        </w:rPr>
        <w:t>,100</w:t>
      </w:r>
      <w:r w:rsidR="00405750" w:rsidRPr="00405750">
        <w:rPr>
          <w:rFonts w:ascii="標楷體" w:hAnsi="標楷體" w:hint="eastAsia"/>
          <w:snapToGrid w:val="0"/>
          <w:sz w:val="24"/>
          <w:szCs w:val="24"/>
          <w:lang w:eastAsia="zh-HK"/>
        </w:rPr>
        <w:t>億元，亟待各部會及各地方政府協力推動，各級政府倘有公共建設經費需舉借債務籌措，建請優先依「永續經濟活動認定參考指引」評估以發行永續發展債券籌資。</w:t>
      </w:r>
      <w:r w:rsidR="008C451A" w:rsidRPr="00A65FDA">
        <w:rPr>
          <w:rFonts w:ascii="標楷體" w:hAnsi="標楷體" w:hint="eastAsia"/>
          <w:snapToGrid w:val="0"/>
          <w:sz w:val="24"/>
          <w:szCs w:val="24"/>
          <w:lang w:eastAsia="zh-HK"/>
        </w:rPr>
        <w:t>市政府為使各項重大建設皆得發行建設公債籌資，不受預算種類限制，暨響應永續發展政策，使市府捷運、社會住宅等具備永續發展效益之建設計畫得發行永續發展債券，並符合發行永續發展債券所募集之資金須全部用於投資計畫支出或償還投資計畫債務之規定，擬具新北市建設公債及新北市市庫券發行自治條例修正草案，於113年10月11日送請市議會審議，該會於114年5月1日完成一讀，同年10月27日進行審查決議該案保留並延後討論。</w:t>
      </w:r>
      <w:r w:rsidR="00FE7F2A">
        <w:rPr>
          <w:rFonts w:ascii="標楷體" w:hAnsi="標楷體" w:hint="eastAsia"/>
          <w:snapToGrid w:val="0"/>
          <w:sz w:val="24"/>
          <w:szCs w:val="24"/>
          <w:lang w:eastAsia="zh-HK"/>
        </w:rPr>
        <w:t>經查</w:t>
      </w:r>
      <w:r w:rsidR="008C451A" w:rsidRPr="00A65FDA">
        <w:rPr>
          <w:rFonts w:ascii="標楷體" w:hAnsi="標楷體" w:hint="eastAsia"/>
          <w:snapToGrid w:val="0"/>
          <w:sz w:val="24"/>
          <w:szCs w:val="24"/>
          <w:lang w:eastAsia="zh-HK"/>
        </w:rPr>
        <w:t>截至本處查核日（1</w:t>
      </w:r>
      <w:r w:rsidR="008C451A" w:rsidRPr="00A65FDA">
        <w:rPr>
          <w:rFonts w:ascii="標楷體" w:hAnsi="標楷體"/>
          <w:snapToGrid w:val="0"/>
          <w:sz w:val="24"/>
          <w:szCs w:val="24"/>
          <w:lang w:eastAsia="zh-HK"/>
        </w:rPr>
        <w:t>15</w:t>
      </w:r>
      <w:r w:rsidR="008C451A" w:rsidRPr="00A65FDA">
        <w:rPr>
          <w:rFonts w:ascii="標楷體" w:hAnsi="標楷體" w:hint="eastAsia"/>
          <w:snapToGrid w:val="0"/>
          <w:sz w:val="24"/>
          <w:szCs w:val="24"/>
          <w:lang w:eastAsia="zh-HK"/>
        </w:rPr>
        <w:t>年4月1</w:t>
      </w:r>
      <w:r w:rsidR="008C451A" w:rsidRPr="00A65FDA">
        <w:rPr>
          <w:rFonts w:ascii="標楷體" w:hAnsi="標楷體"/>
          <w:snapToGrid w:val="0"/>
          <w:sz w:val="24"/>
          <w:szCs w:val="24"/>
          <w:lang w:eastAsia="zh-HK"/>
        </w:rPr>
        <w:t>7</w:t>
      </w:r>
      <w:r w:rsidR="008C451A" w:rsidRPr="00A65FDA">
        <w:rPr>
          <w:rFonts w:ascii="標楷體" w:hAnsi="標楷體" w:hint="eastAsia"/>
          <w:snapToGrid w:val="0"/>
          <w:sz w:val="24"/>
          <w:szCs w:val="24"/>
          <w:lang w:eastAsia="zh-HK"/>
        </w:rPr>
        <w:t>日）止，距市議會完成一讀程序近一年，法制作業尚乏具體進展。考量永續發展債券因綠色溢價，其發行利率較其他債券低，有鎖定長期固定利率之優勢，並可降低政府融資成本，允宜積極與市議會溝通協調推進相關審議作業，儘速完成法制程序，俾利市</w:t>
      </w:r>
      <w:r w:rsidR="00077D88">
        <w:rPr>
          <w:rFonts w:ascii="標楷體" w:hAnsi="標楷體" w:hint="eastAsia"/>
          <w:snapToGrid w:val="0"/>
          <w:sz w:val="24"/>
          <w:szCs w:val="24"/>
          <w:lang w:eastAsia="zh-HK"/>
        </w:rPr>
        <w:t>政</w:t>
      </w:r>
      <w:r w:rsidR="008C451A" w:rsidRPr="00A65FDA">
        <w:rPr>
          <w:rFonts w:ascii="標楷體" w:hAnsi="標楷體" w:hint="eastAsia"/>
          <w:snapToGrid w:val="0"/>
          <w:sz w:val="24"/>
          <w:szCs w:val="24"/>
          <w:lang w:eastAsia="zh-HK"/>
        </w:rPr>
        <w:t>府多元籌資妥覓施政財源，落實永續發展目標</w:t>
      </w:r>
      <w:r w:rsidR="00077D88">
        <w:rPr>
          <w:rFonts w:ascii="標楷體" w:hAnsi="標楷體" w:hint="eastAsia"/>
          <w:snapToGrid w:val="0"/>
          <w:sz w:val="24"/>
          <w:szCs w:val="24"/>
          <w:lang w:eastAsia="zh-HK"/>
        </w:rPr>
        <w:t>等情事</w:t>
      </w:r>
      <w:r w:rsidR="008C451A" w:rsidRPr="00240F7C">
        <w:rPr>
          <w:rFonts w:ascii="標楷體" w:hAnsi="標楷體" w:hint="eastAsia"/>
          <w:snapToGrid w:val="0"/>
          <w:sz w:val="24"/>
          <w:szCs w:val="24"/>
          <w:lang w:eastAsia="zh-HK"/>
        </w:rPr>
        <w:t>，經函請研謀妥處。據復：</w:t>
      </w:r>
      <w:r w:rsidR="00C605A3" w:rsidRPr="00C605A3">
        <w:rPr>
          <w:rFonts w:ascii="標楷體" w:hAnsi="標楷體" w:hint="eastAsia"/>
          <w:snapToGrid w:val="0"/>
          <w:sz w:val="24"/>
          <w:szCs w:val="24"/>
          <w:lang w:eastAsia="zh-HK"/>
        </w:rPr>
        <w:t>財政局於115年4月至5月間拜會市議會法規審查會委員，就修正草案內容與預期效益進行說明，將賡續透過府會協調機制、拜會議員及提供書面資料等方式，加強與市議會溝通交流，以儘速完成法規審議程序</w:t>
      </w:r>
      <w:r w:rsidR="00240F7C" w:rsidRPr="00240F7C">
        <w:rPr>
          <w:rFonts w:ascii="標楷體" w:hAnsi="標楷體" w:hint="eastAsia"/>
          <w:snapToGrid w:val="0"/>
          <w:sz w:val="24"/>
          <w:szCs w:val="24"/>
          <w:lang w:eastAsia="zh-HK"/>
        </w:rPr>
        <w:t>。</w:t>
      </w:r>
    </w:p>
    <w:p w14:paraId="66BFCA8A" w14:textId="5E663936" w:rsidR="008620A2" w:rsidRPr="004370A9" w:rsidRDefault="008620A2" w:rsidP="00FC7CF9">
      <w:pPr>
        <w:spacing w:beforeLines="15" w:before="54" w:afterLines="15" w:after="54" w:line="580" w:lineRule="exact"/>
        <w:ind w:firstLineChars="200" w:firstLine="561"/>
        <w:jc w:val="both"/>
        <w:rPr>
          <w:rFonts w:ascii="標楷體" w:hAnsi="標楷體"/>
          <w:b/>
          <w:snapToGrid w:val="0"/>
          <w:sz w:val="28"/>
          <w:szCs w:val="24"/>
        </w:rPr>
      </w:pPr>
      <w:r w:rsidRPr="00B77F51">
        <w:rPr>
          <w:rFonts w:ascii="標楷體" w:hAnsi="標楷體" w:hint="eastAsia"/>
          <w:b/>
          <w:snapToGrid w:val="0"/>
          <w:kern w:val="2"/>
          <w:sz w:val="28"/>
          <w:szCs w:val="24"/>
        </w:rPr>
        <w:t>（</w:t>
      </w:r>
      <w:r>
        <w:rPr>
          <w:rFonts w:ascii="標楷體" w:hAnsi="標楷體" w:hint="eastAsia"/>
          <w:b/>
          <w:snapToGrid w:val="0"/>
          <w:kern w:val="2"/>
          <w:sz w:val="28"/>
          <w:szCs w:val="24"/>
        </w:rPr>
        <w:t>三</w:t>
      </w:r>
      <w:r w:rsidRPr="00B77F51">
        <w:rPr>
          <w:rFonts w:ascii="標楷體" w:hAnsi="標楷體" w:hint="eastAsia"/>
          <w:b/>
          <w:snapToGrid w:val="0"/>
          <w:kern w:val="2"/>
          <w:sz w:val="28"/>
          <w:szCs w:val="24"/>
        </w:rPr>
        <w:t>）</w:t>
      </w:r>
      <w:r w:rsidR="00DE203D" w:rsidRPr="00501E51">
        <w:rPr>
          <w:rFonts w:ascii="標楷體" w:hAnsi="標楷體" w:hint="eastAsia"/>
          <w:b/>
          <w:snapToGrid w:val="0"/>
          <w:sz w:val="28"/>
          <w:szCs w:val="24"/>
        </w:rPr>
        <w:t>公共債務未償餘額逐年降低，有助財政永續，惟未來或有給付責任及市庫</w:t>
      </w:r>
      <w:r w:rsidR="003B2DF9" w:rsidRPr="00501E51">
        <w:rPr>
          <w:rFonts w:ascii="標楷體" w:hAnsi="標楷體" w:hint="eastAsia"/>
          <w:b/>
          <w:snapToGrid w:val="0"/>
          <w:sz w:val="28"/>
          <w:szCs w:val="24"/>
        </w:rPr>
        <w:t>向</w:t>
      </w:r>
      <w:r w:rsidR="00DE203D" w:rsidRPr="00501E51">
        <w:rPr>
          <w:rFonts w:ascii="標楷體" w:hAnsi="標楷體" w:hint="eastAsia"/>
          <w:b/>
          <w:snapToGrid w:val="0"/>
          <w:sz w:val="28"/>
          <w:szCs w:val="24"/>
        </w:rPr>
        <w:t>納入集中支付特種基金及機關專戶調度餘額仍鉅，整體財政負擔仍重，允宜賡續加強開源節流</w:t>
      </w:r>
      <w:r w:rsidR="00240F7C" w:rsidRPr="00240F7C">
        <w:rPr>
          <w:rFonts w:ascii="標楷體" w:hAnsi="標楷體" w:hint="eastAsia"/>
          <w:b/>
          <w:snapToGrid w:val="0"/>
          <w:sz w:val="28"/>
          <w:szCs w:val="24"/>
        </w:rPr>
        <w:t>。</w:t>
      </w:r>
    </w:p>
    <w:p w14:paraId="502BDD48" w14:textId="30BA4301" w:rsidR="00CF6320" w:rsidRPr="003226C8" w:rsidRDefault="00DE203D" w:rsidP="00FC7CF9">
      <w:pPr>
        <w:overflowPunct w:val="0"/>
        <w:snapToGrid w:val="0"/>
        <w:spacing w:line="528" w:lineRule="exact"/>
        <w:ind w:firstLineChars="200" w:firstLine="480"/>
        <w:jc w:val="both"/>
        <w:rPr>
          <w:rFonts w:ascii="標楷體" w:hAnsi="標楷體"/>
          <w:sz w:val="24"/>
          <w:szCs w:val="24"/>
        </w:rPr>
      </w:pPr>
      <w:r w:rsidRPr="00501E51">
        <w:rPr>
          <w:rFonts w:ascii="標楷體" w:hAnsi="標楷體" w:hint="eastAsia"/>
          <w:sz w:val="24"/>
          <w:szCs w:val="24"/>
          <w:lang w:eastAsia="zh-HK"/>
        </w:rPr>
        <w:t>據財政局網站登載市政府公共債務訊息，截至</w:t>
      </w:r>
      <w:r w:rsidRPr="00501E51">
        <w:rPr>
          <w:rFonts w:ascii="標楷體" w:hAnsi="標楷體"/>
          <w:sz w:val="24"/>
          <w:szCs w:val="24"/>
          <w:lang w:eastAsia="zh-HK"/>
        </w:rPr>
        <w:t>11</w:t>
      </w:r>
      <w:r w:rsidRPr="00501E51">
        <w:rPr>
          <w:rFonts w:ascii="標楷體" w:hAnsi="標楷體" w:hint="eastAsia"/>
          <w:sz w:val="24"/>
          <w:szCs w:val="24"/>
          <w:lang w:eastAsia="zh-HK"/>
        </w:rPr>
        <w:t>4年底止，</w:t>
      </w:r>
      <w:r>
        <w:rPr>
          <w:rFonts w:ascii="標楷體" w:hAnsi="標楷體" w:hint="eastAsia"/>
          <w:sz w:val="24"/>
          <w:szCs w:val="24"/>
          <w:lang w:eastAsia="zh-HK"/>
        </w:rPr>
        <w:t>市政</w:t>
      </w:r>
      <w:r w:rsidRPr="00501E51">
        <w:rPr>
          <w:rFonts w:ascii="標楷體" w:hAnsi="標楷體" w:hint="eastAsia"/>
          <w:sz w:val="24"/>
          <w:szCs w:val="24"/>
          <w:lang w:eastAsia="zh-HK"/>
        </w:rPr>
        <w:t>府</w:t>
      </w:r>
      <w:r w:rsidRPr="00501E51">
        <w:rPr>
          <w:rFonts w:ascii="標楷體" w:hAnsi="標楷體"/>
          <w:sz w:val="24"/>
          <w:szCs w:val="24"/>
          <w:lang w:eastAsia="zh-HK"/>
        </w:rPr>
        <w:t>1</w:t>
      </w:r>
      <w:r w:rsidRPr="00501E51">
        <w:rPr>
          <w:rFonts w:ascii="標楷體" w:hAnsi="標楷體" w:hint="eastAsia"/>
          <w:sz w:val="24"/>
          <w:szCs w:val="24"/>
          <w:lang w:eastAsia="zh-HK"/>
        </w:rPr>
        <w:t>年以上及未滿</w:t>
      </w:r>
      <w:r w:rsidRPr="00501E51">
        <w:rPr>
          <w:rFonts w:ascii="標楷體" w:hAnsi="標楷體"/>
          <w:sz w:val="24"/>
          <w:szCs w:val="24"/>
          <w:lang w:eastAsia="zh-HK"/>
        </w:rPr>
        <w:t>1</w:t>
      </w:r>
      <w:r w:rsidRPr="00501E51">
        <w:rPr>
          <w:rFonts w:ascii="標楷體" w:hAnsi="標楷體" w:hint="eastAsia"/>
          <w:sz w:val="24"/>
          <w:szCs w:val="24"/>
          <w:lang w:eastAsia="zh-HK"/>
        </w:rPr>
        <w:t>年之公共債務未償餘額分別為959億元及75億元，公共債務未償餘額合計</w:t>
      </w:r>
      <w:r w:rsidRPr="00501E51">
        <w:rPr>
          <w:rFonts w:ascii="標楷體" w:hAnsi="標楷體"/>
          <w:sz w:val="24"/>
          <w:szCs w:val="24"/>
          <w:lang w:eastAsia="zh-HK"/>
        </w:rPr>
        <w:t>1,</w:t>
      </w:r>
      <w:r w:rsidRPr="00501E51">
        <w:rPr>
          <w:rFonts w:ascii="標楷體" w:hAnsi="標楷體" w:hint="eastAsia"/>
          <w:sz w:val="24"/>
          <w:szCs w:val="24"/>
          <w:lang w:eastAsia="zh-HK"/>
        </w:rPr>
        <w:t>034億元，較</w:t>
      </w:r>
      <w:r w:rsidRPr="00501E51">
        <w:rPr>
          <w:rFonts w:ascii="標楷體" w:hAnsi="標楷體"/>
          <w:sz w:val="24"/>
          <w:szCs w:val="24"/>
          <w:lang w:eastAsia="zh-HK"/>
        </w:rPr>
        <w:t>11</w:t>
      </w:r>
      <w:r w:rsidRPr="00501E51">
        <w:rPr>
          <w:rFonts w:ascii="標楷體" w:hAnsi="標楷體" w:hint="eastAsia"/>
          <w:sz w:val="24"/>
          <w:szCs w:val="24"/>
          <w:lang w:eastAsia="zh-HK"/>
        </w:rPr>
        <w:t>2及</w:t>
      </w:r>
      <w:r w:rsidRPr="00501E51">
        <w:rPr>
          <w:rFonts w:ascii="標楷體" w:hAnsi="標楷體"/>
          <w:sz w:val="24"/>
          <w:szCs w:val="24"/>
          <w:lang w:eastAsia="zh-HK"/>
        </w:rPr>
        <w:t>11</w:t>
      </w:r>
      <w:r w:rsidRPr="00501E51">
        <w:rPr>
          <w:rFonts w:ascii="標楷體" w:hAnsi="標楷體" w:hint="eastAsia"/>
          <w:sz w:val="24"/>
          <w:szCs w:val="24"/>
          <w:lang w:eastAsia="zh-HK"/>
        </w:rPr>
        <w:t>3年底之</w:t>
      </w:r>
      <w:r w:rsidRPr="00501E51">
        <w:rPr>
          <w:rFonts w:ascii="標楷體" w:hAnsi="標楷體"/>
          <w:sz w:val="24"/>
          <w:szCs w:val="24"/>
          <w:lang w:eastAsia="zh-HK"/>
        </w:rPr>
        <w:t>1,</w:t>
      </w:r>
      <w:r w:rsidRPr="00501E51">
        <w:rPr>
          <w:rFonts w:ascii="標楷體" w:hAnsi="標楷體" w:hint="eastAsia"/>
          <w:sz w:val="24"/>
          <w:szCs w:val="24"/>
          <w:lang w:eastAsia="zh-HK"/>
        </w:rPr>
        <w:t>179億9</w:t>
      </w:r>
      <w:r w:rsidRPr="00501E51">
        <w:rPr>
          <w:rFonts w:ascii="標楷體" w:hAnsi="標楷體"/>
          <w:sz w:val="24"/>
          <w:szCs w:val="24"/>
          <w:lang w:eastAsia="zh-HK"/>
        </w:rPr>
        <w:t>,</w:t>
      </w:r>
      <w:r w:rsidRPr="00501E51">
        <w:rPr>
          <w:rFonts w:ascii="標楷體" w:hAnsi="標楷體" w:hint="eastAsia"/>
          <w:sz w:val="24"/>
          <w:szCs w:val="24"/>
          <w:lang w:eastAsia="zh-HK"/>
        </w:rPr>
        <w:t>5</w:t>
      </w:r>
      <w:r w:rsidRPr="00501E51">
        <w:rPr>
          <w:rFonts w:ascii="標楷體" w:hAnsi="標楷體"/>
          <w:sz w:val="24"/>
          <w:szCs w:val="24"/>
          <w:lang w:eastAsia="zh-HK"/>
        </w:rPr>
        <w:t>60</w:t>
      </w:r>
      <w:r w:rsidRPr="00501E51">
        <w:rPr>
          <w:rFonts w:ascii="標楷體" w:hAnsi="標楷體" w:hint="eastAsia"/>
          <w:sz w:val="24"/>
          <w:szCs w:val="24"/>
          <w:lang w:eastAsia="zh-HK"/>
        </w:rPr>
        <w:t>萬元及</w:t>
      </w:r>
      <w:r w:rsidRPr="00501E51">
        <w:rPr>
          <w:rFonts w:ascii="標楷體" w:hAnsi="標楷體"/>
          <w:sz w:val="24"/>
          <w:szCs w:val="24"/>
          <w:lang w:eastAsia="zh-HK"/>
        </w:rPr>
        <w:t>1,</w:t>
      </w:r>
      <w:r w:rsidRPr="00501E51">
        <w:rPr>
          <w:rFonts w:ascii="標楷體" w:hAnsi="標楷體" w:hint="eastAsia"/>
          <w:sz w:val="24"/>
          <w:szCs w:val="24"/>
          <w:lang w:eastAsia="zh-HK"/>
        </w:rPr>
        <w:t>040億元，分別減少</w:t>
      </w:r>
      <w:r w:rsidRPr="00501E51">
        <w:rPr>
          <w:rFonts w:ascii="標楷體" w:hAnsi="標楷體"/>
          <w:sz w:val="24"/>
          <w:szCs w:val="24"/>
          <w:lang w:eastAsia="zh-HK"/>
        </w:rPr>
        <w:t>14</w:t>
      </w:r>
      <w:r w:rsidRPr="00501E51">
        <w:rPr>
          <w:rFonts w:ascii="標楷體" w:hAnsi="標楷體" w:hint="eastAsia"/>
          <w:sz w:val="24"/>
          <w:szCs w:val="24"/>
          <w:lang w:eastAsia="zh-HK"/>
        </w:rPr>
        <w:t>5億9</w:t>
      </w:r>
      <w:r w:rsidRPr="00501E51">
        <w:rPr>
          <w:rFonts w:ascii="標楷體" w:hAnsi="標楷體"/>
          <w:sz w:val="24"/>
          <w:szCs w:val="24"/>
          <w:lang w:eastAsia="zh-HK"/>
        </w:rPr>
        <w:t>,</w:t>
      </w:r>
      <w:r w:rsidRPr="00501E51">
        <w:rPr>
          <w:rFonts w:ascii="標楷體" w:hAnsi="標楷體" w:hint="eastAsia"/>
          <w:sz w:val="24"/>
          <w:szCs w:val="24"/>
          <w:lang w:eastAsia="zh-HK"/>
        </w:rPr>
        <w:t>5</w:t>
      </w:r>
      <w:r w:rsidRPr="00501E51">
        <w:rPr>
          <w:rFonts w:ascii="標楷體" w:hAnsi="標楷體"/>
          <w:sz w:val="24"/>
          <w:szCs w:val="24"/>
          <w:lang w:eastAsia="zh-HK"/>
        </w:rPr>
        <w:t>60</w:t>
      </w:r>
      <w:r w:rsidRPr="00501E51">
        <w:rPr>
          <w:rFonts w:ascii="標楷體" w:hAnsi="標楷體" w:hint="eastAsia"/>
          <w:sz w:val="24"/>
          <w:szCs w:val="24"/>
          <w:lang w:eastAsia="zh-HK"/>
        </w:rPr>
        <w:t>萬元及6億元，公共債務未償餘額逐年降低，有助財政永續。</w:t>
      </w:r>
      <w:r w:rsidR="000F5AAB">
        <w:rPr>
          <w:rFonts w:ascii="標楷體" w:hAnsi="標楷體" w:hint="eastAsia"/>
          <w:sz w:val="24"/>
          <w:szCs w:val="24"/>
          <w:lang w:eastAsia="zh-HK"/>
        </w:rPr>
        <w:t>經查其執行情形，核有：</w:t>
      </w:r>
      <w:r>
        <w:rPr>
          <w:rFonts w:ascii="標楷體" w:hAnsi="標楷體" w:hint="eastAsia"/>
          <w:sz w:val="24"/>
          <w:szCs w:val="24"/>
          <w:lang w:eastAsia="zh-HK"/>
        </w:rPr>
        <w:t>市政</w:t>
      </w:r>
      <w:r w:rsidRPr="00501E51">
        <w:rPr>
          <w:rFonts w:ascii="標楷體" w:hAnsi="標楷體" w:hint="eastAsia"/>
          <w:sz w:val="24"/>
          <w:szCs w:val="24"/>
          <w:lang w:eastAsia="zh-HK"/>
        </w:rPr>
        <w:t>府</w:t>
      </w:r>
      <w:r w:rsidRPr="00501E51">
        <w:rPr>
          <w:rFonts w:ascii="標楷體" w:hAnsi="標楷體"/>
          <w:sz w:val="24"/>
          <w:szCs w:val="24"/>
          <w:lang w:eastAsia="zh-HK"/>
        </w:rPr>
        <w:t>11</w:t>
      </w:r>
      <w:r w:rsidRPr="00501E51">
        <w:rPr>
          <w:rFonts w:ascii="標楷體" w:hAnsi="標楷體" w:hint="eastAsia"/>
          <w:sz w:val="24"/>
          <w:szCs w:val="24"/>
          <w:lang w:eastAsia="zh-HK"/>
        </w:rPr>
        <w:t>4年度總預算執行結果，歲入歲出短絀49億4</w:t>
      </w:r>
      <w:r w:rsidRPr="00501E51">
        <w:rPr>
          <w:rFonts w:ascii="標楷體" w:hAnsi="標楷體"/>
          <w:sz w:val="24"/>
          <w:szCs w:val="24"/>
          <w:lang w:eastAsia="zh-HK"/>
        </w:rPr>
        <w:t>,011</w:t>
      </w:r>
      <w:r w:rsidRPr="00501E51">
        <w:rPr>
          <w:rFonts w:ascii="標楷體" w:hAnsi="標楷體" w:hint="eastAsia"/>
          <w:sz w:val="24"/>
          <w:szCs w:val="24"/>
          <w:lang w:eastAsia="zh-HK"/>
        </w:rPr>
        <w:t>萬餘元，加計當年度債務還本數953億</w:t>
      </w:r>
      <w:r w:rsidRPr="00501E51">
        <w:rPr>
          <w:rFonts w:ascii="標楷體" w:hAnsi="標楷體"/>
          <w:sz w:val="24"/>
          <w:szCs w:val="24"/>
          <w:lang w:eastAsia="zh-HK"/>
        </w:rPr>
        <w:t>5,00</w:t>
      </w:r>
      <w:r w:rsidRPr="00501E51">
        <w:rPr>
          <w:rFonts w:ascii="標楷體" w:hAnsi="標楷體" w:hint="eastAsia"/>
          <w:sz w:val="24"/>
          <w:szCs w:val="24"/>
          <w:lang w:eastAsia="zh-HK"/>
        </w:rPr>
        <w:t>0萬元，經以舉借債務972億</w:t>
      </w:r>
      <w:r w:rsidRPr="00501E51">
        <w:rPr>
          <w:rFonts w:ascii="標楷體" w:hAnsi="標楷體"/>
          <w:sz w:val="24"/>
          <w:szCs w:val="24"/>
          <w:lang w:eastAsia="zh-HK"/>
        </w:rPr>
        <w:t>5,000</w:t>
      </w:r>
      <w:r w:rsidRPr="00501E51">
        <w:rPr>
          <w:rFonts w:ascii="標楷體" w:hAnsi="標楷體" w:hint="eastAsia"/>
          <w:sz w:val="24"/>
          <w:szCs w:val="24"/>
          <w:lang w:eastAsia="zh-HK"/>
        </w:rPr>
        <w:t>萬元支應，仍有收支短絀30億4</w:t>
      </w:r>
      <w:r w:rsidRPr="00501E51">
        <w:rPr>
          <w:rFonts w:ascii="標楷體" w:hAnsi="標楷體"/>
          <w:sz w:val="24"/>
          <w:szCs w:val="24"/>
          <w:lang w:eastAsia="zh-HK"/>
        </w:rPr>
        <w:t>,</w:t>
      </w:r>
      <w:r w:rsidRPr="00501E51">
        <w:rPr>
          <w:rFonts w:ascii="標楷體" w:hAnsi="標楷體" w:hint="eastAsia"/>
          <w:sz w:val="24"/>
          <w:szCs w:val="24"/>
          <w:lang w:eastAsia="zh-HK"/>
        </w:rPr>
        <w:t>0</w:t>
      </w:r>
      <w:r w:rsidRPr="00501E51">
        <w:rPr>
          <w:rFonts w:ascii="標楷體" w:hAnsi="標楷體"/>
          <w:sz w:val="24"/>
          <w:szCs w:val="24"/>
          <w:lang w:eastAsia="zh-HK"/>
        </w:rPr>
        <w:t>11</w:t>
      </w:r>
      <w:r w:rsidRPr="00501E51">
        <w:rPr>
          <w:rFonts w:ascii="標楷體" w:hAnsi="標楷體" w:hint="eastAsia"/>
          <w:sz w:val="24"/>
          <w:szCs w:val="24"/>
          <w:lang w:eastAsia="zh-HK"/>
        </w:rPr>
        <w:t>萬餘元；又</w:t>
      </w:r>
      <w:r>
        <w:rPr>
          <w:rFonts w:ascii="標楷體" w:hAnsi="標楷體" w:hint="eastAsia"/>
          <w:sz w:val="24"/>
          <w:szCs w:val="24"/>
          <w:lang w:eastAsia="zh-HK"/>
        </w:rPr>
        <w:t>市政</w:t>
      </w:r>
      <w:r w:rsidRPr="00501E51">
        <w:rPr>
          <w:rFonts w:ascii="標楷體" w:hAnsi="標楷體" w:hint="eastAsia"/>
          <w:sz w:val="24"/>
          <w:szCs w:val="24"/>
          <w:lang w:eastAsia="zh-HK"/>
        </w:rPr>
        <w:t>府歲入歲出餘絀由1</w:t>
      </w:r>
      <w:r w:rsidRPr="00501E51">
        <w:rPr>
          <w:rFonts w:ascii="標楷體" w:hAnsi="標楷體"/>
          <w:sz w:val="24"/>
          <w:szCs w:val="24"/>
          <w:lang w:eastAsia="zh-HK"/>
        </w:rPr>
        <w:t>09</w:t>
      </w:r>
      <w:r w:rsidRPr="00501E51">
        <w:rPr>
          <w:rFonts w:ascii="標楷體" w:hAnsi="標楷體" w:hint="eastAsia"/>
          <w:sz w:val="24"/>
          <w:szCs w:val="24"/>
          <w:lang w:eastAsia="zh-HK"/>
        </w:rPr>
        <w:t>年度短絀</w:t>
      </w:r>
      <w:r w:rsidRPr="00501E51">
        <w:rPr>
          <w:rFonts w:ascii="標楷體" w:hAnsi="標楷體"/>
          <w:sz w:val="24"/>
          <w:szCs w:val="24"/>
          <w:lang w:eastAsia="zh-HK"/>
        </w:rPr>
        <w:t>39</w:t>
      </w:r>
      <w:r w:rsidRPr="00501E51">
        <w:rPr>
          <w:rFonts w:ascii="標楷體" w:hAnsi="標楷體" w:hint="eastAsia"/>
          <w:sz w:val="24"/>
          <w:szCs w:val="24"/>
          <w:lang w:eastAsia="zh-HK"/>
        </w:rPr>
        <w:t>億6</w:t>
      </w:r>
      <w:r w:rsidRPr="00501E51">
        <w:rPr>
          <w:rFonts w:ascii="標楷體" w:hAnsi="標楷體"/>
          <w:sz w:val="24"/>
          <w:szCs w:val="24"/>
          <w:lang w:eastAsia="zh-HK"/>
        </w:rPr>
        <w:t>,179</w:t>
      </w:r>
      <w:r w:rsidRPr="00501E51">
        <w:rPr>
          <w:rFonts w:ascii="標楷體" w:hAnsi="標楷體" w:hint="eastAsia"/>
          <w:sz w:val="24"/>
          <w:szCs w:val="24"/>
          <w:lang w:eastAsia="zh-HK"/>
        </w:rPr>
        <w:t>萬餘元，雖於1</w:t>
      </w:r>
      <w:r w:rsidRPr="00501E51">
        <w:rPr>
          <w:rFonts w:ascii="標楷體" w:hAnsi="標楷體"/>
          <w:sz w:val="24"/>
          <w:szCs w:val="24"/>
          <w:lang w:eastAsia="zh-HK"/>
        </w:rPr>
        <w:t>10</w:t>
      </w:r>
      <w:r w:rsidRPr="00501E51">
        <w:rPr>
          <w:rFonts w:ascii="標楷體" w:hAnsi="標楷體" w:hint="eastAsia"/>
          <w:sz w:val="24"/>
          <w:szCs w:val="24"/>
          <w:lang w:eastAsia="zh-HK"/>
        </w:rPr>
        <w:t>至1</w:t>
      </w:r>
      <w:r w:rsidRPr="00501E51">
        <w:rPr>
          <w:rFonts w:ascii="標楷體" w:hAnsi="標楷體"/>
          <w:sz w:val="24"/>
          <w:szCs w:val="24"/>
          <w:lang w:eastAsia="zh-HK"/>
        </w:rPr>
        <w:t>13</w:t>
      </w:r>
      <w:r w:rsidRPr="00501E51">
        <w:rPr>
          <w:rFonts w:ascii="標楷體" w:hAnsi="標楷體" w:hint="eastAsia"/>
          <w:sz w:val="24"/>
          <w:szCs w:val="24"/>
          <w:lang w:eastAsia="zh-HK"/>
        </w:rPr>
        <w:t>年度分別產生</w:t>
      </w:r>
      <w:r w:rsidRPr="00501E51">
        <w:rPr>
          <w:rFonts w:ascii="標楷體" w:hAnsi="標楷體" w:hint="eastAsia"/>
          <w:sz w:val="24"/>
          <w:szCs w:val="24"/>
          <w:lang w:eastAsia="zh-HK"/>
        </w:rPr>
        <w:lastRenderedPageBreak/>
        <w:t>賸餘1</w:t>
      </w:r>
      <w:r w:rsidRPr="00501E51">
        <w:rPr>
          <w:rFonts w:ascii="標楷體" w:hAnsi="標楷體"/>
          <w:sz w:val="24"/>
          <w:szCs w:val="24"/>
          <w:lang w:eastAsia="zh-HK"/>
        </w:rPr>
        <w:t>6</w:t>
      </w:r>
      <w:r w:rsidRPr="00501E51">
        <w:rPr>
          <w:rFonts w:ascii="標楷體" w:hAnsi="標楷體" w:hint="eastAsia"/>
          <w:sz w:val="24"/>
          <w:szCs w:val="24"/>
          <w:lang w:eastAsia="zh-HK"/>
        </w:rPr>
        <w:t>億</w:t>
      </w:r>
      <w:r w:rsidRPr="00501E51">
        <w:rPr>
          <w:rFonts w:ascii="標楷體" w:hAnsi="標楷體"/>
          <w:sz w:val="24"/>
          <w:szCs w:val="24"/>
          <w:lang w:eastAsia="zh-HK"/>
        </w:rPr>
        <w:t>7,252</w:t>
      </w:r>
      <w:r w:rsidRPr="00501E51">
        <w:rPr>
          <w:rFonts w:ascii="標楷體" w:hAnsi="標楷體" w:hint="eastAsia"/>
          <w:sz w:val="24"/>
          <w:szCs w:val="24"/>
          <w:lang w:eastAsia="zh-HK"/>
        </w:rPr>
        <w:t>萬餘元、2</w:t>
      </w:r>
      <w:r w:rsidRPr="00501E51">
        <w:rPr>
          <w:rFonts w:ascii="標楷體" w:hAnsi="標楷體"/>
          <w:sz w:val="24"/>
          <w:szCs w:val="24"/>
          <w:lang w:eastAsia="zh-HK"/>
        </w:rPr>
        <w:t>9</w:t>
      </w:r>
      <w:r w:rsidRPr="00501E51">
        <w:rPr>
          <w:rFonts w:ascii="標楷體" w:hAnsi="標楷體" w:hint="eastAsia"/>
          <w:sz w:val="24"/>
          <w:szCs w:val="24"/>
          <w:lang w:eastAsia="zh-HK"/>
        </w:rPr>
        <w:t>億</w:t>
      </w:r>
      <w:r w:rsidRPr="00501E51">
        <w:rPr>
          <w:rFonts w:ascii="標楷體" w:hAnsi="標楷體"/>
          <w:sz w:val="24"/>
          <w:szCs w:val="24"/>
          <w:lang w:eastAsia="zh-HK"/>
        </w:rPr>
        <w:t>8,335</w:t>
      </w:r>
      <w:r w:rsidRPr="00501E51">
        <w:rPr>
          <w:rFonts w:ascii="標楷體" w:hAnsi="標楷體" w:hint="eastAsia"/>
          <w:sz w:val="24"/>
          <w:szCs w:val="24"/>
          <w:lang w:eastAsia="zh-HK"/>
        </w:rPr>
        <w:t>萬餘元、8億7</w:t>
      </w:r>
      <w:r w:rsidRPr="00501E51">
        <w:rPr>
          <w:rFonts w:ascii="標楷體" w:hAnsi="標楷體"/>
          <w:sz w:val="24"/>
          <w:szCs w:val="24"/>
          <w:lang w:eastAsia="zh-HK"/>
        </w:rPr>
        <w:t>,</w:t>
      </w:r>
      <w:r w:rsidRPr="00501E51">
        <w:rPr>
          <w:rFonts w:ascii="標楷體" w:hAnsi="標楷體" w:hint="eastAsia"/>
          <w:sz w:val="24"/>
          <w:szCs w:val="24"/>
          <w:lang w:eastAsia="zh-HK"/>
        </w:rPr>
        <w:t>087萬餘元、20億9</w:t>
      </w:r>
      <w:r w:rsidRPr="00501E51">
        <w:rPr>
          <w:rFonts w:ascii="標楷體" w:hAnsi="標楷體"/>
          <w:sz w:val="24"/>
          <w:szCs w:val="24"/>
          <w:lang w:eastAsia="zh-HK"/>
        </w:rPr>
        <w:t>,</w:t>
      </w:r>
      <w:r w:rsidRPr="00501E51">
        <w:rPr>
          <w:rFonts w:ascii="標楷體" w:hAnsi="標楷體" w:hint="eastAsia"/>
          <w:sz w:val="24"/>
          <w:szCs w:val="24"/>
          <w:lang w:eastAsia="zh-HK"/>
        </w:rPr>
        <w:t>033萬餘元，惟1</w:t>
      </w:r>
      <w:r w:rsidRPr="00501E51">
        <w:rPr>
          <w:rFonts w:ascii="標楷體" w:hAnsi="標楷體"/>
          <w:sz w:val="24"/>
          <w:szCs w:val="24"/>
          <w:lang w:eastAsia="zh-HK"/>
        </w:rPr>
        <w:t>14</w:t>
      </w:r>
      <w:r w:rsidRPr="00501E51">
        <w:rPr>
          <w:rFonts w:ascii="標楷體" w:hAnsi="標楷體" w:hint="eastAsia"/>
          <w:sz w:val="24"/>
          <w:szCs w:val="24"/>
          <w:lang w:eastAsia="zh-HK"/>
        </w:rPr>
        <w:t>年度再轉為短絀49億4</w:t>
      </w:r>
      <w:r w:rsidRPr="00501E51">
        <w:rPr>
          <w:rFonts w:ascii="標楷體" w:hAnsi="標楷體"/>
          <w:sz w:val="24"/>
          <w:szCs w:val="24"/>
          <w:lang w:eastAsia="zh-HK"/>
        </w:rPr>
        <w:t>,011</w:t>
      </w:r>
      <w:r w:rsidRPr="00501E51">
        <w:rPr>
          <w:rFonts w:ascii="標楷體" w:hAnsi="標楷體" w:hint="eastAsia"/>
          <w:sz w:val="24"/>
          <w:szCs w:val="24"/>
          <w:lang w:eastAsia="zh-HK"/>
        </w:rPr>
        <w:t>萬餘元（表</w:t>
      </w:r>
      <w:r w:rsidR="00F33824">
        <w:rPr>
          <w:rFonts w:ascii="標楷體" w:hAnsi="標楷體" w:hint="eastAsia"/>
          <w:sz w:val="24"/>
          <w:szCs w:val="24"/>
        </w:rPr>
        <w:t>2</w:t>
      </w:r>
      <w:r w:rsidRPr="00501E51">
        <w:rPr>
          <w:rFonts w:ascii="標楷體" w:hAnsi="標楷體" w:hint="eastAsia"/>
          <w:sz w:val="24"/>
          <w:szCs w:val="24"/>
          <w:lang w:eastAsia="zh-HK"/>
        </w:rPr>
        <w:t>），仍待</w:t>
      </w:r>
      <w:r w:rsidRPr="00501E51">
        <w:rPr>
          <w:rFonts w:ascii="標楷體" w:hAnsi="標楷體"/>
          <w:sz w:val="24"/>
          <w:szCs w:val="24"/>
          <w:lang w:eastAsia="zh-HK"/>
        </w:rPr>
        <w:t>強化預算執行</w:t>
      </w:r>
      <w:r w:rsidRPr="00501E51">
        <w:rPr>
          <w:rFonts w:ascii="標楷體" w:hAnsi="標楷體" w:hint="eastAsia"/>
          <w:sz w:val="24"/>
          <w:szCs w:val="24"/>
          <w:lang w:eastAsia="zh-HK"/>
        </w:rPr>
        <w:t>控管</w:t>
      </w:r>
      <w:r w:rsidRPr="00501E51">
        <w:rPr>
          <w:rFonts w:ascii="標楷體" w:hAnsi="標楷體"/>
          <w:sz w:val="24"/>
          <w:szCs w:val="24"/>
          <w:lang w:eastAsia="zh-HK"/>
        </w:rPr>
        <w:t>，避免短絀持</w:t>
      </w:r>
      <w:r w:rsidR="00FC7CF9" w:rsidRPr="0012432A">
        <w:rPr>
          <w:rFonts w:ascii="標楷體" w:hAnsi="標楷體"/>
          <w:noProof/>
          <w:sz w:val="24"/>
          <w:szCs w:val="24"/>
          <w:lang w:eastAsia="zh-HK"/>
        </w:rPr>
        <mc:AlternateContent>
          <mc:Choice Requires="wps">
            <w:drawing>
              <wp:anchor distT="0" distB="0" distL="114300" distR="114300" simplePos="0" relativeHeight="251659264" behindDoc="1" locked="0" layoutInCell="1" allowOverlap="1" wp14:anchorId="42568B92" wp14:editId="50CCB154">
                <wp:simplePos x="0" y="0"/>
                <wp:positionH relativeFrom="column">
                  <wp:posOffset>1187450</wp:posOffset>
                </wp:positionH>
                <wp:positionV relativeFrom="paragraph">
                  <wp:posOffset>693420</wp:posOffset>
                </wp:positionV>
                <wp:extent cx="4733925" cy="1944370"/>
                <wp:effectExtent l="0" t="0" r="0" b="0"/>
                <wp:wrapTight wrapText="bothSides">
                  <wp:wrapPolygon edited="0">
                    <wp:start x="261" y="0"/>
                    <wp:lineTo x="261" y="21374"/>
                    <wp:lineTo x="21296" y="21374"/>
                    <wp:lineTo x="21296" y="0"/>
                    <wp:lineTo x="261"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1944370"/>
                        </a:xfrm>
                        <a:prstGeom prst="rect">
                          <a:avLst/>
                        </a:prstGeom>
                        <a:noFill/>
                        <a:ln w="9525">
                          <a:noFill/>
                          <a:miter lim="800000"/>
                          <a:headEnd/>
                          <a:tailEnd/>
                        </a:ln>
                      </wps:spPr>
                      <wps:txbx>
                        <w:txbxContent>
                          <w:tbl>
                            <w:tblPr>
                              <w:tblW w:w="7181" w:type="dxa"/>
                              <w:tblInd w:w="84" w:type="dxa"/>
                              <w:tblCellMar>
                                <w:left w:w="28" w:type="dxa"/>
                                <w:right w:w="28" w:type="dxa"/>
                              </w:tblCellMar>
                              <w:tblLook w:val="04A0" w:firstRow="1" w:lastRow="0" w:firstColumn="1" w:lastColumn="0" w:noHBand="0" w:noVBand="1"/>
                            </w:tblPr>
                            <w:tblGrid>
                              <w:gridCol w:w="2170"/>
                              <w:gridCol w:w="882"/>
                              <w:gridCol w:w="770"/>
                              <w:gridCol w:w="924"/>
                              <w:gridCol w:w="812"/>
                              <w:gridCol w:w="839"/>
                              <w:gridCol w:w="784"/>
                            </w:tblGrid>
                            <w:tr w:rsidR="0012432A" w:rsidRPr="0012432A" w14:paraId="7E075D35" w14:textId="77777777" w:rsidTr="00892B32">
                              <w:trPr>
                                <w:trHeight w:val="330"/>
                              </w:trPr>
                              <w:tc>
                                <w:tcPr>
                                  <w:tcW w:w="7181" w:type="dxa"/>
                                  <w:gridSpan w:val="7"/>
                                  <w:tcBorders>
                                    <w:top w:val="nil"/>
                                    <w:left w:val="nil"/>
                                    <w:bottom w:val="nil"/>
                                    <w:right w:val="nil"/>
                                  </w:tcBorders>
                                  <w:noWrap/>
                                  <w:vAlign w:val="center"/>
                                  <w:hideMark/>
                                </w:tcPr>
                                <w:p w14:paraId="2B51D93A" w14:textId="25647ECB" w:rsidR="0012432A" w:rsidRPr="0012432A" w:rsidRDefault="0012432A" w:rsidP="0012432A">
                                  <w:pPr>
                                    <w:widowControl/>
                                    <w:jc w:val="center"/>
                                    <w:rPr>
                                      <w:rFonts w:ascii="標楷體" w:hAnsi="標楷體" w:cs="新細明體"/>
                                      <w:b/>
                                      <w:bCs/>
                                      <w:color w:val="000000"/>
                                      <w:sz w:val="24"/>
                                      <w:szCs w:val="24"/>
                                    </w:rPr>
                                  </w:pPr>
                                  <w:r w:rsidRPr="0012432A">
                                    <w:rPr>
                                      <w:rFonts w:ascii="標楷體" w:hAnsi="標楷體" w:cs="新細明體" w:hint="eastAsia"/>
                                      <w:b/>
                                      <w:bCs/>
                                      <w:color w:val="000000"/>
                                      <w:sz w:val="24"/>
                                      <w:szCs w:val="24"/>
                                    </w:rPr>
                                    <w:t>表2</w:t>
                                  </w:r>
                                  <w:r w:rsidR="002E6D49">
                                    <w:rPr>
                                      <w:rFonts w:ascii="標楷體" w:hAnsi="標楷體" w:cs="Arial" w:hint="eastAsia"/>
                                      <w:b/>
                                      <w:bCs/>
                                      <w:sz w:val="24"/>
                                      <w:szCs w:val="24"/>
                                    </w:rPr>
                                    <w:t xml:space="preserve">　</w:t>
                                  </w:r>
                                  <w:r w:rsidRPr="0012432A">
                                    <w:rPr>
                                      <w:rFonts w:ascii="標楷體" w:hAnsi="標楷體" w:cs="新細明體" w:hint="eastAsia"/>
                                      <w:b/>
                                      <w:bCs/>
                                      <w:color w:val="000000"/>
                                      <w:sz w:val="24"/>
                                      <w:szCs w:val="24"/>
                                    </w:rPr>
                                    <w:t>新北市歲入歲出執行及債務舉借與還本概況</w:t>
                                  </w:r>
                                </w:p>
                              </w:tc>
                            </w:tr>
                            <w:tr w:rsidR="0012432A" w:rsidRPr="00E556C1" w14:paraId="555DFBE6" w14:textId="77777777" w:rsidTr="00892B32">
                              <w:trPr>
                                <w:trHeight w:val="330"/>
                              </w:trPr>
                              <w:tc>
                                <w:tcPr>
                                  <w:tcW w:w="7181" w:type="dxa"/>
                                  <w:gridSpan w:val="7"/>
                                  <w:tcBorders>
                                    <w:top w:val="nil"/>
                                    <w:left w:val="nil"/>
                                    <w:bottom w:val="nil"/>
                                    <w:right w:val="nil"/>
                                  </w:tcBorders>
                                  <w:noWrap/>
                                  <w:vAlign w:val="center"/>
                                  <w:hideMark/>
                                </w:tcPr>
                                <w:p w14:paraId="7B8FC3F8" w14:textId="77777777" w:rsidR="0012432A" w:rsidRPr="00E556C1" w:rsidRDefault="0012432A" w:rsidP="005974F3">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單位：新臺幣億元</w:t>
                                  </w:r>
                                </w:p>
                              </w:tc>
                            </w:tr>
                            <w:tr w:rsidR="0012432A" w:rsidRPr="0012432A" w14:paraId="079CC0B4" w14:textId="77777777" w:rsidTr="00FC7CF9">
                              <w:trPr>
                                <w:trHeight w:val="284"/>
                              </w:trPr>
                              <w:tc>
                                <w:tcPr>
                                  <w:tcW w:w="2170" w:type="dxa"/>
                                  <w:tcBorders>
                                    <w:top w:val="single" w:sz="4" w:space="0" w:color="auto"/>
                                    <w:left w:val="single" w:sz="4" w:space="0" w:color="auto"/>
                                    <w:bottom w:val="single" w:sz="4" w:space="0" w:color="auto"/>
                                    <w:right w:val="single" w:sz="4" w:space="0" w:color="auto"/>
                                  </w:tcBorders>
                                  <w:noWrap/>
                                  <w:vAlign w:val="center"/>
                                  <w:hideMark/>
                                </w:tcPr>
                                <w:p w14:paraId="11959BAC"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年度</w:t>
                                  </w:r>
                                </w:p>
                              </w:tc>
                              <w:tc>
                                <w:tcPr>
                                  <w:tcW w:w="882" w:type="dxa"/>
                                  <w:tcBorders>
                                    <w:top w:val="single" w:sz="4" w:space="0" w:color="auto"/>
                                    <w:left w:val="nil"/>
                                    <w:bottom w:val="single" w:sz="4" w:space="0" w:color="auto"/>
                                    <w:right w:val="single" w:sz="4" w:space="0" w:color="auto"/>
                                  </w:tcBorders>
                                  <w:noWrap/>
                                  <w:vAlign w:val="center"/>
                                  <w:hideMark/>
                                </w:tcPr>
                                <w:p w14:paraId="3381C54A"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109</w:t>
                                  </w:r>
                                </w:p>
                              </w:tc>
                              <w:tc>
                                <w:tcPr>
                                  <w:tcW w:w="770" w:type="dxa"/>
                                  <w:tcBorders>
                                    <w:top w:val="single" w:sz="4" w:space="0" w:color="auto"/>
                                    <w:left w:val="nil"/>
                                    <w:bottom w:val="single" w:sz="4" w:space="0" w:color="auto"/>
                                    <w:right w:val="single" w:sz="4" w:space="0" w:color="auto"/>
                                  </w:tcBorders>
                                  <w:vAlign w:val="center"/>
                                  <w:hideMark/>
                                </w:tcPr>
                                <w:p w14:paraId="147A7D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110</w:t>
                                  </w:r>
                                </w:p>
                              </w:tc>
                              <w:tc>
                                <w:tcPr>
                                  <w:tcW w:w="924" w:type="dxa"/>
                                  <w:tcBorders>
                                    <w:top w:val="single" w:sz="4" w:space="0" w:color="auto"/>
                                    <w:left w:val="nil"/>
                                    <w:bottom w:val="single" w:sz="4" w:space="0" w:color="auto"/>
                                    <w:right w:val="single" w:sz="4" w:space="0" w:color="auto"/>
                                  </w:tcBorders>
                                  <w:vAlign w:val="center"/>
                                  <w:hideMark/>
                                </w:tcPr>
                                <w:p w14:paraId="3A28AF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111</w:t>
                                  </w:r>
                                </w:p>
                              </w:tc>
                              <w:tc>
                                <w:tcPr>
                                  <w:tcW w:w="812" w:type="dxa"/>
                                  <w:tcBorders>
                                    <w:top w:val="single" w:sz="4" w:space="0" w:color="auto"/>
                                    <w:left w:val="nil"/>
                                    <w:bottom w:val="single" w:sz="4" w:space="0" w:color="auto"/>
                                    <w:right w:val="single" w:sz="4" w:space="0" w:color="auto"/>
                                  </w:tcBorders>
                                  <w:vAlign w:val="center"/>
                                  <w:hideMark/>
                                </w:tcPr>
                                <w:p w14:paraId="45DCFE78"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112</w:t>
                                  </w:r>
                                </w:p>
                              </w:tc>
                              <w:tc>
                                <w:tcPr>
                                  <w:tcW w:w="839" w:type="dxa"/>
                                  <w:tcBorders>
                                    <w:top w:val="single" w:sz="4" w:space="0" w:color="auto"/>
                                    <w:left w:val="nil"/>
                                    <w:bottom w:val="single" w:sz="4" w:space="0" w:color="auto"/>
                                    <w:right w:val="single" w:sz="4" w:space="0" w:color="auto"/>
                                  </w:tcBorders>
                                  <w:noWrap/>
                                  <w:vAlign w:val="center"/>
                                  <w:hideMark/>
                                </w:tcPr>
                                <w:p w14:paraId="4A1B2074"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113</w:t>
                                  </w:r>
                                </w:p>
                              </w:tc>
                              <w:tc>
                                <w:tcPr>
                                  <w:tcW w:w="784" w:type="dxa"/>
                                  <w:tcBorders>
                                    <w:top w:val="single" w:sz="4" w:space="0" w:color="auto"/>
                                    <w:left w:val="nil"/>
                                    <w:bottom w:val="single" w:sz="4" w:space="0" w:color="auto"/>
                                    <w:right w:val="single" w:sz="4" w:space="0" w:color="auto"/>
                                  </w:tcBorders>
                                  <w:noWrap/>
                                  <w:vAlign w:val="center"/>
                                  <w:hideMark/>
                                </w:tcPr>
                                <w:p w14:paraId="0DB8DA56"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114</w:t>
                                  </w:r>
                                </w:p>
                              </w:tc>
                            </w:tr>
                            <w:tr w:rsidR="0012432A" w:rsidRPr="0012432A" w14:paraId="6229F384"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23997A5B" w14:textId="1834AA7D" w:rsidR="0012432A" w:rsidRPr="00550853" w:rsidRDefault="0012432A" w:rsidP="0012432A">
                                  <w:pPr>
                                    <w:widowControl/>
                                    <w:rPr>
                                      <w:rFonts w:ascii="標楷體" w:hAnsi="標楷體" w:cs="新細明體"/>
                                      <w:color w:val="000000"/>
                                      <w:spacing w:val="-4"/>
                                      <w:sz w:val="20"/>
                                      <w:szCs w:val="20"/>
                                    </w:rPr>
                                  </w:pPr>
                                  <w:r w:rsidRPr="00550853">
                                    <w:rPr>
                                      <w:rFonts w:ascii="標楷體" w:hAnsi="標楷體" w:cs="新細明體" w:hint="eastAsia"/>
                                      <w:color w:val="000000"/>
                                      <w:spacing w:val="-4"/>
                                      <w:sz w:val="20"/>
                                      <w:szCs w:val="20"/>
                                    </w:rPr>
                                    <w:t>歲入歲出賸餘</w:t>
                                  </w:r>
                                  <w:r w:rsidRPr="00550853">
                                    <w:rPr>
                                      <w:rFonts w:ascii="標楷體" w:hAnsi="標楷體" w:hint="eastAsia"/>
                                      <w:spacing w:val="-4"/>
                                      <w:sz w:val="20"/>
                                      <w:szCs w:val="20"/>
                                      <w:lang w:eastAsia="zh-HK"/>
                                    </w:rPr>
                                    <w:t>（</w:t>
                                  </w:r>
                                  <w:r w:rsidRPr="00550853">
                                    <w:rPr>
                                      <w:rFonts w:ascii="標楷體" w:hAnsi="標楷體" w:cs="新細明體" w:hint="eastAsia"/>
                                      <w:color w:val="000000"/>
                                      <w:spacing w:val="-4"/>
                                      <w:sz w:val="20"/>
                                      <w:szCs w:val="20"/>
                                    </w:rPr>
                                    <w:t>短絀</w:t>
                                  </w:r>
                                  <w:r w:rsidR="00B56536">
                                    <w:rPr>
                                      <w:rFonts w:ascii="標楷體" w:hAnsi="標楷體" w:cs="新細明體" w:hint="eastAsia"/>
                                      <w:color w:val="000000"/>
                                      <w:spacing w:val="-4"/>
                                      <w:sz w:val="20"/>
                                      <w:szCs w:val="20"/>
                                    </w:rPr>
                                    <w:t>-</w:t>
                                  </w:r>
                                  <w:r w:rsidRPr="00550853">
                                    <w:rPr>
                                      <w:rFonts w:ascii="標楷體" w:hAnsi="標楷體" w:hint="eastAsia"/>
                                      <w:spacing w:val="-4"/>
                                      <w:sz w:val="20"/>
                                      <w:szCs w:val="20"/>
                                      <w:lang w:eastAsia="zh-HK"/>
                                    </w:rPr>
                                    <w:t>）</w:t>
                                  </w:r>
                                </w:p>
                              </w:tc>
                              <w:tc>
                                <w:tcPr>
                                  <w:tcW w:w="882" w:type="dxa"/>
                                  <w:tcBorders>
                                    <w:top w:val="nil"/>
                                    <w:left w:val="nil"/>
                                    <w:bottom w:val="single" w:sz="4" w:space="0" w:color="auto"/>
                                    <w:right w:val="single" w:sz="4" w:space="0" w:color="auto"/>
                                  </w:tcBorders>
                                  <w:noWrap/>
                                  <w:vAlign w:val="center"/>
                                  <w:hideMark/>
                                </w:tcPr>
                                <w:p w14:paraId="51F7BB0A" w14:textId="20187FE0"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88081D">
                                    <w:rPr>
                                      <w:rFonts w:ascii="標楷體" w:hAnsi="標楷體"/>
                                      <w:b/>
                                      <w:sz w:val="20"/>
                                      <w:szCs w:val="20"/>
                                    </w:rPr>
                                    <w:t xml:space="preserve"> </w:t>
                                  </w:r>
                                  <w:r w:rsidR="0012432A" w:rsidRPr="0088081D">
                                    <w:rPr>
                                      <w:rFonts w:ascii="標楷體" w:hAnsi="標楷體" w:cs="新細明體" w:hint="eastAsia"/>
                                      <w:color w:val="000000"/>
                                      <w:sz w:val="20"/>
                                      <w:szCs w:val="20"/>
                                    </w:rPr>
                                    <w:t>39.61</w:t>
                                  </w:r>
                                </w:p>
                              </w:tc>
                              <w:tc>
                                <w:tcPr>
                                  <w:tcW w:w="770" w:type="dxa"/>
                                  <w:tcBorders>
                                    <w:top w:val="nil"/>
                                    <w:left w:val="nil"/>
                                    <w:bottom w:val="single" w:sz="4" w:space="0" w:color="auto"/>
                                    <w:right w:val="single" w:sz="4" w:space="0" w:color="auto"/>
                                  </w:tcBorders>
                                  <w:vAlign w:val="center"/>
                                  <w:hideMark/>
                                </w:tcPr>
                                <w:p w14:paraId="27CF6180"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16.72</w:t>
                                  </w:r>
                                </w:p>
                              </w:tc>
                              <w:tc>
                                <w:tcPr>
                                  <w:tcW w:w="924" w:type="dxa"/>
                                  <w:tcBorders>
                                    <w:top w:val="nil"/>
                                    <w:left w:val="nil"/>
                                    <w:bottom w:val="single" w:sz="4" w:space="0" w:color="auto"/>
                                    <w:right w:val="single" w:sz="4" w:space="0" w:color="auto"/>
                                  </w:tcBorders>
                                  <w:vAlign w:val="center"/>
                                  <w:hideMark/>
                                </w:tcPr>
                                <w:p w14:paraId="59DC306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29.83</w:t>
                                  </w:r>
                                </w:p>
                              </w:tc>
                              <w:tc>
                                <w:tcPr>
                                  <w:tcW w:w="812" w:type="dxa"/>
                                  <w:tcBorders>
                                    <w:top w:val="nil"/>
                                    <w:left w:val="nil"/>
                                    <w:bottom w:val="single" w:sz="4" w:space="0" w:color="auto"/>
                                    <w:right w:val="single" w:sz="4" w:space="0" w:color="auto"/>
                                  </w:tcBorders>
                                  <w:vAlign w:val="center"/>
                                  <w:hideMark/>
                                </w:tcPr>
                                <w:p w14:paraId="6F3AF05B" w14:textId="37C2963A"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8.7</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noWrap/>
                                  <w:vAlign w:val="center"/>
                                  <w:hideMark/>
                                </w:tcPr>
                                <w:p w14:paraId="4323D1B0" w14:textId="27CFC8BE"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20.9</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noWrap/>
                                  <w:vAlign w:val="center"/>
                                  <w:hideMark/>
                                </w:tcPr>
                                <w:p w14:paraId="503025E0" w14:textId="63A58145"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49.4</w:t>
                                  </w:r>
                                  <w:r w:rsidR="00FE6695" w:rsidRPr="00C60643">
                                    <w:rPr>
                                      <w:rFonts w:ascii="標楷體" w:hAnsi="標楷體" w:cs="新細明體"/>
                                      <w:color w:val="000000"/>
                                      <w:sz w:val="20"/>
                                      <w:szCs w:val="20"/>
                                    </w:rPr>
                                    <w:t>0</w:t>
                                  </w:r>
                                </w:p>
                              </w:tc>
                            </w:tr>
                            <w:tr w:rsidR="00892B32" w:rsidRPr="0012432A" w14:paraId="3B6D4008"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7E6FF36E"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債務還本</w:t>
                                  </w:r>
                                </w:p>
                              </w:tc>
                              <w:tc>
                                <w:tcPr>
                                  <w:tcW w:w="882" w:type="dxa"/>
                                  <w:tcBorders>
                                    <w:top w:val="nil"/>
                                    <w:left w:val="nil"/>
                                    <w:bottom w:val="single" w:sz="4" w:space="0" w:color="auto"/>
                                    <w:right w:val="single" w:sz="4" w:space="0" w:color="auto"/>
                                  </w:tcBorders>
                                  <w:shd w:val="clear" w:color="000000" w:fill="FFFFFF"/>
                                  <w:noWrap/>
                                  <w:vAlign w:val="center"/>
                                  <w:hideMark/>
                                </w:tcPr>
                                <w:p w14:paraId="27DAB30E" w14:textId="4689A3BC"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996</w:t>
                                  </w:r>
                                  <w:r w:rsidR="00C3040C">
                                    <w:rPr>
                                      <w:rFonts w:ascii="標楷體" w:hAnsi="標楷體" w:cs="新細明體"/>
                                      <w:color w:val="000000"/>
                                      <w:sz w:val="20"/>
                                      <w:szCs w:val="20"/>
                                    </w:rPr>
                                    <w:t>.00</w:t>
                                  </w:r>
                                </w:p>
                              </w:tc>
                              <w:tc>
                                <w:tcPr>
                                  <w:tcW w:w="770" w:type="dxa"/>
                                  <w:tcBorders>
                                    <w:top w:val="nil"/>
                                    <w:left w:val="nil"/>
                                    <w:bottom w:val="single" w:sz="4" w:space="0" w:color="auto"/>
                                    <w:right w:val="single" w:sz="4" w:space="0" w:color="auto"/>
                                  </w:tcBorders>
                                  <w:shd w:val="clear" w:color="000000" w:fill="FFFFFF"/>
                                  <w:vAlign w:val="center"/>
                                  <w:hideMark/>
                                </w:tcPr>
                                <w:p w14:paraId="0C13EFBD"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990.99</w:t>
                                  </w:r>
                                </w:p>
                              </w:tc>
                              <w:tc>
                                <w:tcPr>
                                  <w:tcW w:w="924" w:type="dxa"/>
                                  <w:tcBorders>
                                    <w:top w:val="nil"/>
                                    <w:left w:val="nil"/>
                                    <w:bottom w:val="single" w:sz="4" w:space="0" w:color="auto"/>
                                    <w:right w:val="single" w:sz="4" w:space="0" w:color="auto"/>
                                  </w:tcBorders>
                                  <w:shd w:val="clear" w:color="000000" w:fill="FFFFFF"/>
                                  <w:vAlign w:val="center"/>
                                  <w:hideMark/>
                                </w:tcPr>
                                <w:p w14:paraId="73E0DC5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1,108.00</w:t>
                                  </w:r>
                                </w:p>
                              </w:tc>
                              <w:tc>
                                <w:tcPr>
                                  <w:tcW w:w="812" w:type="dxa"/>
                                  <w:tcBorders>
                                    <w:top w:val="nil"/>
                                    <w:left w:val="nil"/>
                                    <w:bottom w:val="single" w:sz="4" w:space="0" w:color="auto"/>
                                    <w:right w:val="single" w:sz="4" w:space="0" w:color="auto"/>
                                  </w:tcBorders>
                                  <w:shd w:val="clear" w:color="000000" w:fill="FFFFFF"/>
                                  <w:vAlign w:val="center"/>
                                  <w:hideMark/>
                                </w:tcPr>
                                <w:p w14:paraId="14727FD4"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514.55</w:t>
                                  </w:r>
                                </w:p>
                              </w:tc>
                              <w:tc>
                                <w:tcPr>
                                  <w:tcW w:w="839" w:type="dxa"/>
                                  <w:tcBorders>
                                    <w:top w:val="nil"/>
                                    <w:left w:val="nil"/>
                                    <w:bottom w:val="single" w:sz="4" w:space="0" w:color="auto"/>
                                    <w:right w:val="single" w:sz="4" w:space="0" w:color="auto"/>
                                  </w:tcBorders>
                                  <w:shd w:val="clear" w:color="000000" w:fill="FFFFFF"/>
                                  <w:noWrap/>
                                  <w:vAlign w:val="center"/>
                                  <w:hideMark/>
                                </w:tcPr>
                                <w:p w14:paraId="079EA9B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789.45</w:t>
                                  </w:r>
                                </w:p>
                              </w:tc>
                              <w:tc>
                                <w:tcPr>
                                  <w:tcW w:w="784" w:type="dxa"/>
                                  <w:tcBorders>
                                    <w:top w:val="nil"/>
                                    <w:left w:val="nil"/>
                                    <w:bottom w:val="single" w:sz="4" w:space="0" w:color="auto"/>
                                    <w:right w:val="single" w:sz="4" w:space="0" w:color="auto"/>
                                  </w:tcBorders>
                                  <w:shd w:val="clear" w:color="000000" w:fill="FFFFFF"/>
                                  <w:noWrap/>
                                  <w:vAlign w:val="center"/>
                                  <w:hideMark/>
                                </w:tcPr>
                                <w:p w14:paraId="6CE229DF" w14:textId="7DB60F0F"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953.5</w:t>
                                  </w:r>
                                  <w:r w:rsidR="00FE6695">
                                    <w:rPr>
                                      <w:rFonts w:ascii="標楷體" w:hAnsi="標楷體" w:cs="新細明體"/>
                                      <w:color w:val="000000"/>
                                      <w:sz w:val="20"/>
                                      <w:szCs w:val="20"/>
                                    </w:rPr>
                                    <w:t>0</w:t>
                                  </w:r>
                                </w:p>
                              </w:tc>
                            </w:tr>
                            <w:tr w:rsidR="00892B32" w:rsidRPr="0012432A" w14:paraId="5245679B"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693E3BA9"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債務舉借</w:t>
                                  </w:r>
                                </w:p>
                              </w:tc>
                              <w:tc>
                                <w:tcPr>
                                  <w:tcW w:w="882" w:type="dxa"/>
                                  <w:tcBorders>
                                    <w:top w:val="nil"/>
                                    <w:left w:val="nil"/>
                                    <w:bottom w:val="single" w:sz="4" w:space="0" w:color="auto"/>
                                    <w:right w:val="single" w:sz="4" w:space="0" w:color="auto"/>
                                  </w:tcBorders>
                                  <w:shd w:val="clear" w:color="000000" w:fill="FFFFFF"/>
                                  <w:noWrap/>
                                  <w:vAlign w:val="center"/>
                                  <w:hideMark/>
                                </w:tcPr>
                                <w:p w14:paraId="1383AA8C"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1,032.00</w:t>
                                  </w:r>
                                </w:p>
                              </w:tc>
                              <w:tc>
                                <w:tcPr>
                                  <w:tcW w:w="770" w:type="dxa"/>
                                  <w:tcBorders>
                                    <w:top w:val="nil"/>
                                    <w:left w:val="nil"/>
                                    <w:bottom w:val="single" w:sz="4" w:space="0" w:color="auto"/>
                                    <w:right w:val="single" w:sz="4" w:space="0" w:color="auto"/>
                                  </w:tcBorders>
                                  <w:shd w:val="clear" w:color="000000" w:fill="FFFFFF"/>
                                  <w:vAlign w:val="center"/>
                                  <w:hideMark/>
                                </w:tcPr>
                                <w:p w14:paraId="3D3282C5"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970.99</w:t>
                                  </w:r>
                                </w:p>
                              </w:tc>
                              <w:tc>
                                <w:tcPr>
                                  <w:tcW w:w="924" w:type="dxa"/>
                                  <w:tcBorders>
                                    <w:top w:val="nil"/>
                                    <w:left w:val="nil"/>
                                    <w:bottom w:val="single" w:sz="4" w:space="0" w:color="auto"/>
                                    <w:right w:val="single" w:sz="4" w:space="0" w:color="auto"/>
                                  </w:tcBorders>
                                  <w:shd w:val="clear" w:color="000000" w:fill="FFFFFF"/>
                                  <w:vAlign w:val="center"/>
                                  <w:hideMark/>
                                </w:tcPr>
                                <w:p w14:paraId="55CF8519"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1,100.00</w:t>
                                  </w:r>
                                </w:p>
                              </w:tc>
                              <w:tc>
                                <w:tcPr>
                                  <w:tcW w:w="812" w:type="dxa"/>
                                  <w:tcBorders>
                                    <w:top w:val="nil"/>
                                    <w:left w:val="nil"/>
                                    <w:bottom w:val="single" w:sz="4" w:space="0" w:color="auto"/>
                                    <w:right w:val="single" w:sz="4" w:space="0" w:color="auto"/>
                                  </w:tcBorders>
                                  <w:shd w:val="clear" w:color="000000" w:fill="FFFFFF"/>
                                  <w:vAlign w:val="center"/>
                                  <w:hideMark/>
                                </w:tcPr>
                                <w:p w14:paraId="1531FF81" w14:textId="3F09F308"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491.5</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000000" w:fill="FFFFFF"/>
                                  <w:noWrap/>
                                  <w:vAlign w:val="center"/>
                                  <w:hideMark/>
                                </w:tcPr>
                                <w:p w14:paraId="3A23AF29" w14:textId="7BBD4A14"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720.5</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000000" w:fill="FFFFFF"/>
                                  <w:noWrap/>
                                  <w:vAlign w:val="center"/>
                                  <w:hideMark/>
                                </w:tcPr>
                                <w:p w14:paraId="060393B0" w14:textId="4C6C9DD2"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972.5</w:t>
                                  </w:r>
                                  <w:r w:rsidR="00FE6695">
                                    <w:rPr>
                                      <w:rFonts w:ascii="標楷體" w:hAnsi="標楷體" w:cs="新細明體"/>
                                      <w:color w:val="000000"/>
                                      <w:sz w:val="20"/>
                                      <w:szCs w:val="20"/>
                                    </w:rPr>
                                    <w:t>0</w:t>
                                  </w:r>
                                </w:p>
                              </w:tc>
                            </w:tr>
                            <w:tr w:rsidR="00892B32" w:rsidRPr="0012432A" w14:paraId="414F1015"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4BA486A4" w14:textId="58A6C7B0"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收支賸餘</w:t>
                                  </w:r>
                                  <w:r w:rsidRPr="0012432A">
                                    <w:rPr>
                                      <w:rFonts w:ascii="標楷體" w:hAnsi="標楷體" w:hint="eastAsia"/>
                                      <w:sz w:val="20"/>
                                      <w:szCs w:val="20"/>
                                      <w:lang w:eastAsia="zh-HK"/>
                                    </w:rPr>
                                    <w:t>（</w:t>
                                  </w:r>
                                  <w:r w:rsidRPr="0012432A">
                                    <w:rPr>
                                      <w:rFonts w:ascii="標楷體" w:hAnsi="標楷體" w:cs="新細明體" w:hint="eastAsia"/>
                                      <w:color w:val="000000"/>
                                      <w:sz w:val="20"/>
                                      <w:szCs w:val="20"/>
                                    </w:rPr>
                                    <w:t>短絀</w:t>
                                  </w:r>
                                  <w:r w:rsidR="00B56536">
                                    <w:rPr>
                                      <w:rFonts w:ascii="標楷體" w:hAnsi="標楷體" w:cs="新細明體" w:hint="eastAsia"/>
                                      <w:color w:val="000000"/>
                                      <w:sz w:val="20"/>
                                      <w:szCs w:val="20"/>
                                    </w:rPr>
                                    <w:t>-</w:t>
                                  </w:r>
                                  <w:r w:rsidRPr="0012432A">
                                    <w:rPr>
                                      <w:rFonts w:ascii="標楷體" w:hAnsi="標楷體" w:hint="eastAsia"/>
                                      <w:sz w:val="20"/>
                                      <w:szCs w:val="20"/>
                                      <w:lang w:eastAsia="zh-HK"/>
                                    </w:rPr>
                                    <w:t>）</w:t>
                                  </w:r>
                                </w:p>
                              </w:tc>
                              <w:tc>
                                <w:tcPr>
                                  <w:tcW w:w="882" w:type="dxa"/>
                                  <w:tcBorders>
                                    <w:top w:val="nil"/>
                                    <w:left w:val="nil"/>
                                    <w:bottom w:val="single" w:sz="4" w:space="0" w:color="auto"/>
                                    <w:right w:val="single" w:sz="4" w:space="0" w:color="auto"/>
                                  </w:tcBorders>
                                  <w:shd w:val="clear" w:color="000000" w:fill="FFFFFF"/>
                                  <w:noWrap/>
                                  <w:vAlign w:val="center"/>
                                  <w:hideMark/>
                                </w:tcPr>
                                <w:p w14:paraId="01CE198C" w14:textId="3CDF570A"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3.62</w:t>
                                  </w:r>
                                </w:p>
                              </w:tc>
                              <w:tc>
                                <w:tcPr>
                                  <w:tcW w:w="770" w:type="dxa"/>
                                  <w:tcBorders>
                                    <w:top w:val="nil"/>
                                    <w:left w:val="nil"/>
                                    <w:bottom w:val="single" w:sz="4" w:space="0" w:color="auto"/>
                                    <w:right w:val="single" w:sz="4" w:space="0" w:color="auto"/>
                                  </w:tcBorders>
                                  <w:shd w:val="clear" w:color="000000" w:fill="FFFFFF"/>
                                  <w:vAlign w:val="center"/>
                                  <w:hideMark/>
                                </w:tcPr>
                                <w:p w14:paraId="5AB6CCC6" w14:textId="06D8365F"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3.27</w:t>
                                  </w:r>
                                </w:p>
                              </w:tc>
                              <w:tc>
                                <w:tcPr>
                                  <w:tcW w:w="924" w:type="dxa"/>
                                  <w:tcBorders>
                                    <w:top w:val="nil"/>
                                    <w:left w:val="nil"/>
                                    <w:bottom w:val="single" w:sz="4" w:space="0" w:color="auto"/>
                                    <w:right w:val="single" w:sz="4" w:space="0" w:color="auto"/>
                                  </w:tcBorders>
                                  <w:shd w:val="clear" w:color="000000" w:fill="FFFFFF"/>
                                  <w:vAlign w:val="center"/>
                                  <w:hideMark/>
                                </w:tcPr>
                                <w:p w14:paraId="31DABB9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21.83</w:t>
                                  </w:r>
                                </w:p>
                              </w:tc>
                              <w:tc>
                                <w:tcPr>
                                  <w:tcW w:w="812" w:type="dxa"/>
                                  <w:tcBorders>
                                    <w:top w:val="nil"/>
                                    <w:left w:val="nil"/>
                                    <w:bottom w:val="single" w:sz="4" w:space="0" w:color="auto"/>
                                    <w:right w:val="single" w:sz="4" w:space="0" w:color="auto"/>
                                  </w:tcBorders>
                                  <w:shd w:val="clear" w:color="000000" w:fill="FFFFFF"/>
                                  <w:vAlign w:val="center"/>
                                  <w:hideMark/>
                                </w:tcPr>
                                <w:p w14:paraId="2F5C9EA0" w14:textId="18E1860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14.33</w:t>
                                  </w:r>
                                </w:p>
                              </w:tc>
                              <w:tc>
                                <w:tcPr>
                                  <w:tcW w:w="839" w:type="dxa"/>
                                  <w:tcBorders>
                                    <w:top w:val="nil"/>
                                    <w:left w:val="nil"/>
                                    <w:bottom w:val="single" w:sz="4" w:space="0" w:color="auto"/>
                                    <w:right w:val="single" w:sz="4" w:space="0" w:color="auto"/>
                                  </w:tcBorders>
                                  <w:shd w:val="clear" w:color="000000" w:fill="FFFFFF"/>
                                  <w:noWrap/>
                                  <w:vAlign w:val="center"/>
                                  <w:hideMark/>
                                </w:tcPr>
                                <w:p w14:paraId="0F3E2E21" w14:textId="28AA6B5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48.05</w:t>
                                  </w:r>
                                </w:p>
                              </w:tc>
                              <w:tc>
                                <w:tcPr>
                                  <w:tcW w:w="784" w:type="dxa"/>
                                  <w:tcBorders>
                                    <w:top w:val="nil"/>
                                    <w:left w:val="nil"/>
                                    <w:bottom w:val="single" w:sz="4" w:space="0" w:color="auto"/>
                                    <w:right w:val="single" w:sz="4" w:space="0" w:color="auto"/>
                                  </w:tcBorders>
                                  <w:shd w:val="clear" w:color="000000" w:fill="FFFFFF"/>
                                  <w:noWrap/>
                                  <w:vAlign w:val="center"/>
                                  <w:hideMark/>
                                </w:tcPr>
                                <w:p w14:paraId="5F7C5ED6" w14:textId="12D98D34"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30.4</w:t>
                                  </w:r>
                                  <w:r w:rsidR="00FE6695" w:rsidRPr="00C60643">
                                    <w:rPr>
                                      <w:rFonts w:ascii="標楷體" w:hAnsi="標楷體" w:cs="新細明體"/>
                                      <w:color w:val="000000"/>
                                      <w:sz w:val="20"/>
                                      <w:szCs w:val="20"/>
                                    </w:rPr>
                                    <w:t>0</w:t>
                                  </w:r>
                                </w:p>
                              </w:tc>
                            </w:tr>
                            <w:tr w:rsidR="0012432A" w:rsidRPr="0012432A" w14:paraId="668F160C" w14:textId="77777777" w:rsidTr="005974F3">
                              <w:trPr>
                                <w:trHeight w:val="64"/>
                              </w:trPr>
                              <w:tc>
                                <w:tcPr>
                                  <w:tcW w:w="7181" w:type="dxa"/>
                                  <w:gridSpan w:val="7"/>
                                  <w:tcBorders>
                                    <w:top w:val="nil"/>
                                    <w:left w:val="nil"/>
                                    <w:bottom w:val="nil"/>
                                    <w:right w:val="nil"/>
                                  </w:tcBorders>
                                  <w:noWrap/>
                                  <w:vAlign w:val="center"/>
                                  <w:hideMark/>
                                </w:tcPr>
                                <w:p w14:paraId="1128D564" w14:textId="77777777" w:rsidR="0012432A" w:rsidRPr="0012432A" w:rsidRDefault="0012432A" w:rsidP="00400547">
                                  <w:pPr>
                                    <w:widowControl/>
                                    <w:spacing w:line="280" w:lineRule="exact"/>
                                    <w:ind w:leftChars="-18" w:hangingChars="16" w:hanging="29"/>
                                    <w:rPr>
                                      <w:rFonts w:ascii="標楷體" w:hAnsi="標楷體" w:cs="新細明體"/>
                                      <w:color w:val="000000"/>
                                      <w:sz w:val="18"/>
                                      <w:szCs w:val="18"/>
                                    </w:rPr>
                                  </w:pPr>
                                  <w:r w:rsidRPr="0012432A">
                                    <w:rPr>
                                      <w:rFonts w:ascii="標楷體" w:hAnsi="標楷體" w:cs="新細明體" w:hint="eastAsia"/>
                                      <w:color w:val="000000"/>
                                      <w:sz w:val="18"/>
                                      <w:szCs w:val="18"/>
                                    </w:rPr>
                                    <w:t>資料來源：整理自新北市政府主計處提供資料。</w:t>
                                  </w:r>
                                </w:p>
                              </w:tc>
                            </w:tr>
                          </w:tbl>
                          <w:p w14:paraId="20871DB0" w14:textId="1D3CE4F7" w:rsidR="0012432A" w:rsidRPr="0012432A" w:rsidRDefault="0012432A" w:rsidP="004005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68B92" id="_x0000_s1027" type="#_x0000_t202" style="position:absolute;left:0;text-align:left;margin-left:93.5pt;margin-top:54.6pt;width:372.75pt;height:15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" filled="f" stroked="f">
                <v:textbox>
                  <w:txbxContent>
                    <w:tbl>
                      <w:tblPr>
                        <w:tblW w:w="7181" w:type="dxa"/>
                        <w:tblInd w:w="84" w:type="dxa"/>
                        <w:tblCellMar>
                          <w:left w:w="28" w:type="dxa"/>
                          <w:right w:w="28" w:type="dxa"/>
                        </w:tblCellMar>
                        <w:tblLook w:val="04A0" w:firstRow="1" w:lastRow="0" w:firstColumn="1" w:lastColumn="0" w:noHBand="0" w:noVBand="1"/>
                      </w:tblPr>
                      <w:tblGrid>
                        <w:gridCol w:w="2170"/>
                        <w:gridCol w:w="882"/>
                        <w:gridCol w:w="770"/>
                        <w:gridCol w:w="924"/>
                        <w:gridCol w:w="812"/>
                        <w:gridCol w:w="839"/>
                        <w:gridCol w:w="784"/>
                      </w:tblGrid>
                      <w:tr w:rsidR="0012432A" w:rsidRPr="0012432A" w14:paraId="7E075D35" w14:textId="77777777" w:rsidTr="00892B32">
                        <w:trPr>
                          <w:trHeight w:val="330"/>
                        </w:trPr>
                        <w:tc>
                          <w:tcPr>
                            <w:tcW w:w="7181" w:type="dxa"/>
                            <w:gridSpan w:val="7"/>
                            <w:tcBorders>
                              <w:top w:val="nil"/>
                              <w:left w:val="nil"/>
                              <w:bottom w:val="nil"/>
                              <w:right w:val="nil"/>
                            </w:tcBorders>
                            <w:noWrap/>
                            <w:vAlign w:val="center"/>
                            <w:hideMark/>
                          </w:tcPr>
                          <w:p w14:paraId="2B51D93A" w14:textId="25647ECB" w:rsidR="0012432A" w:rsidRPr="0012432A" w:rsidRDefault="0012432A" w:rsidP="0012432A">
                            <w:pPr>
                              <w:widowControl/>
                              <w:jc w:val="center"/>
                              <w:rPr>
                                <w:rFonts w:ascii="標楷體" w:hAnsi="標楷體" w:cs="新細明體"/>
                                <w:b/>
                                <w:bCs/>
                                <w:color w:val="000000"/>
                                <w:sz w:val="24"/>
                                <w:szCs w:val="24"/>
                              </w:rPr>
                            </w:pPr>
                            <w:r w:rsidRPr="0012432A">
                              <w:rPr>
                                <w:rFonts w:ascii="標楷體" w:hAnsi="標楷體" w:cs="新細明體" w:hint="eastAsia"/>
                                <w:b/>
                                <w:bCs/>
                                <w:color w:val="000000"/>
                                <w:sz w:val="24"/>
                                <w:szCs w:val="24"/>
                              </w:rPr>
                              <w:t>表2</w:t>
                            </w:r>
                            <w:r w:rsidR="002E6D49">
                              <w:rPr>
                                <w:rFonts w:ascii="標楷體" w:hAnsi="標楷體" w:cs="Arial" w:hint="eastAsia"/>
                                <w:b/>
                                <w:bCs/>
                                <w:sz w:val="24"/>
                                <w:szCs w:val="24"/>
                              </w:rPr>
                              <w:t xml:space="preserve">　</w:t>
                            </w:r>
                            <w:r w:rsidRPr="0012432A">
                              <w:rPr>
                                <w:rFonts w:ascii="標楷體" w:hAnsi="標楷體" w:cs="新細明體" w:hint="eastAsia"/>
                                <w:b/>
                                <w:bCs/>
                                <w:color w:val="000000"/>
                                <w:sz w:val="24"/>
                                <w:szCs w:val="24"/>
                              </w:rPr>
                              <w:t>新北市歲入歲出執行及債務舉借與還本概況</w:t>
                            </w:r>
                          </w:p>
                        </w:tc>
                      </w:tr>
                      <w:tr w:rsidR="0012432A" w:rsidRPr="00E556C1" w14:paraId="555DFBE6" w14:textId="77777777" w:rsidTr="00892B32">
                        <w:trPr>
                          <w:trHeight w:val="330"/>
                        </w:trPr>
                        <w:tc>
                          <w:tcPr>
                            <w:tcW w:w="7181" w:type="dxa"/>
                            <w:gridSpan w:val="7"/>
                            <w:tcBorders>
                              <w:top w:val="nil"/>
                              <w:left w:val="nil"/>
                              <w:bottom w:val="nil"/>
                              <w:right w:val="nil"/>
                            </w:tcBorders>
                            <w:noWrap/>
                            <w:vAlign w:val="center"/>
                            <w:hideMark/>
                          </w:tcPr>
                          <w:p w14:paraId="7B8FC3F8" w14:textId="77777777" w:rsidR="0012432A" w:rsidRPr="00E556C1" w:rsidRDefault="0012432A" w:rsidP="005974F3">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單位：新臺幣億元</w:t>
                            </w:r>
                          </w:p>
                        </w:tc>
                      </w:tr>
                      <w:tr w:rsidR="0012432A" w:rsidRPr="0012432A" w14:paraId="079CC0B4" w14:textId="77777777" w:rsidTr="00FC7CF9">
                        <w:trPr>
                          <w:trHeight w:val="284"/>
                        </w:trPr>
                        <w:tc>
                          <w:tcPr>
                            <w:tcW w:w="2170" w:type="dxa"/>
                            <w:tcBorders>
                              <w:top w:val="single" w:sz="4" w:space="0" w:color="auto"/>
                              <w:left w:val="single" w:sz="4" w:space="0" w:color="auto"/>
                              <w:bottom w:val="single" w:sz="4" w:space="0" w:color="auto"/>
                              <w:right w:val="single" w:sz="4" w:space="0" w:color="auto"/>
                            </w:tcBorders>
                            <w:noWrap/>
                            <w:vAlign w:val="center"/>
                            <w:hideMark/>
                          </w:tcPr>
                          <w:p w14:paraId="11959BAC"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年度</w:t>
                            </w:r>
                          </w:p>
                        </w:tc>
                        <w:tc>
                          <w:tcPr>
                            <w:tcW w:w="882" w:type="dxa"/>
                            <w:tcBorders>
                              <w:top w:val="single" w:sz="4" w:space="0" w:color="auto"/>
                              <w:left w:val="nil"/>
                              <w:bottom w:val="single" w:sz="4" w:space="0" w:color="auto"/>
                              <w:right w:val="single" w:sz="4" w:space="0" w:color="auto"/>
                            </w:tcBorders>
                            <w:noWrap/>
                            <w:vAlign w:val="center"/>
                            <w:hideMark/>
                          </w:tcPr>
                          <w:p w14:paraId="3381C54A"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109</w:t>
                            </w:r>
                          </w:p>
                        </w:tc>
                        <w:tc>
                          <w:tcPr>
                            <w:tcW w:w="770" w:type="dxa"/>
                            <w:tcBorders>
                              <w:top w:val="single" w:sz="4" w:space="0" w:color="auto"/>
                              <w:left w:val="nil"/>
                              <w:bottom w:val="single" w:sz="4" w:space="0" w:color="auto"/>
                              <w:right w:val="single" w:sz="4" w:space="0" w:color="auto"/>
                            </w:tcBorders>
                            <w:vAlign w:val="center"/>
                            <w:hideMark/>
                          </w:tcPr>
                          <w:p w14:paraId="147A7D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110</w:t>
                            </w:r>
                          </w:p>
                        </w:tc>
                        <w:tc>
                          <w:tcPr>
                            <w:tcW w:w="924" w:type="dxa"/>
                            <w:tcBorders>
                              <w:top w:val="single" w:sz="4" w:space="0" w:color="auto"/>
                              <w:left w:val="nil"/>
                              <w:bottom w:val="single" w:sz="4" w:space="0" w:color="auto"/>
                              <w:right w:val="single" w:sz="4" w:space="0" w:color="auto"/>
                            </w:tcBorders>
                            <w:vAlign w:val="center"/>
                            <w:hideMark/>
                          </w:tcPr>
                          <w:p w14:paraId="3A28AF61"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111</w:t>
                            </w:r>
                          </w:p>
                        </w:tc>
                        <w:tc>
                          <w:tcPr>
                            <w:tcW w:w="812" w:type="dxa"/>
                            <w:tcBorders>
                              <w:top w:val="single" w:sz="4" w:space="0" w:color="auto"/>
                              <w:left w:val="nil"/>
                              <w:bottom w:val="single" w:sz="4" w:space="0" w:color="auto"/>
                              <w:right w:val="single" w:sz="4" w:space="0" w:color="auto"/>
                            </w:tcBorders>
                            <w:vAlign w:val="center"/>
                            <w:hideMark/>
                          </w:tcPr>
                          <w:p w14:paraId="45DCFE78"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112</w:t>
                            </w:r>
                          </w:p>
                        </w:tc>
                        <w:tc>
                          <w:tcPr>
                            <w:tcW w:w="839" w:type="dxa"/>
                            <w:tcBorders>
                              <w:top w:val="single" w:sz="4" w:space="0" w:color="auto"/>
                              <w:left w:val="nil"/>
                              <w:bottom w:val="single" w:sz="4" w:space="0" w:color="auto"/>
                              <w:right w:val="single" w:sz="4" w:space="0" w:color="auto"/>
                            </w:tcBorders>
                            <w:noWrap/>
                            <w:vAlign w:val="center"/>
                            <w:hideMark/>
                          </w:tcPr>
                          <w:p w14:paraId="4A1B2074"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113</w:t>
                            </w:r>
                          </w:p>
                        </w:tc>
                        <w:tc>
                          <w:tcPr>
                            <w:tcW w:w="784" w:type="dxa"/>
                            <w:tcBorders>
                              <w:top w:val="single" w:sz="4" w:space="0" w:color="auto"/>
                              <w:left w:val="nil"/>
                              <w:bottom w:val="single" w:sz="4" w:space="0" w:color="auto"/>
                              <w:right w:val="single" w:sz="4" w:space="0" w:color="auto"/>
                            </w:tcBorders>
                            <w:noWrap/>
                            <w:vAlign w:val="center"/>
                            <w:hideMark/>
                          </w:tcPr>
                          <w:p w14:paraId="0DB8DA56" w14:textId="77777777" w:rsidR="0012432A" w:rsidRPr="0012432A" w:rsidRDefault="0012432A" w:rsidP="0012432A">
                            <w:pPr>
                              <w:widowControl/>
                              <w:jc w:val="center"/>
                              <w:rPr>
                                <w:rFonts w:ascii="標楷體" w:hAnsi="標楷體" w:cs="新細明體"/>
                                <w:color w:val="000000"/>
                                <w:sz w:val="20"/>
                                <w:szCs w:val="20"/>
                              </w:rPr>
                            </w:pPr>
                            <w:r w:rsidRPr="0012432A">
                              <w:rPr>
                                <w:rFonts w:ascii="標楷體" w:hAnsi="標楷體" w:cs="新細明體" w:hint="eastAsia"/>
                                <w:color w:val="000000"/>
                                <w:sz w:val="20"/>
                                <w:szCs w:val="20"/>
                              </w:rPr>
                              <w:t>114</w:t>
                            </w:r>
                          </w:p>
                        </w:tc>
                      </w:tr>
                      <w:tr w:rsidR="0012432A" w:rsidRPr="0012432A" w14:paraId="6229F384"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23997A5B" w14:textId="1834AA7D" w:rsidR="0012432A" w:rsidRPr="00550853" w:rsidRDefault="0012432A" w:rsidP="0012432A">
                            <w:pPr>
                              <w:widowControl/>
                              <w:rPr>
                                <w:rFonts w:ascii="標楷體" w:hAnsi="標楷體" w:cs="新細明體"/>
                                <w:color w:val="000000"/>
                                <w:spacing w:val="-4"/>
                                <w:sz w:val="20"/>
                                <w:szCs w:val="20"/>
                              </w:rPr>
                            </w:pPr>
                            <w:r w:rsidRPr="00550853">
                              <w:rPr>
                                <w:rFonts w:ascii="標楷體" w:hAnsi="標楷體" w:cs="新細明體" w:hint="eastAsia"/>
                                <w:color w:val="000000"/>
                                <w:spacing w:val="-4"/>
                                <w:sz w:val="20"/>
                                <w:szCs w:val="20"/>
                              </w:rPr>
                              <w:t>歲入歲出賸餘</w:t>
                            </w:r>
                            <w:r w:rsidRPr="00550853">
                              <w:rPr>
                                <w:rFonts w:ascii="標楷體" w:hAnsi="標楷體" w:hint="eastAsia"/>
                                <w:spacing w:val="-4"/>
                                <w:sz w:val="20"/>
                                <w:szCs w:val="20"/>
                                <w:lang w:eastAsia="zh-HK"/>
                              </w:rPr>
                              <w:t>（</w:t>
                            </w:r>
                            <w:r w:rsidRPr="00550853">
                              <w:rPr>
                                <w:rFonts w:ascii="標楷體" w:hAnsi="標楷體" w:cs="新細明體" w:hint="eastAsia"/>
                                <w:color w:val="000000"/>
                                <w:spacing w:val="-4"/>
                                <w:sz w:val="20"/>
                                <w:szCs w:val="20"/>
                              </w:rPr>
                              <w:t>短絀</w:t>
                            </w:r>
                            <w:r w:rsidR="00B56536">
                              <w:rPr>
                                <w:rFonts w:ascii="標楷體" w:hAnsi="標楷體" w:cs="新細明體" w:hint="eastAsia"/>
                                <w:color w:val="000000"/>
                                <w:spacing w:val="-4"/>
                                <w:sz w:val="20"/>
                                <w:szCs w:val="20"/>
                              </w:rPr>
                              <w:t>-</w:t>
                            </w:r>
                            <w:r w:rsidRPr="00550853">
                              <w:rPr>
                                <w:rFonts w:ascii="標楷體" w:hAnsi="標楷體" w:hint="eastAsia"/>
                                <w:spacing w:val="-4"/>
                                <w:sz w:val="20"/>
                                <w:szCs w:val="20"/>
                                <w:lang w:eastAsia="zh-HK"/>
                              </w:rPr>
                              <w:t>）</w:t>
                            </w:r>
                          </w:p>
                        </w:tc>
                        <w:tc>
                          <w:tcPr>
                            <w:tcW w:w="882" w:type="dxa"/>
                            <w:tcBorders>
                              <w:top w:val="nil"/>
                              <w:left w:val="nil"/>
                              <w:bottom w:val="single" w:sz="4" w:space="0" w:color="auto"/>
                              <w:right w:val="single" w:sz="4" w:space="0" w:color="auto"/>
                            </w:tcBorders>
                            <w:noWrap/>
                            <w:vAlign w:val="center"/>
                            <w:hideMark/>
                          </w:tcPr>
                          <w:p w14:paraId="51F7BB0A" w14:textId="20187FE0"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88081D">
                              <w:rPr>
                                <w:rFonts w:ascii="標楷體" w:hAnsi="標楷體"/>
                                <w:b/>
                                <w:sz w:val="20"/>
                                <w:szCs w:val="20"/>
                              </w:rPr>
                              <w:t xml:space="preserve"> </w:t>
                            </w:r>
                            <w:r w:rsidR="0012432A" w:rsidRPr="0088081D">
                              <w:rPr>
                                <w:rFonts w:ascii="標楷體" w:hAnsi="標楷體" w:cs="新細明體" w:hint="eastAsia"/>
                                <w:color w:val="000000"/>
                                <w:sz w:val="20"/>
                                <w:szCs w:val="20"/>
                              </w:rPr>
                              <w:t>39.61</w:t>
                            </w:r>
                          </w:p>
                        </w:tc>
                        <w:tc>
                          <w:tcPr>
                            <w:tcW w:w="770" w:type="dxa"/>
                            <w:tcBorders>
                              <w:top w:val="nil"/>
                              <w:left w:val="nil"/>
                              <w:bottom w:val="single" w:sz="4" w:space="0" w:color="auto"/>
                              <w:right w:val="single" w:sz="4" w:space="0" w:color="auto"/>
                            </w:tcBorders>
                            <w:vAlign w:val="center"/>
                            <w:hideMark/>
                          </w:tcPr>
                          <w:p w14:paraId="27CF6180"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16.72</w:t>
                            </w:r>
                          </w:p>
                        </w:tc>
                        <w:tc>
                          <w:tcPr>
                            <w:tcW w:w="924" w:type="dxa"/>
                            <w:tcBorders>
                              <w:top w:val="nil"/>
                              <w:left w:val="nil"/>
                              <w:bottom w:val="single" w:sz="4" w:space="0" w:color="auto"/>
                              <w:right w:val="single" w:sz="4" w:space="0" w:color="auto"/>
                            </w:tcBorders>
                            <w:vAlign w:val="center"/>
                            <w:hideMark/>
                          </w:tcPr>
                          <w:p w14:paraId="59DC306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29.83</w:t>
                            </w:r>
                          </w:p>
                        </w:tc>
                        <w:tc>
                          <w:tcPr>
                            <w:tcW w:w="812" w:type="dxa"/>
                            <w:tcBorders>
                              <w:top w:val="nil"/>
                              <w:left w:val="nil"/>
                              <w:bottom w:val="single" w:sz="4" w:space="0" w:color="auto"/>
                              <w:right w:val="single" w:sz="4" w:space="0" w:color="auto"/>
                            </w:tcBorders>
                            <w:vAlign w:val="center"/>
                            <w:hideMark/>
                          </w:tcPr>
                          <w:p w14:paraId="6F3AF05B" w14:textId="37C2963A"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8.7</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noWrap/>
                            <w:vAlign w:val="center"/>
                            <w:hideMark/>
                          </w:tcPr>
                          <w:p w14:paraId="4323D1B0" w14:textId="27CFC8BE"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20.9</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noWrap/>
                            <w:vAlign w:val="center"/>
                            <w:hideMark/>
                          </w:tcPr>
                          <w:p w14:paraId="503025E0" w14:textId="63A58145"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49.4</w:t>
                            </w:r>
                            <w:r w:rsidR="00FE6695" w:rsidRPr="00C60643">
                              <w:rPr>
                                <w:rFonts w:ascii="標楷體" w:hAnsi="標楷體" w:cs="新細明體"/>
                                <w:color w:val="000000"/>
                                <w:sz w:val="20"/>
                                <w:szCs w:val="20"/>
                              </w:rPr>
                              <w:t>0</w:t>
                            </w:r>
                          </w:p>
                        </w:tc>
                      </w:tr>
                      <w:tr w:rsidR="00892B32" w:rsidRPr="0012432A" w14:paraId="3B6D4008"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7E6FF36E"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債務還本</w:t>
                            </w:r>
                          </w:p>
                        </w:tc>
                        <w:tc>
                          <w:tcPr>
                            <w:tcW w:w="882" w:type="dxa"/>
                            <w:tcBorders>
                              <w:top w:val="nil"/>
                              <w:left w:val="nil"/>
                              <w:bottom w:val="single" w:sz="4" w:space="0" w:color="auto"/>
                              <w:right w:val="single" w:sz="4" w:space="0" w:color="auto"/>
                            </w:tcBorders>
                            <w:shd w:val="clear" w:color="000000" w:fill="FFFFFF"/>
                            <w:noWrap/>
                            <w:vAlign w:val="center"/>
                            <w:hideMark/>
                          </w:tcPr>
                          <w:p w14:paraId="27DAB30E" w14:textId="4689A3BC"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996</w:t>
                            </w:r>
                            <w:r w:rsidR="00C3040C">
                              <w:rPr>
                                <w:rFonts w:ascii="標楷體" w:hAnsi="標楷體" w:cs="新細明體"/>
                                <w:color w:val="000000"/>
                                <w:sz w:val="20"/>
                                <w:szCs w:val="20"/>
                              </w:rPr>
                              <w:t>.00</w:t>
                            </w:r>
                          </w:p>
                        </w:tc>
                        <w:tc>
                          <w:tcPr>
                            <w:tcW w:w="770" w:type="dxa"/>
                            <w:tcBorders>
                              <w:top w:val="nil"/>
                              <w:left w:val="nil"/>
                              <w:bottom w:val="single" w:sz="4" w:space="0" w:color="auto"/>
                              <w:right w:val="single" w:sz="4" w:space="0" w:color="auto"/>
                            </w:tcBorders>
                            <w:shd w:val="clear" w:color="000000" w:fill="FFFFFF"/>
                            <w:vAlign w:val="center"/>
                            <w:hideMark/>
                          </w:tcPr>
                          <w:p w14:paraId="0C13EFBD"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990.99</w:t>
                            </w:r>
                          </w:p>
                        </w:tc>
                        <w:tc>
                          <w:tcPr>
                            <w:tcW w:w="924" w:type="dxa"/>
                            <w:tcBorders>
                              <w:top w:val="nil"/>
                              <w:left w:val="nil"/>
                              <w:bottom w:val="single" w:sz="4" w:space="0" w:color="auto"/>
                              <w:right w:val="single" w:sz="4" w:space="0" w:color="auto"/>
                            </w:tcBorders>
                            <w:shd w:val="clear" w:color="000000" w:fill="FFFFFF"/>
                            <w:vAlign w:val="center"/>
                            <w:hideMark/>
                          </w:tcPr>
                          <w:p w14:paraId="73E0DC5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1,108.00</w:t>
                            </w:r>
                          </w:p>
                        </w:tc>
                        <w:tc>
                          <w:tcPr>
                            <w:tcW w:w="812" w:type="dxa"/>
                            <w:tcBorders>
                              <w:top w:val="nil"/>
                              <w:left w:val="nil"/>
                              <w:bottom w:val="single" w:sz="4" w:space="0" w:color="auto"/>
                              <w:right w:val="single" w:sz="4" w:space="0" w:color="auto"/>
                            </w:tcBorders>
                            <w:shd w:val="clear" w:color="000000" w:fill="FFFFFF"/>
                            <w:vAlign w:val="center"/>
                            <w:hideMark/>
                          </w:tcPr>
                          <w:p w14:paraId="14727FD4"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514.55</w:t>
                            </w:r>
                          </w:p>
                        </w:tc>
                        <w:tc>
                          <w:tcPr>
                            <w:tcW w:w="839" w:type="dxa"/>
                            <w:tcBorders>
                              <w:top w:val="nil"/>
                              <w:left w:val="nil"/>
                              <w:bottom w:val="single" w:sz="4" w:space="0" w:color="auto"/>
                              <w:right w:val="single" w:sz="4" w:space="0" w:color="auto"/>
                            </w:tcBorders>
                            <w:shd w:val="clear" w:color="000000" w:fill="FFFFFF"/>
                            <w:noWrap/>
                            <w:vAlign w:val="center"/>
                            <w:hideMark/>
                          </w:tcPr>
                          <w:p w14:paraId="079EA9BB"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789.45</w:t>
                            </w:r>
                          </w:p>
                        </w:tc>
                        <w:tc>
                          <w:tcPr>
                            <w:tcW w:w="784" w:type="dxa"/>
                            <w:tcBorders>
                              <w:top w:val="nil"/>
                              <w:left w:val="nil"/>
                              <w:bottom w:val="single" w:sz="4" w:space="0" w:color="auto"/>
                              <w:right w:val="single" w:sz="4" w:space="0" w:color="auto"/>
                            </w:tcBorders>
                            <w:shd w:val="clear" w:color="000000" w:fill="FFFFFF"/>
                            <w:noWrap/>
                            <w:vAlign w:val="center"/>
                            <w:hideMark/>
                          </w:tcPr>
                          <w:p w14:paraId="6CE229DF" w14:textId="7DB60F0F"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953.5</w:t>
                            </w:r>
                            <w:r w:rsidR="00FE6695">
                              <w:rPr>
                                <w:rFonts w:ascii="標楷體" w:hAnsi="標楷體" w:cs="新細明體"/>
                                <w:color w:val="000000"/>
                                <w:sz w:val="20"/>
                                <w:szCs w:val="20"/>
                              </w:rPr>
                              <w:t>0</w:t>
                            </w:r>
                          </w:p>
                        </w:tc>
                      </w:tr>
                      <w:tr w:rsidR="00892B32" w:rsidRPr="0012432A" w14:paraId="5245679B"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693E3BA9" w14:textId="77777777"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債務舉借</w:t>
                            </w:r>
                          </w:p>
                        </w:tc>
                        <w:tc>
                          <w:tcPr>
                            <w:tcW w:w="882" w:type="dxa"/>
                            <w:tcBorders>
                              <w:top w:val="nil"/>
                              <w:left w:val="nil"/>
                              <w:bottom w:val="single" w:sz="4" w:space="0" w:color="auto"/>
                              <w:right w:val="single" w:sz="4" w:space="0" w:color="auto"/>
                            </w:tcBorders>
                            <w:shd w:val="clear" w:color="000000" w:fill="FFFFFF"/>
                            <w:noWrap/>
                            <w:vAlign w:val="center"/>
                            <w:hideMark/>
                          </w:tcPr>
                          <w:p w14:paraId="1383AA8C"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1,032.00</w:t>
                            </w:r>
                          </w:p>
                        </w:tc>
                        <w:tc>
                          <w:tcPr>
                            <w:tcW w:w="770" w:type="dxa"/>
                            <w:tcBorders>
                              <w:top w:val="nil"/>
                              <w:left w:val="nil"/>
                              <w:bottom w:val="single" w:sz="4" w:space="0" w:color="auto"/>
                              <w:right w:val="single" w:sz="4" w:space="0" w:color="auto"/>
                            </w:tcBorders>
                            <w:shd w:val="clear" w:color="000000" w:fill="FFFFFF"/>
                            <w:vAlign w:val="center"/>
                            <w:hideMark/>
                          </w:tcPr>
                          <w:p w14:paraId="3D3282C5"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970.99</w:t>
                            </w:r>
                          </w:p>
                        </w:tc>
                        <w:tc>
                          <w:tcPr>
                            <w:tcW w:w="924" w:type="dxa"/>
                            <w:tcBorders>
                              <w:top w:val="nil"/>
                              <w:left w:val="nil"/>
                              <w:bottom w:val="single" w:sz="4" w:space="0" w:color="auto"/>
                              <w:right w:val="single" w:sz="4" w:space="0" w:color="auto"/>
                            </w:tcBorders>
                            <w:shd w:val="clear" w:color="000000" w:fill="FFFFFF"/>
                            <w:vAlign w:val="center"/>
                            <w:hideMark/>
                          </w:tcPr>
                          <w:p w14:paraId="55CF8519"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1,100.00</w:t>
                            </w:r>
                          </w:p>
                        </w:tc>
                        <w:tc>
                          <w:tcPr>
                            <w:tcW w:w="812" w:type="dxa"/>
                            <w:tcBorders>
                              <w:top w:val="nil"/>
                              <w:left w:val="nil"/>
                              <w:bottom w:val="single" w:sz="4" w:space="0" w:color="auto"/>
                              <w:right w:val="single" w:sz="4" w:space="0" w:color="auto"/>
                            </w:tcBorders>
                            <w:shd w:val="clear" w:color="000000" w:fill="FFFFFF"/>
                            <w:vAlign w:val="center"/>
                            <w:hideMark/>
                          </w:tcPr>
                          <w:p w14:paraId="1531FF81" w14:textId="3F09F308"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491.5</w:t>
                            </w:r>
                            <w:r w:rsidR="00FE6695">
                              <w:rPr>
                                <w:rFonts w:ascii="標楷體" w:hAnsi="標楷體" w:cs="新細明體"/>
                                <w:color w:val="000000"/>
                                <w:sz w:val="20"/>
                                <w:szCs w:val="20"/>
                              </w:rPr>
                              <w:t>0</w:t>
                            </w:r>
                          </w:p>
                        </w:tc>
                        <w:tc>
                          <w:tcPr>
                            <w:tcW w:w="839" w:type="dxa"/>
                            <w:tcBorders>
                              <w:top w:val="nil"/>
                              <w:left w:val="nil"/>
                              <w:bottom w:val="single" w:sz="4" w:space="0" w:color="auto"/>
                              <w:right w:val="single" w:sz="4" w:space="0" w:color="auto"/>
                            </w:tcBorders>
                            <w:shd w:val="clear" w:color="000000" w:fill="FFFFFF"/>
                            <w:noWrap/>
                            <w:vAlign w:val="center"/>
                            <w:hideMark/>
                          </w:tcPr>
                          <w:p w14:paraId="3A23AF29" w14:textId="7BBD4A14"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720.5</w:t>
                            </w:r>
                            <w:r w:rsidR="00FE6695">
                              <w:rPr>
                                <w:rFonts w:ascii="標楷體" w:hAnsi="標楷體" w:cs="新細明體"/>
                                <w:color w:val="000000"/>
                                <w:sz w:val="20"/>
                                <w:szCs w:val="20"/>
                              </w:rPr>
                              <w:t>0</w:t>
                            </w:r>
                          </w:p>
                        </w:tc>
                        <w:tc>
                          <w:tcPr>
                            <w:tcW w:w="784" w:type="dxa"/>
                            <w:tcBorders>
                              <w:top w:val="nil"/>
                              <w:left w:val="nil"/>
                              <w:bottom w:val="single" w:sz="4" w:space="0" w:color="auto"/>
                              <w:right w:val="single" w:sz="4" w:space="0" w:color="auto"/>
                            </w:tcBorders>
                            <w:shd w:val="clear" w:color="000000" w:fill="FFFFFF"/>
                            <w:noWrap/>
                            <w:vAlign w:val="center"/>
                            <w:hideMark/>
                          </w:tcPr>
                          <w:p w14:paraId="060393B0" w14:textId="4C6C9DD2"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972.5</w:t>
                            </w:r>
                            <w:r w:rsidR="00FE6695">
                              <w:rPr>
                                <w:rFonts w:ascii="標楷體" w:hAnsi="標楷體" w:cs="新細明體"/>
                                <w:color w:val="000000"/>
                                <w:sz w:val="20"/>
                                <w:szCs w:val="20"/>
                              </w:rPr>
                              <w:t>0</w:t>
                            </w:r>
                          </w:p>
                        </w:tc>
                      </w:tr>
                      <w:tr w:rsidR="00892B32" w:rsidRPr="0012432A" w14:paraId="414F1015" w14:textId="77777777" w:rsidTr="00FC7CF9">
                        <w:trPr>
                          <w:trHeight w:val="284"/>
                        </w:trPr>
                        <w:tc>
                          <w:tcPr>
                            <w:tcW w:w="2170" w:type="dxa"/>
                            <w:tcBorders>
                              <w:top w:val="nil"/>
                              <w:left w:val="single" w:sz="4" w:space="0" w:color="auto"/>
                              <w:bottom w:val="single" w:sz="4" w:space="0" w:color="auto"/>
                              <w:right w:val="single" w:sz="4" w:space="0" w:color="auto"/>
                            </w:tcBorders>
                            <w:noWrap/>
                            <w:vAlign w:val="center"/>
                            <w:hideMark/>
                          </w:tcPr>
                          <w:p w14:paraId="4BA486A4" w14:textId="58A6C7B0" w:rsidR="0012432A" w:rsidRPr="0012432A" w:rsidRDefault="0012432A" w:rsidP="0012432A">
                            <w:pPr>
                              <w:widowControl/>
                              <w:rPr>
                                <w:rFonts w:ascii="標楷體" w:hAnsi="標楷體" w:cs="新細明體"/>
                                <w:color w:val="000000"/>
                                <w:sz w:val="20"/>
                                <w:szCs w:val="20"/>
                              </w:rPr>
                            </w:pPr>
                            <w:r w:rsidRPr="0012432A">
                              <w:rPr>
                                <w:rFonts w:ascii="標楷體" w:hAnsi="標楷體" w:cs="新細明體" w:hint="eastAsia"/>
                                <w:color w:val="000000"/>
                                <w:sz w:val="20"/>
                                <w:szCs w:val="20"/>
                              </w:rPr>
                              <w:t>收支賸餘</w:t>
                            </w:r>
                            <w:r w:rsidRPr="0012432A">
                              <w:rPr>
                                <w:rFonts w:ascii="標楷體" w:hAnsi="標楷體" w:hint="eastAsia"/>
                                <w:sz w:val="20"/>
                                <w:szCs w:val="20"/>
                                <w:lang w:eastAsia="zh-HK"/>
                              </w:rPr>
                              <w:t>（</w:t>
                            </w:r>
                            <w:r w:rsidRPr="0012432A">
                              <w:rPr>
                                <w:rFonts w:ascii="標楷體" w:hAnsi="標楷體" w:cs="新細明體" w:hint="eastAsia"/>
                                <w:color w:val="000000"/>
                                <w:sz w:val="20"/>
                                <w:szCs w:val="20"/>
                              </w:rPr>
                              <w:t>短絀</w:t>
                            </w:r>
                            <w:r w:rsidR="00B56536">
                              <w:rPr>
                                <w:rFonts w:ascii="標楷體" w:hAnsi="標楷體" w:cs="新細明體" w:hint="eastAsia"/>
                                <w:color w:val="000000"/>
                                <w:sz w:val="20"/>
                                <w:szCs w:val="20"/>
                              </w:rPr>
                              <w:t>-</w:t>
                            </w:r>
                            <w:r w:rsidRPr="0012432A">
                              <w:rPr>
                                <w:rFonts w:ascii="標楷體" w:hAnsi="標楷體" w:hint="eastAsia"/>
                                <w:sz w:val="20"/>
                                <w:szCs w:val="20"/>
                                <w:lang w:eastAsia="zh-HK"/>
                              </w:rPr>
                              <w:t>）</w:t>
                            </w:r>
                          </w:p>
                        </w:tc>
                        <w:tc>
                          <w:tcPr>
                            <w:tcW w:w="882" w:type="dxa"/>
                            <w:tcBorders>
                              <w:top w:val="nil"/>
                              <w:left w:val="nil"/>
                              <w:bottom w:val="single" w:sz="4" w:space="0" w:color="auto"/>
                              <w:right w:val="single" w:sz="4" w:space="0" w:color="auto"/>
                            </w:tcBorders>
                            <w:shd w:val="clear" w:color="000000" w:fill="FFFFFF"/>
                            <w:noWrap/>
                            <w:vAlign w:val="center"/>
                            <w:hideMark/>
                          </w:tcPr>
                          <w:p w14:paraId="01CE198C" w14:textId="3CDF570A"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3.62</w:t>
                            </w:r>
                          </w:p>
                        </w:tc>
                        <w:tc>
                          <w:tcPr>
                            <w:tcW w:w="770" w:type="dxa"/>
                            <w:tcBorders>
                              <w:top w:val="nil"/>
                              <w:left w:val="nil"/>
                              <w:bottom w:val="single" w:sz="4" w:space="0" w:color="auto"/>
                              <w:right w:val="single" w:sz="4" w:space="0" w:color="auto"/>
                            </w:tcBorders>
                            <w:shd w:val="clear" w:color="000000" w:fill="FFFFFF"/>
                            <w:vAlign w:val="center"/>
                            <w:hideMark/>
                          </w:tcPr>
                          <w:p w14:paraId="5AB6CCC6" w14:textId="06D8365F" w:rsidR="0012432A" w:rsidRPr="0088081D" w:rsidRDefault="00E57752" w:rsidP="0012432A">
                            <w:pPr>
                              <w:widowControl/>
                              <w:jc w:val="right"/>
                              <w:rPr>
                                <w:rFonts w:ascii="標楷體" w:hAnsi="標楷體" w:cs="新細明體"/>
                                <w:color w:val="000000"/>
                                <w:sz w:val="20"/>
                                <w:szCs w:val="20"/>
                              </w:rPr>
                            </w:pPr>
                            <w:r>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88081D">
                              <w:rPr>
                                <w:rFonts w:ascii="標楷體" w:hAnsi="標楷體" w:cs="新細明體" w:hint="eastAsia"/>
                                <w:color w:val="000000"/>
                                <w:sz w:val="20"/>
                                <w:szCs w:val="20"/>
                              </w:rPr>
                              <w:t>3.27</w:t>
                            </w:r>
                          </w:p>
                        </w:tc>
                        <w:tc>
                          <w:tcPr>
                            <w:tcW w:w="924" w:type="dxa"/>
                            <w:tcBorders>
                              <w:top w:val="nil"/>
                              <w:left w:val="nil"/>
                              <w:bottom w:val="single" w:sz="4" w:space="0" w:color="auto"/>
                              <w:right w:val="single" w:sz="4" w:space="0" w:color="auto"/>
                            </w:tcBorders>
                            <w:shd w:val="clear" w:color="000000" w:fill="FFFFFF"/>
                            <w:vAlign w:val="center"/>
                            <w:hideMark/>
                          </w:tcPr>
                          <w:p w14:paraId="31DABB9F" w14:textId="77777777" w:rsidR="0012432A" w:rsidRPr="0088081D" w:rsidRDefault="0012432A" w:rsidP="0012432A">
                            <w:pPr>
                              <w:widowControl/>
                              <w:jc w:val="right"/>
                              <w:rPr>
                                <w:rFonts w:ascii="標楷體" w:hAnsi="標楷體" w:cs="新細明體"/>
                                <w:color w:val="000000"/>
                                <w:sz w:val="20"/>
                                <w:szCs w:val="20"/>
                              </w:rPr>
                            </w:pPr>
                            <w:r w:rsidRPr="0088081D">
                              <w:rPr>
                                <w:rFonts w:ascii="標楷體" w:hAnsi="標楷體" w:cs="新細明體" w:hint="eastAsia"/>
                                <w:color w:val="000000"/>
                                <w:sz w:val="20"/>
                                <w:szCs w:val="20"/>
                              </w:rPr>
                              <w:t>21.83</w:t>
                            </w:r>
                          </w:p>
                        </w:tc>
                        <w:tc>
                          <w:tcPr>
                            <w:tcW w:w="812" w:type="dxa"/>
                            <w:tcBorders>
                              <w:top w:val="nil"/>
                              <w:left w:val="nil"/>
                              <w:bottom w:val="single" w:sz="4" w:space="0" w:color="auto"/>
                              <w:right w:val="single" w:sz="4" w:space="0" w:color="auto"/>
                            </w:tcBorders>
                            <w:shd w:val="clear" w:color="000000" w:fill="FFFFFF"/>
                            <w:vAlign w:val="center"/>
                            <w:hideMark/>
                          </w:tcPr>
                          <w:p w14:paraId="2F5C9EA0" w14:textId="18E1860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14.33</w:t>
                            </w:r>
                          </w:p>
                        </w:tc>
                        <w:tc>
                          <w:tcPr>
                            <w:tcW w:w="839" w:type="dxa"/>
                            <w:tcBorders>
                              <w:top w:val="nil"/>
                              <w:left w:val="nil"/>
                              <w:bottom w:val="single" w:sz="4" w:space="0" w:color="auto"/>
                              <w:right w:val="single" w:sz="4" w:space="0" w:color="auto"/>
                            </w:tcBorders>
                            <w:shd w:val="clear" w:color="000000" w:fill="FFFFFF"/>
                            <w:noWrap/>
                            <w:vAlign w:val="center"/>
                            <w:hideMark/>
                          </w:tcPr>
                          <w:p w14:paraId="0F3E2E21" w14:textId="28AA6B5E"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48.05</w:t>
                            </w:r>
                          </w:p>
                        </w:tc>
                        <w:tc>
                          <w:tcPr>
                            <w:tcW w:w="784" w:type="dxa"/>
                            <w:tcBorders>
                              <w:top w:val="nil"/>
                              <w:left w:val="nil"/>
                              <w:bottom w:val="single" w:sz="4" w:space="0" w:color="auto"/>
                              <w:right w:val="single" w:sz="4" w:space="0" w:color="auto"/>
                            </w:tcBorders>
                            <w:shd w:val="clear" w:color="000000" w:fill="FFFFFF"/>
                            <w:noWrap/>
                            <w:vAlign w:val="center"/>
                            <w:hideMark/>
                          </w:tcPr>
                          <w:p w14:paraId="5F7C5ED6" w14:textId="12D98D34" w:rsidR="0012432A" w:rsidRPr="00C60643" w:rsidRDefault="00E57752" w:rsidP="0012432A">
                            <w:pPr>
                              <w:widowControl/>
                              <w:jc w:val="right"/>
                              <w:rPr>
                                <w:rFonts w:ascii="標楷體" w:hAnsi="標楷體" w:cs="新細明體"/>
                                <w:color w:val="000000"/>
                                <w:sz w:val="20"/>
                                <w:szCs w:val="20"/>
                              </w:rPr>
                            </w:pPr>
                            <w:r w:rsidRPr="00C60643">
                              <w:rPr>
                                <w:rFonts w:ascii="標楷體" w:hAnsi="標楷體" w:cs="新細明體" w:hint="eastAsia"/>
                                <w:color w:val="000000"/>
                                <w:sz w:val="20"/>
                                <w:szCs w:val="20"/>
                              </w:rPr>
                              <w:t>-</w:t>
                            </w:r>
                            <w:r w:rsidR="00022BCB" w:rsidRPr="00C60643">
                              <w:rPr>
                                <w:rFonts w:ascii="標楷體" w:hAnsi="標楷體" w:cs="新細明體"/>
                                <w:color w:val="000000"/>
                                <w:sz w:val="20"/>
                                <w:szCs w:val="20"/>
                              </w:rPr>
                              <w:t xml:space="preserve"> </w:t>
                            </w:r>
                            <w:r w:rsidR="0012432A" w:rsidRPr="00C60643">
                              <w:rPr>
                                <w:rFonts w:ascii="標楷體" w:hAnsi="標楷體" w:cs="新細明體" w:hint="eastAsia"/>
                                <w:color w:val="000000"/>
                                <w:sz w:val="20"/>
                                <w:szCs w:val="20"/>
                              </w:rPr>
                              <w:t>30.4</w:t>
                            </w:r>
                            <w:r w:rsidR="00FE6695" w:rsidRPr="00C60643">
                              <w:rPr>
                                <w:rFonts w:ascii="標楷體" w:hAnsi="標楷體" w:cs="新細明體"/>
                                <w:color w:val="000000"/>
                                <w:sz w:val="20"/>
                                <w:szCs w:val="20"/>
                              </w:rPr>
                              <w:t>0</w:t>
                            </w:r>
                          </w:p>
                        </w:tc>
                      </w:tr>
                      <w:tr w:rsidR="0012432A" w:rsidRPr="0012432A" w14:paraId="668F160C" w14:textId="77777777" w:rsidTr="005974F3">
                        <w:trPr>
                          <w:trHeight w:val="64"/>
                        </w:trPr>
                        <w:tc>
                          <w:tcPr>
                            <w:tcW w:w="7181" w:type="dxa"/>
                            <w:gridSpan w:val="7"/>
                            <w:tcBorders>
                              <w:top w:val="nil"/>
                              <w:left w:val="nil"/>
                              <w:bottom w:val="nil"/>
                              <w:right w:val="nil"/>
                            </w:tcBorders>
                            <w:noWrap/>
                            <w:vAlign w:val="center"/>
                            <w:hideMark/>
                          </w:tcPr>
                          <w:p w14:paraId="1128D564" w14:textId="77777777" w:rsidR="0012432A" w:rsidRPr="0012432A" w:rsidRDefault="0012432A" w:rsidP="00400547">
                            <w:pPr>
                              <w:widowControl/>
                              <w:spacing w:line="280" w:lineRule="exact"/>
                              <w:ind w:leftChars="-18" w:hangingChars="16" w:hanging="29"/>
                              <w:rPr>
                                <w:rFonts w:ascii="標楷體" w:hAnsi="標楷體" w:cs="新細明體"/>
                                <w:color w:val="000000"/>
                                <w:sz w:val="18"/>
                                <w:szCs w:val="18"/>
                              </w:rPr>
                            </w:pPr>
                            <w:r w:rsidRPr="0012432A">
                              <w:rPr>
                                <w:rFonts w:ascii="標楷體" w:hAnsi="標楷體" w:cs="新細明體" w:hint="eastAsia"/>
                                <w:color w:val="000000"/>
                                <w:sz w:val="18"/>
                                <w:szCs w:val="18"/>
                              </w:rPr>
                              <w:t>資料來源：整理自新北市政府主計處提供資料。</w:t>
                            </w:r>
                          </w:p>
                        </w:tc>
                      </w:tr>
                    </w:tbl>
                    <w:p w14:paraId="20871DB0" w14:textId="1D3CE4F7" w:rsidR="0012432A" w:rsidRPr="0012432A" w:rsidRDefault="0012432A" w:rsidP="00400547"/>
                  </w:txbxContent>
                </v:textbox>
                <w10:wrap type="tight"/>
              </v:shape>
            </w:pict>
          </mc:Fallback>
        </mc:AlternateContent>
      </w:r>
      <w:r w:rsidRPr="00501E51">
        <w:rPr>
          <w:rFonts w:ascii="標楷體" w:hAnsi="標楷體"/>
          <w:sz w:val="24"/>
          <w:szCs w:val="24"/>
          <w:lang w:eastAsia="zh-HK"/>
        </w:rPr>
        <w:t>續擴大，</w:t>
      </w:r>
      <w:r w:rsidRPr="00501E51">
        <w:rPr>
          <w:rFonts w:ascii="標楷體" w:hAnsi="標楷體" w:hint="eastAsia"/>
          <w:sz w:val="24"/>
          <w:szCs w:val="24"/>
          <w:lang w:eastAsia="zh-HK"/>
        </w:rPr>
        <w:t>影響</w:t>
      </w:r>
      <w:r w:rsidRPr="00501E51">
        <w:rPr>
          <w:rFonts w:ascii="標楷體" w:hAnsi="標楷體"/>
          <w:sz w:val="24"/>
          <w:szCs w:val="24"/>
          <w:lang w:eastAsia="zh-HK"/>
        </w:rPr>
        <w:t>市</w:t>
      </w:r>
      <w:r w:rsidRPr="00501E51">
        <w:rPr>
          <w:rFonts w:ascii="標楷體" w:hAnsi="標楷體" w:hint="eastAsia"/>
          <w:sz w:val="24"/>
          <w:szCs w:val="24"/>
          <w:lang w:eastAsia="zh-HK"/>
        </w:rPr>
        <w:t>府財政健全</w:t>
      </w:r>
      <w:r w:rsidR="000F5AAB">
        <w:rPr>
          <w:rFonts w:ascii="標楷體" w:hAnsi="標楷體" w:hint="eastAsia"/>
          <w:sz w:val="24"/>
          <w:szCs w:val="24"/>
          <w:lang w:eastAsia="zh-HK"/>
        </w:rPr>
        <w:t>；另</w:t>
      </w:r>
      <w:r w:rsidRPr="00127856">
        <w:rPr>
          <w:rFonts w:ascii="標楷體" w:hAnsi="標楷體"/>
          <w:sz w:val="24"/>
          <w:szCs w:val="24"/>
          <w:lang w:eastAsia="zh-HK"/>
        </w:rPr>
        <w:t>11</w:t>
      </w:r>
      <w:r w:rsidRPr="00127856">
        <w:rPr>
          <w:rFonts w:ascii="標楷體" w:hAnsi="標楷體" w:hint="eastAsia"/>
          <w:sz w:val="24"/>
          <w:szCs w:val="24"/>
          <w:lang w:eastAsia="zh-HK"/>
        </w:rPr>
        <w:t>4年度尚有未來應負擔之或有給付責任事項，包括積欠應行負擔退休公教人員優惠存款差額利息</w:t>
      </w:r>
      <w:r w:rsidRPr="00127856">
        <w:rPr>
          <w:rFonts w:ascii="標楷體" w:hAnsi="標楷體"/>
          <w:sz w:val="24"/>
          <w:szCs w:val="24"/>
          <w:lang w:eastAsia="zh-HK"/>
        </w:rPr>
        <w:t>4</w:t>
      </w:r>
      <w:r w:rsidRPr="00127856">
        <w:rPr>
          <w:rFonts w:ascii="標楷體" w:hAnsi="標楷體" w:hint="eastAsia"/>
          <w:sz w:val="24"/>
          <w:szCs w:val="24"/>
          <w:lang w:eastAsia="zh-HK"/>
        </w:rPr>
        <w:t>4億6</w:t>
      </w:r>
      <w:r w:rsidRPr="00127856">
        <w:rPr>
          <w:rFonts w:ascii="標楷體" w:hAnsi="標楷體"/>
          <w:sz w:val="24"/>
          <w:szCs w:val="24"/>
          <w:lang w:eastAsia="zh-HK"/>
        </w:rPr>
        <w:t>42</w:t>
      </w:r>
      <w:r w:rsidRPr="00127856">
        <w:rPr>
          <w:rFonts w:ascii="標楷體" w:hAnsi="標楷體" w:hint="eastAsia"/>
          <w:sz w:val="24"/>
          <w:szCs w:val="24"/>
          <w:lang w:eastAsia="zh-HK"/>
        </w:rPr>
        <w:t>萬餘元、公務人員及教育人員之舊制退休金</w:t>
      </w:r>
      <w:r w:rsidRPr="00127856">
        <w:rPr>
          <w:rFonts w:ascii="標楷體" w:hAnsi="標楷體"/>
          <w:sz w:val="24"/>
          <w:szCs w:val="24"/>
          <w:lang w:eastAsia="zh-HK"/>
        </w:rPr>
        <w:t>2</w:t>
      </w:r>
      <w:r w:rsidRPr="00127856">
        <w:rPr>
          <w:rFonts w:ascii="標楷體" w:hAnsi="標楷體" w:hint="eastAsia"/>
          <w:sz w:val="24"/>
          <w:szCs w:val="24"/>
          <w:lang w:eastAsia="zh-HK"/>
        </w:rPr>
        <w:t>15億2</w:t>
      </w:r>
      <w:r w:rsidRPr="00127856">
        <w:rPr>
          <w:rFonts w:ascii="標楷體" w:hAnsi="標楷體"/>
          <w:sz w:val="24"/>
          <w:szCs w:val="24"/>
          <w:lang w:eastAsia="zh-HK"/>
        </w:rPr>
        <w:t>,</w:t>
      </w:r>
      <w:r w:rsidRPr="00127856">
        <w:rPr>
          <w:rFonts w:ascii="標楷體" w:hAnsi="標楷體" w:hint="eastAsia"/>
          <w:sz w:val="24"/>
          <w:szCs w:val="24"/>
          <w:lang w:eastAsia="zh-HK"/>
        </w:rPr>
        <w:t>1</w:t>
      </w:r>
      <w:r w:rsidRPr="00127856">
        <w:rPr>
          <w:rFonts w:ascii="標楷體" w:hAnsi="標楷體"/>
          <w:sz w:val="24"/>
          <w:szCs w:val="24"/>
          <w:lang w:eastAsia="zh-HK"/>
        </w:rPr>
        <w:t>64</w:t>
      </w:r>
      <w:r w:rsidRPr="00127856">
        <w:rPr>
          <w:rFonts w:ascii="標楷體" w:hAnsi="標楷體" w:hint="eastAsia"/>
          <w:sz w:val="24"/>
          <w:szCs w:val="24"/>
          <w:lang w:eastAsia="zh-HK"/>
        </w:rPr>
        <w:t>萬餘元及753億</w:t>
      </w:r>
      <w:r w:rsidRPr="00127856">
        <w:rPr>
          <w:rFonts w:ascii="標楷體" w:hAnsi="標楷體"/>
          <w:sz w:val="24"/>
          <w:szCs w:val="24"/>
          <w:lang w:eastAsia="zh-HK"/>
        </w:rPr>
        <w:t>8,552</w:t>
      </w:r>
      <w:r w:rsidRPr="00127856">
        <w:rPr>
          <w:rFonts w:ascii="標楷體" w:hAnsi="標楷體" w:hint="eastAsia"/>
          <w:sz w:val="24"/>
          <w:szCs w:val="24"/>
          <w:lang w:eastAsia="zh-HK"/>
        </w:rPr>
        <w:t>萬餘元，合計</w:t>
      </w:r>
      <w:r w:rsidRPr="00127856">
        <w:rPr>
          <w:rFonts w:ascii="標楷體" w:hAnsi="標楷體"/>
          <w:sz w:val="24"/>
          <w:szCs w:val="24"/>
          <w:lang w:eastAsia="zh-HK"/>
        </w:rPr>
        <w:t>1,0</w:t>
      </w:r>
      <w:r w:rsidRPr="00127856">
        <w:rPr>
          <w:rFonts w:ascii="標楷體" w:hAnsi="標楷體" w:hint="eastAsia"/>
          <w:sz w:val="24"/>
          <w:szCs w:val="24"/>
          <w:lang w:eastAsia="zh-HK"/>
        </w:rPr>
        <w:t>13億1</w:t>
      </w:r>
      <w:r w:rsidRPr="00127856">
        <w:rPr>
          <w:rFonts w:ascii="標楷體" w:hAnsi="標楷體"/>
          <w:sz w:val="24"/>
          <w:szCs w:val="24"/>
          <w:lang w:eastAsia="zh-HK"/>
        </w:rPr>
        <w:t>,</w:t>
      </w:r>
      <w:r w:rsidRPr="00127856">
        <w:rPr>
          <w:rFonts w:ascii="標楷體" w:hAnsi="標楷體" w:hint="eastAsia"/>
          <w:sz w:val="24"/>
          <w:szCs w:val="24"/>
          <w:lang w:eastAsia="zh-HK"/>
        </w:rPr>
        <w:t>3</w:t>
      </w:r>
      <w:r w:rsidRPr="00127856">
        <w:rPr>
          <w:rFonts w:ascii="標楷體" w:hAnsi="標楷體"/>
          <w:sz w:val="24"/>
          <w:szCs w:val="24"/>
          <w:lang w:eastAsia="zh-HK"/>
        </w:rPr>
        <w:t>60</w:t>
      </w:r>
      <w:r w:rsidRPr="00127856">
        <w:rPr>
          <w:rFonts w:ascii="標楷體" w:hAnsi="標楷體" w:hint="eastAsia"/>
          <w:sz w:val="24"/>
          <w:szCs w:val="24"/>
          <w:lang w:eastAsia="zh-HK"/>
        </w:rPr>
        <w:t>萬餘元，須於後續年度編列預算償還，財政負擔仍重</w:t>
      </w:r>
      <w:r w:rsidR="000F5AAB">
        <w:rPr>
          <w:rFonts w:ascii="標楷體" w:hAnsi="標楷體" w:hint="eastAsia"/>
          <w:sz w:val="24"/>
          <w:szCs w:val="24"/>
          <w:lang w:eastAsia="zh-HK"/>
        </w:rPr>
        <w:t>；又</w:t>
      </w:r>
      <w:r w:rsidRPr="00127856">
        <w:rPr>
          <w:rFonts w:ascii="標楷體" w:hAnsi="標楷體" w:hint="eastAsia"/>
          <w:sz w:val="24"/>
          <w:szCs w:val="24"/>
          <w:lang w:eastAsia="zh-HK"/>
        </w:rPr>
        <w:t>為應各機關收支及管理市庫實際資金需求，</w:t>
      </w:r>
      <w:r w:rsidRPr="00127856">
        <w:rPr>
          <w:rFonts w:ascii="標楷體" w:hAnsi="標楷體"/>
          <w:sz w:val="24"/>
          <w:szCs w:val="24"/>
          <w:lang w:eastAsia="zh-HK"/>
        </w:rPr>
        <w:t>11</w:t>
      </w:r>
      <w:r w:rsidRPr="00127856">
        <w:rPr>
          <w:rFonts w:ascii="標楷體" w:hAnsi="標楷體" w:hint="eastAsia"/>
          <w:sz w:val="24"/>
          <w:szCs w:val="24"/>
          <w:lang w:eastAsia="zh-HK"/>
        </w:rPr>
        <w:t>2至</w:t>
      </w:r>
      <w:r w:rsidRPr="00127856">
        <w:rPr>
          <w:rFonts w:ascii="標楷體" w:hAnsi="標楷體"/>
          <w:sz w:val="24"/>
          <w:szCs w:val="24"/>
          <w:lang w:eastAsia="zh-HK"/>
        </w:rPr>
        <w:t>11</w:t>
      </w:r>
      <w:r w:rsidRPr="00127856">
        <w:rPr>
          <w:rFonts w:ascii="標楷體" w:hAnsi="標楷體" w:hint="eastAsia"/>
          <w:sz w:val="24"/>
          <w:szCs w:val="24"/>
          <w:lang w:eastAsia="zh-HK"/>
        </w:rPr>
        <w:t>4年度依公庫法第</w:t>
      </w:r>
      <w:r w:rsidRPr="00127856">
        <w:rPr>
          <w:rFonts w:ascii="標楷體" w:hAnsi="標楷體"/>
          <w:sz w:val="24"/>
          <w:szCs w:val="24"/>
          <w:lang w:eastAsia="zh-HK"/>
        </w:rPr>
        <w:t>21</w:t>
      </w:r>
      <w:r w:rsidRPr="00127856">
        <w:rPr>
          <w:rFonts w:ascii="標楷體" w:hAnsi="標楷體" w:hint="eastAsia"/>
          <w:sz w:val="24"/>
          <w:szCs w:val="24"/>
          <w:lang w:eastAsia="zh-HK"/>
        </w:rPr>
        <w:t>條規定統一調度運用特種基金及各機關專戶金額（不含已納入集中支付之地方教育發展基金）分別為</w:t>
      </w:r>
      <w:r w:rsidRPr="00127856">
        <w:rPr>
          <w:rFonts w:ascii="標楷體" w:hAnsi="標楷體"/>
          <w:sz w:val="24"/>
          <w:szCs w:val="24"/>
          <w:lang w:eastAsia="zh-HK"/>
        </w:rPr>
        <w:t>701</w:t>
      </w:r>
      <w:r w:rsidRPr="00127856">
        <w:rPr>
          <w:rFonts w:ascii="標楷體" w:hAnsi="標楷體" w:hint="eastAsia"/>
          <w:sz w:val="24"/>
          <w:szCs w:val="24"/>
          <w:lang w:eastAsia="zh-HK"/>
        </w:rPr>
        <w:t>億</w:t>
      </w:r>
      <w:r w:rsidRPr="00127856">
        <w:rPr>
          <w:rFonts w:ascii="標楷體" w:hAnsi="標楷體"/>
          <w:sz w:val="24"/>
          <w:szCs w:val="24"/>
          <w:lang w:eastAsia="zh-HK"/>
        </w:rPr>
        <w:t>2,541</w:t>
      </w:r>
      <w:r w:rsidRPr="00127856">
        <w:rPr>
          <w:rFonts w:ascii="標楷體" w:hAnsi="標楷體" w:hint="eastAsia"/>
          <w:sz w:val="24"/>
          <w:szCs w:val="24"/>
          <w:lang w:eastAsia="zh-HK"/>
        </w:rPr>
        <w:t>萬餘元、775億1</w:t>
      </w:r>
      <w:r w:rsidRPr="00127856">
        <w:rPr>
          <w:rFonts w:ascii="標楷體" w:hAnsi="標楷體"/>
          <w:sz w:val="24"/>
          <w:szCs w:val="24"/>
          <w:lang w:eastAsia="zh-HK"/>
        </w:rPr>
        <w:t>,</w:t>
      </w:r>
      <w:r w:rsidRPr="00127856">
        <w:rPr>
          <w:rFonts w:ascii="標楷體" w:hAnsi="標楷體" w:hint="eastAsia"/>
          <w:sz w:val="24"/>
          <w:szCs w:val="24"/>
          <w:lang w:eastAsia="zh-HK"/>
        </w:rPr>
        <w:t>5</w:t>
      </w:r>
      <w:r w:rsidRPr="00127856">
        <w:rPr>
          <w:rFonts w:ascii="標楷體" w:hAnsi="標楷體"/>
          <w:sz w:val="24"/>
          <w:szCs w:val="24"/>
          <w:lang w:eastAsia="zh-HK"/>
        </w:rPr>
        <w:t>19</w:t>
      </w:r>
      <w:r w:rsidRPr="00127856">
        <w:rPr>
          <w:rFonts w:ascii="標楷體" w:hAnsi="標楷體" w:hint="eastAsia"/>
          <w:sz w:val="24"/>
          <w:szCs w:val="24"/>
          <w:lang w:eastAsia="zh-HK"/>
        </w:rPr>
        <w:t>萬餘元及808億7</w:t>
      </w:r>
      <w:r w:rsidRPr="00127856">
        <w:rPr>
          <w:rFonts w:ascii="標楷體" w:hAnsi="標楷體"/>
          <w:sz w:val="24"/>
          <w:szCs w:val="24"/>
          <w:lang w:eastAsia="zh-HK"/>
        </w:rPr>
        <w:t>,</w:t>
      </w:r>
      <w:r w:rsidRPr="00127856">
        <w:rPr>
          <w:rFonts w:ascii="標楷體" w:hAnsi="標楷體" w:hint="eastAsia"/>
          <w:sz w:val="24"/>
          <w:szCs w:val="24"/>
          <w:lang w:eastAsia="zh-HK"/>
        </w:rPr>
        <w:t>3</w:t>
      </w:r>
      <w:r w:rsidRPr="00127856">
        <w:rPr>
          <w:rFonts w:ascii="標楷體" w:hAnsi="標楷體"/>
          <w:sz w:val="24"/>
          <w:szCs w:val="24"/>
          <w:lang w:eastAsia="zh-HK"/>
        </w:rPr>
        <w:t>69</w:t>
      </w:r>
      <w:r w:rsidRPr="00127856">
        <w:rPr>
          <w:rFonts w:ascii="標楷體" w:hAnsi="標楷體" w:hint="eastAsia"/>
          <w:sz w:val="24"/>
          <w:szCs w:val="24"/>
          <w:lang w:eastAsia="zh-HK"/>
        </w:rPr>
        <w:t>萬餘元，調度金額亦呈逐年增加趨勢。顯示市府支應市政業務所需資金缺口逐年攀升，雖統一調度運用特種基金及各機關專戶暫無需用之款項支應，惟倘突遇各特種基金及機關專戶之大額資金需求，仍須舉借資金始能歸墊調度運用金額，長久運用此資金調度方式，亦有其運作風險</w:t>
      </w:r>
      <w:r w:rsidR="000F5AAB">
        <w:rPr>
          <w:rFonts w:ascii="標楷體" w:hAnsi="標楷體" w:hint="eastAsia"/>
          <w:sz w:val="24"/>
          <w:szCs w:val="24"/>
          <w:lang w:eastAsia="zh-HK"/>
        </w:rPr>
        <w:t>等情事</w:t>
      </w:r>
      <w:r w:rsidRPr="00240F7C">
        <w:rPr>
          <w:rFonts w:ascii="標楷體" w:hAnsi="標楷體" w:hint="eastAsia"/>
          <w:sz w:val="24"/>
          <w:szCs w:val="24"/>
          <w:lang w:eastAsia="zh-HK"/>
        </w:rPr>
        <w:t>，經函請研謀妥處。</w:t>
      </w:r>
      <w:r w:rsidRPr="003226C8">
        <w:rPr>
          <w:rFonts w:ascii="標楷體" w:hAnsi="標楷體" w:hint="eastAsia"/>
          <w:sz w:val="24"/>
          <w:szCs w:val="24"/>
          <w:lang w:eastAsia="zh-HK"/>
        </w:rPr>
        <w:t>據復：</w:t>
      </w:r>
      <w:r w:rsidR="003226C8" w:rsidRPr="003226C8">
        <w:rPr>
          <w:rFonts w:ascii="標楷體" w:hAnsi="標楷體" w:hint="eastAsia"/>
          <w:sz w:val="24"/>
          <w:szCs w:val="24"/>
          <w:lang w:eastAsia="zh-HK"/>
        </w:rPr>
        <w:t>近年為新北市軌道建設高峰期，且</w:t>
      </w:r>
      <w:r w:rsidR="00115D99">
        <w:rPr>
          <w:rFonts w:ascii="標楷體" w:hAnsi="標楷體" w:hint="eastAsia"/>
          <w:sz w:val="24"/>
          <w:szCs w:val="24"/>
          <w:lang w:eastAsia="zh-HK"/>
        </w:rPr>
        <w:t>應</w:t>
      </w:r>
      <w:r w:rsidR="003226C8" w:rsidRPr="003226C8">
        <w:rPr>
          <w:rFonts w:ascii="標楷體" w:hAnsi="標楷體" w:hint="eastAsia"/>
          <w:sz w:val="24"/>
          <w:szCs w:val="24"/>
          <w:lang w:eastAsia="zh-HK"/>
        </w:rPr>
        <w:t>各項社會福利及托育、長期照護等政策，支出不斷增加，財政相對艱困，未來仍將持續努力改善財政，</w:t>
      </w:r>
      <w:r w:rsidR="00115D99">
        <w:rPr>
          <w:rFonts w:ascii="標楷體" w:hAnsi="標楷體" w:hint="eastAsia"/>
          <w:sz w:val="24"/>
          <w:szCs w:val="24"/>
          <w:lang w:eastAsia="zh-HK"/>
        </w:rPr>
        <w:t>積極</w:t>
      </w:r>
      <w:r w:rsidR="003226C8" w:rsidRPr="003226C8">
        <w:rPr>
          <w:rFonts w:ascii="標楷體" w:hAnsi="標楷體" w:hint="eastAsia"/>
          <w:sz w:val="24"/>
          <w:szCs w:val="24"/>
          <w:lang w:eastAsia="zh-HK"/>
        </w:rPr>
        <w:t>辦理開源節流</w:t>
      </w:r>
      <w:r w:rsidR="00DA319A">
        <w:rPr>
          <w:rFonts w:ascii="標楷體" w:hAnsi="標楷體" w:hint="eastAsia"/>
          <w:sz w:val="24"/>
          <w:szCs w:val="24"/>
          <w:lang w:eastAsia="zh-HK"/>
        </w:rPr>
        <w:t>措施</w:t>
      </w:r>
      <w:r w:rsidR="00E537FA">
        <w:rPr>
          <w:rFonts w:ascii="標楷體" w:hAnsi="標楷體" w:hint="eastAsia"/>
          <w:sz w:val="24"/>
          <w:szCs w:val="24"/>
          <w:lang w:eastAsia="zh-HK"/>
        </w:rPr>
        <w:t>，包括</w:t>
      </w:r>
      <w:r w:rsidR="00901852">
        <w:rPr>
          <w:rFonts w:ascii="標楷體" w:hAnsi="標楷體" w:hint="eastAsia"/>
          <w:sz w:val="24"/>
          <w:szCs w:val="24"/>
          <w:lang w:eastAsia="zh-HK"/>
        </w:rPr>
        <w:t>：</w:t>
      </w:r>
      <w:r w:rsidR="00115D99" w:rsidRPr="00D31A67">
        <w:rPr>
          <w:rFonts w:ascii="標楷體" w:hAnsi="標楷體" w:hint="eastAsia"/>
          <w:sz w:val="24"/>
          <w:szCs w:val="24"/>
          <w:lang w:eastAsia="zh-HK"/>
        </w:rPr>
        <w:t>實施公有建物供需調配精進方案，</w:t>
      </w:r>
      <w:r w:rsidR="00D575F3" w:rsidRPr="00D31A67">
        <w:rPr>
          <w:rFonts w:ascii="標楷體" w:hAnsi="標楷體" w:hint="eastAsia"/>
          <w:sz w:val="24"/>
          <w:szCs w:val="24"/>
          <w:lang w:eastAsia="zh-HK"/>
        </w:rPr>
        <w:t>提高</w:t>
      </w:r>
      <w:r w:rsidR="00115D99" w:rsidRPr="00D31A67">
        <w:rPr>
          <w:rFonts w:ascii="標楷體" w:hAnsi="標楷體" w:hint="eastAsia"/>
          <w:sz w:val="24"/>
          <w:szCs w:val="24"/>
          <w:lang w:eastAsia="zh-HK"/>
        </w:rPr>
        <w:t>既有廳舍利用，節省租金及興建費用</w:t>
      </w:r>
      <w:r w:rsidR="00D575F3" w:rsidRPr="00D31A67">
        <w:rPr>
          <w:rFonts w:ascii="標楷體" w:hAnsi="標楷體" w:hint="eastAsia"/>
          <w:sz w:val="24"/>
          <w:szCs w:val="24"/>
          <w:lang w:eastAsia="zh-HK"/>
        </w:rPr>
        <w:t>；</w:t>
      </w:r>
      <w:r w:rsidR="00D31A67" w:rsidRPr="00D31A67">
        <w:rPr>
          <w:rFonts w:ascii="標楷體" w:hAnsi="標楷體" w:hint="eastAsia"/>
          <w:sz w:val="24"/>
          <w:szCs w:val="24"/>
          <w:lang w:eastAsia="zh-HK"/>
        </w:rPr>
        <w:t>透過都市計畫調整、區段徵收或市地重劃等方式，讓市有財產進行公（民）辦都更，或辦理土地開發，以增加市府財源；</w:t>
      </w:r>
      <w:r w:rsidR="00DF1E9C" w:rsidRPr="00DF1E9C">
        <w:rPr>
          <w:rFonts w:ascii="標楷體" w:hAnsi="標楷體" w:hint="eastAsia"/>
          <w:sz w:val="24"/>
          <w:szCs w:val="24"/>
          <w:lang w:eastAsia="zh-HK"/>
        </w:rPr>
        <w:t>鼓勵民間參與公共建設，辦理各項BOT、ROT案，以減少公共建設支出並增加權利金收入；實施公益設施回饋及容積移轉代金制度，以增益市庫收入</w:t>
      </w:r>
      <w:r w:rsidR="00DA319A">
        <w:rPr>
          <w:rFonts w:ascii="標楷體" w:hAnsi="標楷體" w:hint="eastAsia"/>
          <w:sz w:val="24"/>
          <w:szCs w:val="24"/>
          <w:lang w:eastAsia="zh-HK"/>
        </w:rPr>
        <w:t>。</w:t>
      </w:r>
    </w:p>
    <w:p w14:paraId="3DD4E6B4" w14:textId="03E04B1B" w:rsidR="0074376B" w:rsidRPr="00B27FE0" w:rsidRDefault="008620A2" w:rsidP="00F00341">
      <w:pPr>
        <w:spacing w:beforeLines="15" w:before="54" w:line="598" w:lineRule="exact"/>
        <w:ind w:firstLineChars="200" w:firstLine="561"/>
        <w:jc w:val="both"/>
        <w:rPr>
          <w:rFonts w:ascii="標楷體" w:hAnsi="標楷體"/>
          <w:b/>
          <w:snapToGrid w:val="0"/>
          <w:sz w:val="28"/>
          <w:szCs w:val="24"/>
        </w:rPr>
      </w:pPr>
      <w:r w:rsidRPr="00B27FE0">
        <w:rPr>
          <w:rFonts w:ascii="標楷體" w:hAnsi="標楷體" w:hint="eastAsia"/>
          <w:b/>
          <w:snapToGrid w:val="0"/>
          <w:kern w:val="2"/>
          <w:sz w:val="28"/>
          <w:szCs w:val="24"/>
        </w:rPr>
        <w:t>（四）</w:t>
      </w:r>
      <w:r w:rsidR="00DE203D" w:rsidRPr="004C328E">
        <w:rPr>
          <w:rFonts w:ascii="標楷體" w:hAnsi="標楷體" w:hint="eastAsia"/>
          <w:b/>
          <w:snapToGrid w:val="0"/>
          <w:sz w:val="28"/>
          <w:szCs w:val="24"/>
        </w:rPr>
        <w:t>持續列管督促清理應收未收行政罰鍰，並建置罰鍰系統加強控管罰鍰案件及債權保全資訊，維護政府權益及增裕庫收，惟未繳罰鍰件數仍多且金額逐年增加，罰鍰系統功能亦待優化，允宜督促研謀改善</w:t>
      </w:r>
      <w:r w:rsidRPr="00B27FE0">
        <w:rPr>
          <w:rFonts w:ascii="標楷體" w:hAnsi="標楷體" w:hint="eastAsia"/>
          <w:b/>
          <w:snapToGrid w:val="0"/>
          <w:sz w:val="28"/>
          <w:szCs w:val="24"/>
        </w:rPr>
        <w:t>。</w:t>
      </w:r>
    </w:p>
    <w:p w14:paraId="5C826BA9" w14:textId="77F097A2" w:rsidR="00CD1126" w:rsidRPr="004F3604" w:rsidRDefault="00DE203D" w:rsidP="006C02FD">
      <w:pPr>
        <w:overflowPunct w:val="0"/>
        <w:spacing w:line="512" w:lineRule="exact"/>
        <w:ind w:firstLineChars="200" w:firstLine="480"/>
        <w:jc w:val="both"/>
        <w:rPr>
          <w:rFonts w:ascii="標楷體" w:hAnsi="標楷體"/>
          <w:sz w:val="24"/>
          <w:szCs w:val="24"/>
          <w:lang w:eastAsia="zh-HK"/>
        </w:rPr>
      </w:pPr>
      <w:r w:rsidRPr="004C328E">
        <w:rPr>
          <w:rFonts w:ascii="標楷體" w:hAnsi="標楷體" w:hint="eastAsia"/>
          <w:sz w:val="24"/>
          <w:szCs w:val="24"/>
          <w:lang w:eastAsia="zh-HK"/>
        </w:rPr>
        <w:lastRenderedPageBreak/>
        <w:t>財政局為強化行政罰鍰相關管理作業，於96年建置罰鍰系統（100年11月啟用），供</w:t>
      </w:r>
      <w:r>
        <w:rPr>
          <w:rFonts w:ascii="標楷體" w:hAnsi="標楷體" w:hint="eastAsia"/>
          <w:sz w:val="24"/>
          <w:szCs w:val="24"/>
          <w:lang w:eastAsia="zh-HK"/>
        </w:rPr>
        <w:t>市政</w:t>
      </w:r>
      <w:r w:rsidRPr="004C328E">
        <w:rPr>
          <w:rFonts w:ascii="標楷體" w:hAnsi="標楷體" w:hint="eastAsia"/>
          <w:sz w:val="24"/>
          <w:szCs w:val="24"/>
          <w:lang w:eastAsia="zh-HK"/>
        </w:rPr>
        <w:t>府所屬機關登錄罰鍰案件之處分書、繳款、催繳、移送行政執行、財產清查、行政救濟、債權憑證等資訊，俾利機關控管案件進度，並依限移送行政執行，落實債權保全。</w:t>
      </w:r>
      <w:r w:rsidRPr="00240F7C">
        <w:rPr>
          <w:rFonts w:ascii="標楷體" w:hAnsi="標楷體" w:hint="eastAsia"/>
          <w:sz w:val="24"/>
          <w:szCs w:val="24"/>
          <w:lang w:eastAsia="zh-HK"/>
        </w:rPr>
        <w:t>經查</w:t>
      </w:r>
      <w:r>
        <w:rPr>
          <w:rFonts w:ascii="標楷體" w:hAnsi="標楷體" w:hint="eastAsia"/>
          <w:sz w:val="24"/>
          <w:szCs w:val="24"/>
          <w:lang w:eastAsia="zh-HK"/>
        </w:rPr>
        <w:t>罰鍰收繳</w:t>
      </w:r>
      <w:r w:rsidRPr="00240F7C">
        <w:rPr>
          <w:rFonts w:ascii="標楷體" w:hAnsi="標楷體" w:hint="eastAsia"/>
          <w:sz w:val="24"/>
          <w:szCs w:val="24"/>
          <w:lang w:eastAsia="zh-HK"/>
        </w:rPr>
        <w:t>管理情形，核有：1.</w:t>
      </w:r>
      <w:r w:rsidR="00901852">
        <w:rPr>
          <w:rFonts w:ascii="標楷體" w:hAnsi="標楷體" w:hint="eastAsia"/>
          <w:sz w:val="24"/>
          <w:szCs w:val="24"/>
          <w:lang w:eastAsia="zh-HK"/>
        </w:rPr>
        <w:t>各機關</w:t>
      </w:r>
      <w:r w:rsidRPr="004C328E">
        <w:rPr>
          <w:rFonts w:ascii="標楷體" w:hAnsi="標楷體" w:hint="eastAsia"/>
          <w:sz w:val="24"/>
          <w:szCs w:val="24"/>
          <w:lang w:eastAsia="zh-HK"/>
        </w:rPr>
        <w:t>尚待收繳之罰鍰</w:t>
      </w:r>
      <w:r w:rsidR="00901852">
        <w:rPr>
          <w:rFonts w:ascii="標楷體" w:hAnsi="標楷體" w:hint="eastAsia"/>
          <w:sz w:val="24"/>
          <w:szCs w:val="24"/>
          <w:lang w:eastAsia="zh-HK"/>
        </w:rPr>
        <w:t>總</w:t>
      </w:r>
      <w:r w:rsidRPr="004C328E">
        <w:rPr>
          <w:rFonts w:ascii="標楷體" w:hAnsi="標楷體" w:hint="eastAsia"/>
          <w:sz w:val="24"/>
          <w:szCs w:val="24"/>
          <w:lang w:eastAsia="zh-HK"/>
        </w:rPr>
        <w:t>件數仍多且金額逐年增加，部分機關清理成效欠彰，又部分案件將屆法定執行期限，</w:t>
      </w:r>
      <w:r w:rsidR="00A56B81">
        <w:rPr>
          <w:rFonts w:ascii="標楷體" w:hAnsi="標楷體" w:hint="eastAsia"/>
          <w:sz w:val="24"/>
          <w:szCs w:val="24"/>
          <w:lang w:eastAsia="zh-HK"/>
        </w:rPr>
        <w:t>影響政府權益</w:t>
      </w:r>
      <w:r>
        <w:rPr>
          <w:rFonts w:ascii="標楷體" w:hAnsi="標楷體" w:hint="eastAsia"/>
          <w:sz w:val="24"/>
          <w:szCs w:val="24"/>
        </w:rPr>
        <w:t>；2</w:t>
      </w:r>
      <w:r>
        <w:rPr>
          <w:rFonts w:ascii="標楷體" w:hAnsi="標楷體"/>
          <w:sz w:val="24"/>
          <w:szCs w:val="24"/>
        </w:rPr>
        <w:t>.</w:t>
      </w:r>
      <w:r w:rsidRPr="004C328E">
        <w:rPr>
          <w:rFonts w:ascii="標楷體" w:hAnsi="標楷體" w:hint="eastAsia"/>
          <w:sz w:val="24"/>
          <w:szCs w:val="24"/>
        </w:rPr>
        <w:t>建置罰鍰系統強化罰鍰案件及債權保全資訊控管，惟部分機關單位填報裁處罰鍰資料未臻覈實，另有使用EXCEL軟體自行管理債權憑證</w:t>
      </w:r>
      <w:r w:rsidR="00901852">
        <w:rPr>
          <w:rFonts w:ascii="標楷體" w:hAnsi="標楷體" w:hint="eastAsia"/>
          <w:sz w:val="24"/>
          <w:szCs w:val="24"/>
        </w:rPr>
        <w:t>者</w:t>
      </w:r>
      <w:r w:rsidRPr="004C328E">
        <w:rPr>
          <w:rFonts w:ascii="標楷體" w:hAnsi="標楷體" w:hint="eastAsia"/>
          <w:sz w:val="24"/>
          <w:szCs w:val="24"/>
        </w:rPr>
        <w:t>，罰鍰系統功能</w:t>
      </w:r>
      <w:r w:rsidR="00A56B81">
        <w:rPr>
          <w:rFonts w:ascii="標楷體" w:hAnsi="標楷體" w:hint="eastAsia"/>
          <w:sz w:val="24"/>
          <w:szCs w:val="24"/>
        </w:rPr>
        <w:t>尚待優化</w:t>
      </w:r>
      <w:r w:rsidR="00E537FA">
        <w:rPr>
          <w:rFonts w:ascii="標楷體" w:hAnsi="標楷體" w:hint="eastAsia"/>
          <w:sz w:val="24"/>
          <w:szCs w:val="24"/>
        </w:rPr>
        <w:t>等情事</w:t>
      </w:r>
      <w:r w:rsidRPr="00240F7C">
        <w:rPr>
          <w:rFonts w:ascii="標楷體" w:hAnsi="標楷體" w:hint="eastAsia"/>
          <w:sz w:val="24"/>
          <w:szCs w:val="24"/>
          <w:lang w:eastAsia="zh-HK"/>
        </w:rPr>
        <w:t>，經函請研謀</w:t>
      </w:r>
      <w:r w:rsidRPr="00240F7C">
        <w:rPr>
          <w:rFonts w:ascii="標楷體" w:hAnsi="標楷體" w:hint="eastAsia"/>
          <w:sz w:val="24"/>
          <w:szCs w:val="24"/>
        </w:rPr>
        <w:t>妥處</w:t>
      </w:r>
      <w:r w:rsidRPr="0074376B">
        <w:rPr>
          <w:rFonts w:ascii="標楷體" w:hAnsi="標楷體"/>
          <w:sz w:val="24"/>
          <w:szCs w:val="24"/>
        </w:rPr>
        <w:t>。</w:t>
      </w:r>
      <w:r w:rsidRPr="00DE5AF1">
        <w:rPr>
          <w:rFonts w:ascii="標楷體" w:hAnsi="標楷體" w:hint="eastAsia"/>
          <w:sz w:val="24"/>
          <w:szCs w:val="24"/>
        </w:rPr>
        <w:t>據復：</w:t>
      </w:r>
      <w:r w:rsidR="008F2AF2" w:rsidRPr="00DE5AF1">
        <w:rPr>
          <w:rFonts w:ascii="標楷體" w:hAnsi="標楷體" w:hint="eastAsia"/>
          <w:sz w:val="24"/>
          <w:szCs w:val="24"/>
        </w:rPr>
        <w:t>1</w:t>
      </w:r>
      <w:r w:rsidR="008F2AF2" w:rsidRPr="00DE5AF1">
        <w:rPr>
          <w:rFonts w:ascii="標楷體" w:hAnsi="標楷體"/>
          <w:sz w:val="24"/>
          <w:szCs w:val="24"/>
        </w:rPr>
        <w:t>.</w:t>
      </w:r>
      <w:r w:rsidR="00DE5AF1" w:rsidRPr="00DE5AF1">
        <w:rPr>
          <w:rFonts w:ascii="標楷體" w:hAnsi="標楷體" w:hint="eastAsia"/>
          <w:sz w:val="24"/>
          <w:szCs w:val="24"/>
        </w:rPr>
        <w:t>已請各機關於取得債權憑證後，每年定期查調義務人財產及所得基本資料</w:t>
      </w:r>
      <w:r w:rsidR="00F078EE">
        <w:rPr>
          <w:rFonts w:ascii="標楷體" w:hAnsi="標楷體" w:hint="eastAsia"/>
          <w:sz w:val="24"/>
          <w:szCs w:val="24"/>
        </w:rPr>
        <w:t>並</w:t>
      </w:r>
      <w:r w:rsidR="00DE5AF1" w:rsidRPr="00DE5AF1">
        <w:rPr>
          <w:rFonts w:ascii="標楷體" w:hAnsi="標楷體" w:hint="eastAsia"/>
          <w:sz w:val="24"/>
          <w:szCs w:val="24"/>
        </w:rPr>
        <w:t>依規定移送行政執行</w:t>
      </w:r>
      <w:r w:rsidR="00F078EE">
        <w:rPr>
          <w:rFonts w:ascii="標楷體" w:hAnsi="標楷體" w:hint="eastAsia"/>
          <w:sz w:val="24"/>
          <w:szCs w:val="24"/>
        </w:rPr>
        <w:t>，另</w:t>
      </w:r>
      <w:r w:rsidR="00DE5AF1" w:rsidRPr="00DE5AF1">
        <w:rPr>
          <w:rFonts w:ascii="標楷體" w:hAnsi="標楷體" w:hint="eastAsia"/>
          <w:sz w:val="24"/>
          <w:szCs w:val="24"/>
        </w:rPr>
        <w:t>定期辦理行政執行專業知識講習及罰鍰系統電腦課程，增進承辦人員知能</w:t>
      </w:r>
      <w:r w:rsidR="00F078EE">
        <w:rPr>
          <w:rFonts w:ascii="標楷體" w:hAnsi="標楷體" w:hint="eastAsia"/>
          <w:sz w:val="24"/>
          <w:szCs w:val="24"/>
        </w:rPr>
        <w:t>，暨</w:t>
      </w:r>
      <w:r w:rsidR="00DE5AF1" w:rsidRPr="00DE5AF1">
        <w:rPr>
          <w:rFonts w:ascii="標楷體" w:hAnsi="標楷體" w:hint="eastAsia"/>
          <w:sz w:val="24"/>
          <w:szCs w:val="24"/>
        </w:rPr>
        <w:t>每年就以前年度未繳納案件訂定年度清理計畫，積極研謀提升罰鍰收繳率之具體作為</w:t>
      </w:r>
      <w:r w:rsidR="00F078EE">
        <w:rPr>
          <w:rFonts w:ascii="標楷體" w:hAnsi="標楷體" w:hint="eastAsia"/>
          <w:sz w:val="24"/>
          <w:szCs w:val="24"/>
        </w:rPr>
        <w:t>；</w:t>
      </w:r>
      <w:r w:rsidR="00DE5AF1">
        <w:rPr>
          <w:rFonts w:ascii="標楷體" w:hAnsi="標楷體" w:hint="eastAsia"/>
          <w:sz w:val="24"/>
          <w:szCs w:val="24"/>
        </w:rPr>
        <w:t>2</w:t>
      </w:r>
      <w:r w:rsidR="00DE5AF1">
        <w:rPr>
          <w:rFonts w:ascii="標楷體" w:hAnsi="標楷體"/>
          <w:sz w:val="24"/>
          <w:szCs w:val="24"/>
        </w:rPr>
        <w:t>.</w:t>
      </w:r>
      <w:r w:rsidR="00DE5AF1" w:rsidRPr="00DE5AF1">
        <w:rPr>
          <w:rFonts w:ascii="標楷體" w:hAnsi="標楷體" w:hint="eastAsia"/>
          <w:sz w:val="24"/>
          <w:szCs w:val="24"/>
        </w:rPr>
        <w:t>部分機關</w:t>
      </w:r>
      <w:r w:rsidR="00792C36">
        <w:rPr>
          <w:rFonts w:ascii="標楷體" w:hAnsi="標楷體" w:hint="eastAsia"/>
          <w:sz w:val="24"/>
          <w:szCs w:val="24"/>
        </w:rPr>
        <w:t>因</w:t>
      </w:r>
      <w:r w:rsidR="00792C36" w:rsidRPr="00DE5AF1">
        <w:rPr>
          <w:rFonts w:ascii="標楷體" w:hAnsi="標楷體" w:hint="eastAsia"/>
          <w:sz w:val="24"/>
          <w:szCs w:val="24"/>
        </w:rPr>
        <w:t>誤解查調範圍</w:t>
      </w:r>
      <w:r w:rsidR="00792C36">
        <w:rPr>
          <w:rFonts w:ascii="標楷體" w:hAnsi="標楷體" w:hint="eastAsia"/>
          <w:sz w:val="24"/>
          <w:szCs w:val="24"/>
        </w:rPr>
        <w:t>或</w:t>
      </w:r>
      <w:r w:rsidR="00792C36" w:rsidRPr="00DE5AF1">
        <w:rPr>
          <w:rFonts w:ascii="標楷體" w:hAnsi="標楷體" w:hint="eastAsia"/>
          <w:sz w:val="24"/>
          <w:szCs w:val="24"/>
        </w:rPr>
        <w:t>資料彙整未臻完善</w:t>
      </w:r>
      <w:r w:rsidR="00792C36">
        <w:rPr>
          <w:rFonts w:ascii="標楷體" w:hAnsi="標楷體" w:hint="eastAsia"/>
          <w:sz w:val="24"/>
          <w:szCs w:val="24"/>
        </w:rPr>
        <w:t>，致未填報或誤繕，</w:t>
      </w:r>
      <w:r w:rsidR="00DE5AF1" w:rsidRPr="00DE5AF1">
        <w:rPr>
          <w:rFonts w:ascii="標楷體" w:hAnsi="標楷體" w:hint="eastAsia"/>
          <w:sz w:val="24"/>
          <w:szCs w:val="24"/>
        </w:rPr>
        <w:t>嗣後財政局將詳細說明</w:t>
      </w:r>
      <w:r w:rsidR="00A56B81">
        <w:rPr>
          <w:rFonts w:ascii="標楷體" w:hAnsi="標楷體" w:hint="eastAsia"/>
          <w:sz w:val="24"/>
          <w:szCs w:val="24"/>
        </w:rPr>
        <w:t>及</w:t>
      </w:r>
      <w:r w:rsidR="00DE5AF1" w:rsidRPr="00DE5AF1">
        <w:rPr>
          <w:rFonts w:ascii="標楷體" w:hAnsi="標楷體" w:hint="eastAsia"/>
          <w:sz w:val="24"/>
          <w:szCs w:val="24"/>
        </w:rPr>
        <w:t>督促機關確實填寫</w:t>
      </w:r>
      <w:r w:rsidR="00F078EE">
        <w:rPr>
          <w:rFonts w:ascii="標楷體" w:hAnsi="標楷體" w:hint="eastAsia"/>
          <w:sz w:val="24"/>
          <w:szCs w:val="24"/>
        </w:rPr>
        <w:t>，</w:t>
      </w:r>
      <w:r w:rsidR="00A56B81">
        <w:rPr>
          <w:rFonts w:ascii="標楷體" w:hAnsi="標楷體" w:hint="eastAsia"/>
          <w:sz w:val="24"/>
          <w:szCs w:val="24"/>
        </w:rPr>
        <w:t>並</w:t>
      </w:r>
      <w:r w:rsidR="00F078EE" w:rsidRPr="00792C36">
        <w:rPr>
          <w:rFonts w:ascii="標楷體" w:hAnsi="標楷體" w:hint="eastAsia"/>
          <w:sz w:val="24"/>
          <w:szCs w:val="24"/>
        </w:rPr>
        <w:t>持續增修及優化罰鍰系統</w:t>
      </w:r>
      <w:r w:rsidR="00F078EE">
        <w:rPr>
          <w:rFonts w:ascii="標楷體" w:hAnsi="標楷體" w:hint="eastAsia"/>
          <w:sz w:val="24"/>
          <w:szCs w:val="24"/>
        </w:rPr>
        <w:t>，以</w:t>
      </w:r>
      <w:r w:rsidR="00792C36" w:rsidRPr="00792C36">
        <w:rPr>
          <w:rFonts w:ascii="標楷體" w:hAnsi="標楷體" w:hint="eastAsia"/>
          <w:sz w:val="24"/>
          <w:szCs w:val="24"/>
        </w:rPr>
        <w:t>利機關有效控管行政處分案件及後續未繳納案件移送行政執行作業流程，提升行政效率。</w:t>
      </w:r>
    </w:p>
    <w:p w14:paraId="33212546" w14:textId="0A0F102B" w:rsidR="008620A2" w:rsidRDefault="008620A2" w:rsidP="006C02FD">
      <w:pPr>
        <w:spacing w:beforeLines="15" w:before="54" w:afterLines="15" w:after="54" w:line="540" w:lineRule="exact"/>
        <w:ind w:firstLineChars="200" w:firstLine="561"/>
        <w:jc w:val="both"/>
        <w:rPr>
          <w:rFonts w:ascii="標楷體" w:hAnsi="標楷體"/>
          <w:b/>
          <w:snapToGrid w:val="0"/>
          <w:sz w:val="28"/>
          <w:szCs w:val="24"/>
        </w:rPr>
      </w:pPr>
      <w:r>
        <w:rPr>
          <w:rFonts w:ascii="標楷體" w:hAnsi="標楷體" w:hint="eastAsia"/>
          <w:b/>
          <w:snapToGrid w:val="0"/>
          <w:kern w:val="2"/>
          <w:sz w:val="28"/>
          <w:szCs w:val="24"/>
        </w:rPr>
        <w:t>（五</w:t>
      </w:r>
      <w:r w:rsidRPr="00B77F51">
        <w:rPr>
          <w:rFonts w:ascii="標楷體" w:hAnsi="標楷體" w:hint="eastAsia"/>
          <w:b/>
          <w:snapToGrid w:val="0"/>
          <w:kern w:val="2"/>
          <w:sz w:val="28"/>
          <w:szCs w:val="24"/>
        </w:rPr>
        <w:t>）</w:t>
      </w:r>
      <w:r w:rsidR="005C4104" w:rsidRPr="00337BC2">
        <w:rPr>
          <w:rFonts w:ascii="標楷體" w:hAnsi="標楷體" w:hint="eastAsia"/>
          <w:b/>
          <w:snapToGrid w:val="0"/>
          <w:sz w:val="28"/>
          <w:szCs w:val="24"/>
        </w:rPr>
        <w:t>積極辦理地方稅稽徵業務及欠稅清理作業，以維護租稅公平及增裕庫收，惟賦稅捐費徵課及欠稅清理作業仍未臻周延，亟待持續檢討改善</w:t>
      </w:r>
      <w:r w:rsidRPr="00EF7C25">
        <w:rPr>
          <w:rFonts w:ascii="標楷體" w:hAnsi="標楷體" w:hint="eastAsia"/>
          <w:b/>
          <w:snapToGrid w:val="0"/>
          <w:sz w:val="28"/>
          <w:szCs w:val="24"/>
        </w:rPr>
        <w:t>。</w:t>
      </w:r>
    </w:p>
    <w:p w14:paraId="58462D8E" w14:textId="7E8A6495" w:rsidR="005C4104" w:rsidRDefault="005C4104" w:rsidP="006C02FD">
      <w:pPr>
        <w:spacing w:line="512" w:lineRule="exact"/>
        <w:ind w:firstLineChars="200" w:firstLine="480"/>
        <w:jc w:val="both"/>
        <w:rPr>
          <w:rFonts w:ascii="標楷體" w:hAnsi="標楷體"/>
          <w:sz w:val="24"/>
          <w:szCs w:val="24"/>
          <w:lang w:eastAsia="zh-HK"/>
        </w:rPr>
      </w:pPr>
      <w:r w:rsidRPr="009848DA">
        <w:rPr>
          <w:rFonts w:ascii="標楷體" w:hAnsi="標楷體" w:hint="eastAsia"/>
          <w:sz w:val="24"/>
          <w:szCs w:val="24"/>
          <w:lang w:eastAsia="zh-HK"/>
        </w:rPr>
        <w:t>稅捐稽徵處為</w:t>
      </w:r>
      <w:r>
        <w:rPr>
          <w:rFonts w:ascii="標楷體" w:hAnsi="標楷體" w:hint="eastAsia"/>
          <w:sz w:val="24"/>
          <w:szCs w:val="24"/>
          <w:lang w:eastAsia="zh-HK"/>
        </w:rPr>
        <w:t>健全稅籍、</w:t>
      </w:r>
      <w:r w:rsidRPr="004D5455">
        <w:rPr>
          <w:rFonts w:ascii="標楷體" w:hAnsi="標楷體"/>
          <w:sz w:val="24"/>
          <w:szCs w:val="24"/>
          <w:lang w:eastAsia="zh-HK"/>
        </w:rPr>
        <w:t>維護租稅公平</w:t>
      </w:r>
      <w:r w:rsidRPr="009848DA">
        <w:rPr>
          <w:rFonts w:ascii="標楷體" w:hAnsi="標楷體" w:hint="eastAsia"/>
          <w:sz w:val="24"/>
          <w:szCs w:val="24"/>
          <w:lang w:eastAsia="zh-HK"/>
        </w:rPr>
        <w:t>，</w:t>
      </w:r>
      <w:r w:rsidRPr="00240F7C">
        <w:rPr>
          <w:rFonts w:ascii="標楷體" w:hAnsi="標楷體" w:hint="eastAsia"/>
          <w:noProof/>
          <w:sz w:val="24"/>
          <w:szCs w:val="24"/>
          <w:lang w:eastAsia="zh-HK"/>
        </w:rPr>
        <w:t>加強辦理轄內</w:t>
      </w:r>
      <w:r w:rsidR="00D0466E">
        <w:rPr>
          <w:rFonts w:ascii="標楷體" w:hAnsi="標楷體" w:hint="eastAsia"/>
          <w:noProof/>
          <w:sz w:val="24"/>
          <w:szCs w:val="24"/>
          <w:lang w:eastAsia="zh-HK"/>
        </w:rPr>
        <w:t>地價</w:t>
      </w:r>
      <w:r w:rsidR="00D0466E" w:rsidRPr="00240F7C">
        <w:rPr>
          <w:rFonts w:ascii="標楷體" w:hAnsi="標楷體" w:hint="eastAsia"/>
          <w:noProof/>
          <w:sz w:val="24"/>
          <w:szCs w:val="24"/>
          <w:lang w:eastAsia="zh-HK"/>
        </w:rPr>
        <w:t>稅、</w:t>
      </w:r>
      <w:r w:rsidR="00D0466E">
        <w:rPr>
          <w:rFonts w:ascii="標楷體" w:hAnsi="標楷體" w:hint="eastAsia"/>
          <w:noProof/>
          <w:sz w:val="24"/>
          <w:szCs w:val="24"/>
          <w:lang w:eastAsia="zh-HK"/>
        </w:rPr>
        <w:t>房屋</w:t>
      </w:r>
      <w:r w:rsidR="00D0466E" w:rsidRPr="00240F7C">
        <w:rPr>
          <w:rFonts w:ascii="標楷體" w:hAnsi="標楷體" w:hint="eastAsia"/>
          <w:noProof/>
          <w:sz w:val="24"/>
          <w:szCs w:val="24"/>
          <w:lang w:eastAsia="zh-HK"/>
        </w:rPr>
        <w:t>稅稅籍及使用情形清查</w:t>
      </w:r>
      <w:r w:rsidR="00D0466E">
        <w:rPr>
          <w:rFonts w:ascii="標楷體" w:hAnsi="標楷體" w:hint="eastAsia"/>
          <w:noProof/>
          <w:sz w:val="24"/>
          <w:szCs w:val="24"/>
          <w:lang w:eastAsia="zh-HK"/>
        </w:rPr>
        <w:t>、</w:t>
      </w:r>
      <w:r w:rsidRPr="00240F7C">
        <w:rPr>
          <w:rFonts w:ascii="標楷體" w:hAnsi="標楷體" w:hint="eastAsia"/>
          <w:noProof/>
          <w:sz w:val="24"/>
          <w:szCs w:val="24"/>
          <w:lang w:eastAsia="zh-HK"/>
        </w:rPr>
        <w:t>印花稅應稅憑證檢查作業</w:t>
      </w:r>
      <w:r w:rsidRPr="009848DA">
        <w:rPr>
          <w:rFonts w:ascii="標楷體" w:hAnsi="標楷體" w:hint="eastAsia"/>
          <w:sz w:val="24"/>
          <w:szCs w:val="24"/>
          <w:lang w:eastAsia="zh-HK"/>
        </w:rPr>
        <w:t>；另</w:t>
      </w:r>
      <w:r w:rsidRPr="004D5455">
        <w:rPr>
          <w:rFonts w:ascii="標楷體" w:hAnsi="標楷體"/>
          <w:sz w:val="24"/>
          <w:szCs w:val="24"/>
          <w:lang w:eastAsia="zh-HK"/>
        </w:rPr>
        <w:t>為減少滯欠</w:t>
      </w:r>
      <w:r w:rsidRPr="004D5455">
        <w:rPr>
          <w:rFonts w:ascii="標楷體" w:hAnsi="標楷體" w:hint="eastAsia"/>
          <w:sz w:val="24"/>
          <w:szCs w:val="24"/>
          <w:lang w:eastAsia="zh-HK"/>
        </w:rPr>
        <w:t>，</w:t>
      </w:r>
      <w:r w:rsidRPr="004D5455">
        <w:rPr>
          <w:rFonts w:ascii="標楷體" w:hAnsi="標楷體"/>
          <w:sz w:val="24"/>
          <w:szCs w:val="24"/>
          <w:lang w:eastAsia="zh-HK"/>
        </w:rPr>
        <w:t>增裕庫收，每年訂定欠稅清理作業計畫，以確實執行防止新欠</w:t>
      </w:r>
      <w:r w:rsidR="00D0466E">
        <w:rPr>
          <w:rFonts w:ascii="標楷體" w:hAnsi="標楷體" w:hint="eastAsia"/>
          <w:sz w:val="24"/>
          <w:szCs w:val="24"/>
          <w:lang w:eastAsia="zh-HK"/>
        </w:rPr>
        <w:t>、</w:t>
      </w:r>
      <w:r w:rsidRPr="004D5455">
        <w:rPr>
          <w:rFonts w:ascii="標楷體" w:hAnsi="標楷體"/>
          <w:sz w:val="24"/>
          <w:szCs w:val="24"/>
          <w:lang w:eastAsia="zh-HK"/>
        </w:rPr>
        <w:t>積極清理舊欠</w:t>
      </w:r>
      <w:r w:rsidRPr="009848DA">
        <w:rPr>
          <w:rFonts w:ascii="標楷體" w:hAnsi="標楷體" w:hint="eastAsia"/>
          <w:sz w:val="24"/>
          <w:szCs w:val="24"/>
          <w:lang w:eastAsia="zh-HK"/>
        </w:rPr>
        <w:t>等。經查該處11</w:t>
      </w:r>
      <w:r>
        <w:rPr>
          <w:rFonts w:ascii="標楷體" w:hAnsi="標楷體"/>
          <w:sz w:val="24"/>
          <w:szCs w:val="24"/>
          <w:lang w:eastAsia="zh-HK"/>
        </w:rPr>
        <w:t>3</w:t>
      </w:r>
      <w:r w:rsidRPr="009848DA">
        <w:rPr>
          <w:rFonts w:ascii="標楷體" w:hAnsi="標楷體" w:hint="eastAsia"/>
          <w:sz w:val="24"/>
          <w:szCs w:val="24"/>
          <w:lang w:eastAsia="zh-HK"/>
        </w:rPr>
        <w:t>年度賦稅捐費徵課作業</w:t>
      </w:r>
      <w:r>
        <w:rPr>
          <w:rFonts w:ascii="標楷體" w:hAnsi="標楷體" w:hint="eastAsia"/>
          <w:sz w:val="24"/>
          <w:szCs w:val="24"/>
          <w:lang w:eastAsia="zh-HK"/>
        </w:rPr>
        <w:t>有</w:t>
      </w:r>
      <w:r w:rsidRPr="009848DA">
        <w:rPr>
          <w:rFonts w:ascii="標楷體" w:hAnsi="標楷體" w:hint="eastAsia"/>
          <w:sz w:val="24"/>
          <w:szCs w:val="24"/>
          <w:lang w:eastAsia="zh-HK"/>
        </w:rPr>
        <w:t>未臻嚴謹情事，前經本處函請檢討妥處，據復將詳為清查</w:t>
      </w:r>
      <w:r>
        <w:rPr>
          <w:rFonts w:ascii="標楷體" w:hAnsi="標楷體" w:hint="eastAsia"/>
          <w:sz w:val="24"/>
          <w:szCs w:val="24"/>
          <w:lang w:eastAsia="zh-HK"/>
        </w:rPr>
        <w:t>。</w:t>
      </w:r>
      <w:r w:rsidRPr="009848DA">
        <w:rPr>
          <w:rFonts w:ascii="標楷體" w:hAnsi="標楷體" w:hint="eastAsia"/>
          <w:sz w:val="24"/>
          <w:szCs w:val="24"/>
          <w:lang w:eastAsia="zh-HK"/>
        </w:rPr>
        <w:t>經追蹤11</w:t>
      </w:r>
      <w:r>
        <w:rPr>
          <w:rFonts w:ascii="標楷體" w:hAnsi="標楷體"/>
          <w:sz w:val="24"/>
          <w:szCs w:val="24"/>
          <w:lang w:eastAsia="zh-HK"/>
        </w:rPr>
        <w:t>4</w:t>
      </w:r>
      <w:r w:rsidRPr="009848DA">
        <w:rPr>
          <w:rFonts w:ascii="標楷體" w:hAnsi="標楷體" w:hint="eastAsia"/>
          <w:sz w:val="24"/>
          <w:szCs w:val="24"/>
          <w:lang w:eastAsia="zh-HK"/>
        </w:rPr>
        <w:t>年度辦理情形，仍核有下列事項</w:t>
      </w:r>
      <w:r>
        <w:rPr>
          <w:rFonts w:ascii="標楷體" w:hAnsi="標楷體" w:hint="eastAsia"/>
          <w:sz w:val="24"/>
          <w:szCs w:val="24"/>
          <w:lang w:eastAsia="zh-HK"/>
        </w:rPr>
        <w:t>：</w:t>
      </w:r>
    </w:p>
    <w:p w14:paraId="174E89DD" w14:textId="13AAAB6E" w:rsidR="005C4104" w:rsidRDefault="005C4104" w:rsidP="006C02FD">
      <w:pPr>
        <w:overflowPunct w:val="0"/>
        <w:snapToGrid w:val="0"/>
        <w:spacing w:line="512" w:lineRule="exact"/>
        <w:ind w:firstLineChars="200" w:firstLine="480"/>
        <w:jc w:val="both"/>
        <w:rPr>
          <w:rFonts w:ascii="標楷體" w:hAnsi="標楷體"/>
          <w:sz w:val="24"/>
          <w:szCs w:val="24"/>
          <w:lang w:eastAsia="zh-HK"/>
        </w:rPr>
      </w:pPr>
      <w:r w:rsidRPr="009848DA">
        <w:rPr>
          <w:rFonts w:ascii="標楷體" w:hAnsi="標楷體" w:hint="eastAsia"/>
          <w:b/>
          <w:sz w:val="24"/>
          <w:szCs w:val="24"/>
          <w:lang w:eastAsia="zh-HK"/>
        </w:rPr>
        <w:t>1.賦稅捐費徵課仍有異常情形：</w:t>
      </w:r>
      <w:r w:rsidRPr="009848DA">
        <w:rPr>
          <w:rFonts w:ascii="標楷體" w:hAnsi="標楷體" w:hint="eastAsia"/>
          <w:sz w:val="24"/>
          <w:szCs w:val="24"/>
          <w:lang w:eastAsia="zh-HK"/>
        </w:rPr>
        <w:t>（</w:t>
      </w:r>
      <w:r w:rsidRPr="009848DA">
        <w:rPr>
          <w:rFonts w:ascii="標楷體" w:hAnsi="標楷體" w:hint="eastAsia"/>
          <w:sz w:val="24"/>
          <w:szCs w:val="24"/>
        </w:rPr>
        <w:t>1</w:t>
      </w:r>
      <w:r w:rsidRPr="009848DA">
        <w:rPr>
          <w:rFonts w:ascii="標楷體" w:hAnsi="標楷體" w:hint="eastAsia"/>
          <w:sz w:val="24"/>
          <w:szCs w:val="24"/>
          <w:lang w:eastAsia="zh-HK"/>
        </w:rPr>
        <w:t>）</w:t>
      </w:r>
      <w:bookmarkStart w:id="0" w:name="_Hlk221096151"/>
      <w:r w:rsidRPr="00794C29">
        <w:rPr>
          <w:rFonts w:ascii="標楷體" w:hAnsi="標楷體"/>
          <w:sz w:val="24"/>
          <w:szCs w:val="24"/>
          <w:lang w:eastAsia="zh-HK"/>
        </w:rPr>
        <w:t>轄內部分農業用地變更案件已列報回饋金繳納紀錄，惟</w:t>
      </w:r>
      <w:r w:rsidRPr="00794C29">
        <w:rPr>
          <w:rFonts w:ascii="標楷體" w:hAnsi="標楷體" w:hint="eastAsia"/>
          <w:sz w:val="24"/>
          <w:szCs w:val="24"/>
          <w:lang w:eastAsia="zh-HK"/>
        </w:rPr>
        <w:t>其</w:t>
      </w:r>
      <w:r w:rsidRPr="00794C29">
        <w:rPr>
          <w:rFonts w:ascii="標楷體" w:hAnsi="標楷體"/>
          <w:sz w:val="24"/>
          <w:szCs w:val="24"/>
          <w:lang w:eastAsia="zh-HK"/>
        </w:rPr>
        <w:t>地價稅籍仍</w:t>
      </w:r>
      <w:r w:rsidRPr="00794C29">
        <w:rPr>
          <w:rFonts w:ascii="標楷體" w:hAnsi="標楷體" w:hint="eastAsia"/>
          <w:sz w:val="24"/>
          <w:szCs w:val="24"/>
          <w:lang w:eastAsia="zh-HK"/>
        </w:rPr>
        <w:t>有</w:t>
      </w:r>
      <w:r w:rsidRPr="00794C29">
        <w:rPr>
          <w:rFonts w:ascii="標楷體" w:hAnsi="標楷體"/>
          <w:sz w:val="24"/>
          <w:szCs w:val="24"/>
          <w:lang w:eastAsia="zh-HK"/>
        </w:rPr>
        <w:t>按田賦核課</w:t>
      </w:r>
      <w:bookmarkEnd w:id="0"/>
      <w:r w:rsidRPr="009848DA">
        <w:rPr>
          <w:rFonts w:ascii="標楷體" w:hAnsi="標楷體" w:hint="eastAsia"/>
          <w:sz w:val="24"/>
          <w:szCs w:val="24"/>
          <w:lang w:eastAsia="zh-HK"/>
        </w:rPr>
        <w:t>；（2）</w:t>
      </w:r>
      <w:bookmarkStart w:id="1" w:name="_Hlk221096169"/>
      <w:r w:rsidRPr="00794C29">
        <w:rPr>
          <w:rFonts w:ascii="標楷體" w:hAnsi="標楷體"/>
          <w:sz w:val="24"/>
          <w:szCs w:val="24"/>
          <w:lang w:eastAsia="zh-HK"/>
        </w:rPr>
        <w:t>轄內部分課徵田賦之土地，</w:t>
      </w:r>
      <w:r w:rsidRPr="00794C29">
        <w:rPr>
          <w:rFonts w:ascii="標楷體" w:hAnsi="標楷體" w:hint="eastAsia"/>
          <w:sz w:val="24"/>
          <w:szCs w:val="24"/>
          <w:lang w:eastAsia="zh-HK"/>
        </w:rPr>
        <w:t>疑似</w:t>
      </w:r>
      <w:r w:rsidRPr="00794C29">
        <w:rPr>
          <w:rFonts w:ascii="標楷體" w:hAnsi="標楷體"/>
          <w:sz w:val="24"/>
          <w:szCs w:val="24"/>
          <w:lang w:eastAsia="zh-HK"/>
        </w:rPr>
        <w:t>供作商業</w:t>
      </w:r>
      <w:r w:rsidRPr="00794C29">
        <w:rPr>
          <w:rFonts w:ascii="標楷體" w:hAnsi="標楷體" w:hint="eastAsia"/>
          <w:sz w:val="24"/>
          <w:szCs w:val="24"/>
          <w:lang w:eastAsia="zh-HK"/>
        </w:rPr>
        <w:t>、</w:t>
      </w:r>
      <w:r w:rsidRPr="00794C29">
        <w:rPr>
          <w:rFonts w:ascii="標楷體" w:hAnsi="標楷體"/>
          <w:sz w:val="24"/>
          <w:szCs w:val="24"/>
          <w:lang w:eastAsia="zh-HK"/>
        </w:rPr>
        <w:t>製造業</w:t>
      </w:r>
      <w:r w:rsidRPr="00794C29">
        <w:rPr>
          <w:rFonts w:ascii="標楷體" w:hAnsi="標楷體" w:hint="eastAsia"/>
          <w:sz w:val="24"/>
          <w:szCs w:val="24"/>
          <w:lang w:eastAsia="zh-HK"/>
        </w:rPr>
        <w:t>等建築用地</w:t>
      </w:r>
      <w:r w:rsidRPr="00794C29">
        <w:rPr>
          <w:rFonts w:ascii="標楷體" w:hAnsi="標楷體"/>
          <w:sz w:val="24"/>
          <w:szCs w:val="24"/>
          <w:lang w:eastAsia="zh-HK"/>
        </w:rPr>
        <w:t>使用</w:t>
      </w:r>
      <w:bookmarkEnd w:id="1"/>
      <w:r w:rsidRPr="009848DA">
        <w:rPr>
          <w:rFonts w:ascii="標楷體" w:hAnsi="標楷體" w:hint="eastAsia"/>
          <w:sz w:val="24"/>
          <w:szCs w:val="24"/>
          <w:lang w:eastAsia="zh-HK"/>
        </w:rPr>
        <w:t>；</w:t>
      </w:r>
      <w:r>
        <w:rPr>
          <w:rFonts w:ascii="標楷體" w:hAnsi="標楷體" w:hint="eastAsia"/>
          <w:sz w:val="24"/>
          <w:szCs w:val="24"/>
          <w:lang w:eastAsia="zh-HK"/>
        </w:rPr>
        <w:t>（</w:t>
      </w:r>
      <w:r w:rsidRPr="009848DA">
        <w:rPr>
          <w:rFonts w:ascii="標楷體" w:hAnsi="標楷體" w:hint="eastAsia"/>
          <w:sz w:val="24"/>
          <w:szCs w:val="24"/>
          <w:lang w:eastAsia="zh-HK"/>
        </w:rPr>
        <w:t>3</w:t>
      </w:r>
      <w:r>
        <w:rPr>
          <w:rFonts w:ascii="標楷體" w:hAnsi="標楷體" w:hint="eastAsia"/>
          <w:sz w:val="24"/>
          <w:szCs w:val="24"/>
          <w:lang w:eastAsia="zh-HK"/>
        </w:rPr>
        <w:t>）</w:t>
      </w:r>
      <w:r w:rsidR="00DB7229">
        <w:rPr>
          <w:rFonts w:ascii="標楷體" w:hAnsi="標楷體" w:hint="eastAsia"/>
          <w:sz w:val="24"/>
          <w:szCs w:val="24"/>
          <w:lang w:eastAsia="zh-HK"/>
        </w:rPr>
        <w:t>據</w:t>
      </w:r>
      <w:r w:rsidRPr="00794C29">
        <w:rPr>
          <w:rFonts w:ascii="標楷體" w:hAnsi="標楷體" w:hint="eastAsia"/>
          <w:sz w:val="24"/>
          <w:szCs w:val="24"/>
          <w:lang w:eastAsia="zh-HK"/>
        </w:rPr>
        <w:t>轄內部分</w:t>
      </w:r>
      <w:r w:rsidR="00DB7229" w:rsidRPr="00794C29">
        <w:rPr>
          <w:rFonts w:ascii="標楷體" w:hAnsi="標楷體" w:hint="eastAsia"/>
          <w:sz w:val="24"/>
          <w:szCs w:val="24"/>
          <w:lang w:eastAsia="zh-HK"/>
        </w:rPr>
        <w:t>業者</w:t>
      </w:r>
      <w:r w:rsidRPr="00794C29">
        <w:rPr>
          <w:rFonts w:ascii="標楷體" w:hAnsi="標楷體" w:hint="eastAsia"/>
          <w:sz w:val="24"/>
          <w:szCs w:val="24"/>
          <w:lang w:eastAsia="zh-HK"/>
        </w:rPr>
        <w:t>申報消防安全檢查</w:t>
      </w:r>
      <w:r w:rsidR="00DB7229">
        <w:rPr>
          <w:rFonts w:ascii="標楷體" w:hAnsi="標楷體" w:hint="eastAsia"/>
          <w:sz w:val="24"/>
          <w:szCs w:val="24"/>
          <w:lang w:eastAsia="zh-HK"/>
        </w:rPr>
        <w:t>資料</w:t>
      </w:r>
      <w:r w:rsidRPr="00794C29">
        <w:rPr>
          <w:rFonts w:ascii="標楷體" w:hAnsi="標楷體" w:hint="eastAsia"/>
          <w:sz w:val="24"/>
          <w:szCs w:val="24"/>
          <w:lang w:eastAsia="zh-HK"/>
        </w:rPr>
        <w:t>，其建物疑似供營業使用，卻未依規定課徵房屋稅，或核定供營業使用面積與業者實際使用面積不一致等</w:t>
      </w:r>
      <w:r w:rsidRPr="009848DA">
        <w:rPr>
          <w:rFonts w:ascii="標楷體" w:hAnsi="標楷體" w:hint="eastAsia"/>
          <w:sz w:val="24"/>
          <w:szCs w:val="24"/>
          <w:lang w:eastAsia="zh-HK"/>
        </w:rPr>
        <w:t>；（</w:t>
      </w:r>
      <w:r w:rsidRPr="009848DA">
        <w:rPr>
          <w:rFonts w:ascii="標楷體" w:hAnsi="標楷體" w:hint="eastAsia"/>
          <w:sz w:val="24"/>
          <w:szCs w:val="24"/>
        </w:rPr>
        <w:t>4</w:t>
      </w:r>
      <w:r w:rsidRPr="009848DA">
        <w:rPr>
          <w:rFonts w:ascii="標楷體" w:hAnsi="標楷體" w:hint="eastAsia"/>
          <w:sz w:val="24"/>
          <w:szCs w:val="24"/>
          <w:lang w:eastAsia="zh-HK"/>
        </w:rPr>
        <w:t>）</w:t>
      </w:r>
      <w:r w:rsidRPr="00794C29">
        <w:rPr>
          <w:rFonts w:ascii="標楷體" w:hAnsi="標楷體" w:hint="eastAsia"/>
          <w:sz w:val="24"/>
          <w:szCs w:val="24"/>
          <w:lang w:eastAsia="zh-HK"/>
        </w:rPr>
        <w:t>轄內部分營建工程業者申報年營業額1千萬元以上，惟疑未有大額繳納印花稅</w:t>
      </w:r>
      <w:r w:rsidRPr="009848DA">
        <w:rPr>
          <w:rFonts w:ascii="標楷體" w:hAnsi="標楷體" w:hint="eastAsia"/>
          <w:sz w:val="24"/>
          <w:szCs w:val="24"/>
          <w:lang w:eastAsia="zh-HK"/>
        </w:rPr>
        <w:t>等情事，經函請檢討妥處。據復：經檢討並詳為清查及釐正稅籍，截至11</w:t>
      </w:r>
      <w:r w:rsidR="0000425F">
        <w:rPr>
          <w:rFonts w:ascii="標楷體" w:hAnsi="標楷體" w:hint="eastAsia"/>
          <w:sz w:val="24"/>
          <w:szCs w:val="24"/>
        </w:rPr>
        <w:t>5</w:t>
      </w:r>
      <w:r w:rsidRPr="009848DA">
        <w:rPr>
          <w:rFonts w:ascii="標楷體" w:hAnsi="標楷體" w:hint="eastAsia"/>
          <w:sz w:val="24"/>
          <w:szCs w:val="24"/>
          <w:lang w:eastAsia="zh-HK"/>
        </w:rPr>
        <w:t>年5月底止已清查補徵地價稅</w:t>
      </w:r>
      <w:r>
        <w:rPr>
          <w:rFonts w:ascii="標楷體" w:hAnsi="標楷體" w:hint="eastAsia"/>
          <w:sz w:val="24"/>
          <w:szCs w:val="24"/>
        </w:rPr>
        <w:t>、</w:t>
      </w:r>
      <w:r w:rsidRPr="009848DA">
        <w:rPr>
          <w:rFonts w:ascii="標楷體" w:hAnsi="標楷體" w:hint="eastAsia"/>
          <w:sz w:val="24"/>
          <w:szCs w:val="24"/>
          <w:lang w:eastAsia="zh-HK"/>
        </w:rPr>
        <w:t>房屋稅</w:t>
      </w:r>
      <w:r>
        <w:rPr>
          <w:rFonts w:ascii="標楷體" w:hAnsi="標楷體" w:hint="eastAsia"/>
          <w:sz w:val="24"/>
          <w:szCs w:val="24"/>
          <w:lang w:eastAsia="zh-HK"/>
        </w:rPr>
        <w:t>及印花稅合</w:t>
      </w:r>
      <w:r w:rsidRPr="009848DA">
        <w:rPr>
          <w:rFonts w:ascii="標楷體" w:hAnsi="標楷體" w:hint="eastAsia"/>
          <w:sz w:val="24"/>
          <w:szCs w:val="24"/>
          <w:lang w:eastAsia="zh-HK"/>
        </w:rPr>
        <w:t>計</w:t>
      </w:r>
      <w:r w:rsidRPr="009848DA">
        <w:rPr>
          <w:rFonts w:ascii="標楷體" w:hAnsi="標楷體" w:hint="eastAsia"/>
          <w:sz w:val="24"/>
          <w:szCs w:val="24"/>
        </w:rPr>
        <w:t>1</w:t>
      </w:r>
      <w:r>
        <w:rPr>
          <w:rFonts w:ascii="標楷體" w:hAnsi="標楷體"/>
          <w:sz w:val="24"/>
          <w:szCs w:val="24"/>
        </w:rPr>
        <w:t>4</w:t>
      </w:r>
      <w:r w:rsidRPr="009848DA">
        <w:rPr>
          <w:rFonts w:ascii="標楷體" w:hAnsi="標楷體" w:hint="eastAsia"/>
          <w:sz w:val="24"/>
          <w:szCs w:val="24"/>
        </w:rPr>
        <w:t>7</w:t>
      </w:r>
      <w:r w:rsidRPr="009848DA">
        <w:rPr>
          <w:rFonts w:ascii="標楷體" w:hAnsi="標楷體" w:hint="eastAsia"/>
          <w:sz w:val="24"/>
          <w:szCs w:val="24"/>
          <w:lang w:eastAsia="zh-HK"/>
        </w:rPr>
        <w:t>筆，金額</w:t>
      </w:r>
      <w:r>
        <w:rPr>
          <w:rFonts w:ascii="標楷體" w:hAnsi="標楷體" w:hint="eastAsia"/>
          <w:sz w:val="24"/>
          <w:szCs w:val="24"/>
        </w:rPr>
        <w:t>1</w:t>
      </w:r>
      <w:r>
        <w:rPr>
          <w:rFonts w:ascii="標楷體" w:hAnsi="標楷體"/>
          <w:sz w:val="24"/>
          <w:szCs w:val="24"/>
        </w:rPr>
        <w:t>,013</w:t>
      </w:r>
      <w:r w:rsidRPr="009848DA">
        <w:rPr>
          <w:rFonts w:ascii="標楷體" w:hAnsi="標楷體" w:hint="eastAsia"/>
          <w:sz w:val="24"/>
          <w:szCs w:val="24"/>
          <w:lang w:eastAsia="zh-HK"/>
        </w:rPr>
        <w:t>萬餘元，</w:t>
      </w:r>
      <w:r w:rsidRPr="00240F7C">
        <w:rPr>
          <w:rFonts w:ascii="標楷體" w:hAnsi="標楷體" w:hint="eastAsia"/>
          <w:noProof/>
          <w:sz w:val="24"/>
          <w:szCs w:val="24"/>
          <w:lang w:eastAsia="zh-HK"/>
        </w:rPr>
        <w:t>將持續清查並依法妥處</w:t>
      </w:r>
      <w:r w:rsidRPr="009848DA">
        <w:rPr>
          <w:rFonts w:ascii="標楷體" w:hAnsi="標楷體" w:hint="eastAsia"/>
          <w:sz w:val="24"/>
          <w:szCs w:val="24"/>
          <w:lang w:eastAsia="zh-HK"/>
        </w:rPr>
        <w:t>。</w:t>
      </w:r>
    </w:p>
    <w:p w14:paraId="199FC38D" w14:textId="0E1B78CF" w:rsidR="008620A2" w:rsidRDefault="005C4104" w:rsidP="003842DE">
      <w:pPr>
        <w:overflowPunct w:val="0"/>
        <w:spacing w:line="520" w:lineRule="exact"/>
        <w:ind w:firstLineChars="200" w:firstLine="480"/>
        <w:jc w:val="both"/>
        <w:rPr>
          <w:rFonts w:ascii="標楷體" w:hAnsi="標楷體"/>
          <w:noProof/>
          <w:spacing w:val="6"/>
          <w:sz w:val="24"/>
          <w:szCs w:val="24"/>
          <w:lang w:eastAsia="zh-HK"/>
        </w:rPr>
      </w:pPr>
      <w:r w:rsidRPr="009848DA">
        <w:rPr>
          <w:rFonts w:ascii="標楷體" w:hAnsi="標楷體" w:hint="eastAsia"/>
          <w:b/>
          <w:sz w:val="24"/>
          <w:szCs w:val="24"/>
          <w:lang w:eastAsia="zh-HK"/>
        </w:rPr>
        <w:lastRenderedPageBreak/>
        <w:t>2.欠稅清理作業未臻周延：</w:t>
      </w:r>
      <w:r w:rsidRPr="008C3FF8">
        <w:rPr>
          <w:rFonts w:ascii="標楷體" w:hAnsi="標楷體"/>
          <w:sz w:val="24"/>
          <w:szCs w:val="24"/>
          <w:lang w:eastAsia="zh-HK"/>
        </w:rPr>
        <w:t>114年度截至</w:t>
      </w:r>
      <w:r w:rsidRPr="008C3FF8">
        <w:rPr>
          <w:rFonts w:ascii="標楷體" w:hAnsi="標楷體" w:hint="eastAsia"/>
          <w:sz w:val="24"/>
          <w:szCs w:val="24"/>
          <w:lang w:eastAsia="zh-HK"/>
        </w:rPr>
        <w:t>1</w:t>
      </w:r>
      <w:r w:rsidRPr="008C3FF8">
        <w:rPr>
          <w:rFonts w:ascii="標楷體" w:hAnsi="標楷體"/>
          <w:sz w:val="24"/>
          <w:szCs w:val="24"/>
          <w:lang w:eastAsia="zh-HK"/>
        </w:rPr>
        <w:t>0月底止</w:t>
      </w:r>
      <w:r w:rsidR="001C3009">
        <w:rPr>
          <w:rFonts w:ascii="標楷體" w:hAnsi="標楷體" w:hint="eastAsia"/>
          <w:sz w:val="24"/>
          <w:szCs w:val="24"/>
          <w:lang w:eastAsia="zh-HK"/>
        </w:rPr>
        <w:t>，</w:t>
      </w:r>
      <w:r w:rsidRPr="008C3FF8">
        <w:rPr>
          <w:rFonts w:ascii="標楷體" w:hAnsi="標楷體"/>
          <w:sz w:val="24"/>
          <w:szCs w:val="24"/>
          <w:lang w:eastAsia="zh-HK"/>
        </w:rPr>
        <w:t>欠稅</w:t>
      </w:r>
      <w:r w:rsidR="008E4F27">
        <w:rPr>
          <w:rFonts w:ascii="標楷體" w:hAnsi="標楷體" w:hint="eastAsia"/>
          <w:sz w:val="24"/>
          <w:szCs w:val="24"/>
          <w:lang w:eastAsia="zh-HK"/>
        </w:rPr>
        <w:t>未徵數</w:t>
      </w:r>
      <w:r w:rsidRPr="008C3FF8">
        <w:rPr>
          <w:rFonts w:ascii="標楷體" w:hAnsi="標楷體" w:hint="eastAsia"/>
          <w:sz w:val="24"/>
          <w:szCs w:val="24"/>
          <w:lang w:eastAsia="zh-HK"/>
        </w:rPr>
        <w:t>計4</w:t>
      </w:r>
      <w:r w:rsidRPr="008C3FF8">
        <w:rPr>
          <w:rFonts w:ascii="標楷體" w:hAnsi="標楷體"/>
          <w:sz w:val="24"/>
          <w:szCs w:val="24"/>
          <w:lang w:eastAsia="zh-HK"/>
        </w:rPr>
        <w:t>1</w:t>
      </w:r>
      <w:r w:rsidRPr="008C3FF8">
        <w:rPr>
          <w:rFonts w:ascii="標楷體" w:hAnsi="標楷體" w:hint="eastAsia"/>
          <w:sz w:val="24"/>
          <w:szCs w:val="24"/>
          <w:lang w:eastAsia="zh-HK"/>
        </w:rPr>
        <w:t>萬3</w:t>
      </w:r>
      <w:r w:rsidRPr="008C3FF8">
        <w:rPr>
          <w:rFonts w:ascii="標楷體" w:hAnsi="標楷體"/>
          <w:sz w:val="24"/>
          <w:szCs w:val="24"/>
          <w:lang w:eastAsia="zh-HK"/>
        </w:rPr>
        <w:t>,230</w:t>
      </w:r>
      <w:r w:rsidRPr="008C3FF8">
        <w:rPr>
          <w:rFonts w:ascii="標楷體" w:hAnsi="標楷體" w:hint="eastAsia"/>
          <w:sz w:val="24"/>
          <w:szCs w:val="24"/>
          <w:lang w:eastAsia="zh-HK"/>
        </w:rPr>
        <w:t>件，</w:t>
      </w:r>
      <w:r w:rsidR="00151263">
        <w:rPr>
          <w:rFonts w:ascii="標楷體" w:hAnsi="標楷體" w:hint="eastAsia"/>
          <w:sz w:val="24"/>
          <w:szCs w:val="24"/>
          <w:lang w:eastAsia="zh-HK"/>
        </w:rPr>
        <w:t>未徵</w:t>
      </w:r>
      <w:r w:rsidRPr="008C3FF8">
        <w:rPr>
          <w:rFonts w:ascii="標楷體" w:hAnsi="標楷體" w:hint="eastAsia"/>
          <w:sz w:val="24"/>
          <w:szCs w:val="24"/>
          <w:lang w:eastAsia="zh-HK"/>
        </w:rPr>
        <w:t>金額計4</w:t>
      </w:r>
      <w:r w:rsidRPr="008C3FF8">
        <w:rPr>
          <w:rFonts w:ascii="標楷體" w:hAnsi="標楷體"/>
          <w:sz w:val="24"/>
          <w:szCs w:val="24"/>
          <w:lang w:eastAsia="zh-HK"/>
        </w:rPr>
        <w:t>2</w:t>
      </w:r>
      <w:r w:rsidRPr="008C3FF8">
        <w:rPr>
          <w:rFonts w:ascii="標楷體" w:hAnsi="標楷體" w:hint="eastAsia"/>
          <w:sz w:val="24"/>
          <w:szCs w:val="24"/>
          <w:lang w:eastAsia="zh-HK"/>
        </w:rPr>
        <w:t>億5</w:t>
      </w:r>
      <w:r w:rsidRPr="008C3FF8">
        <w:rPr>
          <w:rFonts w:ascii="標楷體" w:hAnsi="標楷體"/>
          <w:sz w:val="24"/>
          <w:szCs w:val="24"/>
          <w:lang w:eastAsia="zh-HK"/>
        </w:rPr>
        <w:t>,856</w:t>
      </w:r>
      <w:r w:rsidRPr="008C3FF8">
        <w:rPr>
          <w:rFonts w:ascii="標楷體" w:hAnsi="標楷體" w:hint="eastAsia"/>
          <w:sz w:val="24"/>
          <w:szCs w:val="24"/>
          <w:lang w:eastAsia="zh-HK"/>
        </w:rPr>
        <w:t>萬餘元，</w:t>
      </w:r>
      <w:r>
        <w:rPr>
          <w:rFonts w:ascii="標楷體" w:hAnsi="標楷體" w:hint="eastAsia"/>
          <w:sz w:val="24"/>
          <w:szCs w:val="24"/>
          <w:lang w:eastAsia="zh-HK"/>
        </w:rPr>
        <w:t>主要類型係</w:t>
      </w:r>
      <w:r w:rsidRPr="008C3FF8">
        <w:rPr>
          <w:rFonts w:ascii="標楷體" w:hAnsi="標楷體"/>
          <w:sz w:val="24"/>
          <w:szCs w:val="24"/>
          <w:lang w:eastAsia="zh-HK"/>
        </w:rPr>
        <w:t>取得執行憑證之欠稅數26</w:t>
      </w:r>
      <w:r w:rsidRPr="008C3FF8">
        <w:rPr>
          <w:rFonts w:ascii="標楷體" w:hAnsi="標楷體" w:hint="eastAsia"/>
          <w:sz w:val="24"/>
          <w:szCs w:val="24"/>
          <w:lang w:eastAsia="zh-HK"/>
        </w:rPr>
        <w:t>萬</w:t>
      </w:r>
      <w:r w:rsidRPr="008C3FF8">
        <w:rPr>
          <w:rFonts w:ascii="標楷體" w:hAnsi="標楷體"/>
          <w:sz w:val="24"/>
          <w:szCs w:val="24"/>
          <w:lang w:eastAsia="zh-HK"/>
        </w:rPr>
        <w:t>5,722件</w:t>
      </w:r>
      <w:r w:rsidRPr="008C3FF8">
        <w:rPr>
          <w:rFonts w:ascii="標楷體" w:hAnsi="標楷體" w:hint="eastAsia"/>
          <w:sz w:val="24"/>
          <w:szCs w:val="24"/>
          <w:lang w:eastAsia="zh-HK"/>
        </w:rPr>
        <w:t>（占比6</w:t>
      </w:r>
      <w:r w:rsidRPr="008C3FF8">
        <w:rPr>
          <w:rFonts w:ascii="標楷體" w:hAnsi="標楷體"/>
          <w:sz w:val="24"/>
          <w:szCs w:val="24"/>
          <w:lang w:eastAsia="zh-HK"/>
        </w:rPr>
        <w:t>4.30％</w:t>
      </w:r>
      <w:r w:rsidRPr="008C3FF8">
        <w:rPr>
          <w:rFonts w:ascii="標楷體" w:hAnsi="標楷體" w:hint="eastAsia"/>
          <w:sz w:val="24"/>
          <w:szCs w:val="24"/>
          <w:lang w:eastAsia="zh-HK"/>
        </w:rPr>
        <w:t>）</w:t>
      </w:r>
      <w:r w:rsidRPr="008C3FF8">
        <w:rPr>
          <w:rFonts w:ascii="標楷體" w:hAnsi="標楷體"/>
          <w:sz w:val="24"/>
          <w:szCs w:val="24"/>
          <w:lang w:eastAsia="zh-HK"/>
        </w:rPr>
        <w:t>，金額26億</w:t>
      </w:r>
      <w:r w:rsidRPr="008C3FF8">
        <w:rPr>
          <w:rFonts w:ascii="標楷體" w:hAnsi="標楷體" w:hint="eastAsia"/>
          <w:sz w:val="24"/>
          <w:szCs w:val="24"/>
          <w:lang w:eastAsia="zh-HK"/>
        </w:rPr>
        <w:t>1</w:t>
      </w:r>
      <w:r w:rsidRPr="008C3FF8">
        <w:rPr>
          <w:rFonts w:ascii="標楷體" w:hAnsi="標楷體"/>
          <w:sz w:val="24"/>
          <w:szCs w:val="24"/>
          <w:lang w:eastAsia="zh-HK"/>
        </w:rPr>
        <w:t>,606萬餘元</w:t>
      </w:r>
      <w:r w:rsidRPr="008C3FF8">
        <w:rPr>
          <w:rFonts w:ascii="標楷體" w:hAnsi="標楷體" w:hint="eastAsia"/>
          <w:sz w:val="24"/>
          <w:szCs w:val="24"/>
          <w:lang w:eastAsia="zh-HK"/>
        </w:rPr>
        <w:t>（</w:t>
      </w:r>
      <w:r w:rsidRPr="008C3FF8">
        <w:rPr>
          <w:rFonts w:ascii="標楷體" w:hAnsi="標楷體"/>
          <w:sz w:val="24"/>
          <w:szCs w:val="24"/>
          <w:lang w:eastAsia="zh-HK"/>
        </w:rPr>
        <w:t>占比</w:t>
      </w:r>
      <w:r w:rsidRPr="008C3FF8">
        <w:rPr>
          <w:rFonts w:ascii="標楷體" w:hAnsi="標楷體" w:hint="eastAsia"/>
          <w:sz w:val="24"/>
          <w:szCs w:val="24"/>
          <w:lang w:eastAsia="zh-HK"/>
        </w:rPr>
        <w:t>6</w:t>
      </w:r>
      <w:r w:rsidRPr="008C3FF8">
        <w:rPr>
          <w:rFonts w:ascii="標楷體" w:hAnsi="標楷體"/>
          <w:sz w:val="24"/>
          <w:szCs w:val="24"/>
          <w:lang w:eastAsia="zh-HK"/>
        </w:rPr>
        <w:t>1.43％</w:t>
      </w:r>
      <w:r w:rsidRPr="008C3FF8">
        <w:rPr>
          <w:rFonts w:ascii="標楷體" w:hAnsi="標楷體" w:hint="eastAsia"/>
          <w:sz w:val="24"/>
          <w:szCs w:val="24"/>
          <w:lang w:eastAsia="zh-HK"/>
        </w:rPr>
        <w:t>）</w:t>
      </w:r>
      <w:bookmarkStart w:id="2" w:name="_Hlk221209132"/>
      <w:r>
        <w:rPr>
          <w:rFonts w:ascii="標楷體" w:hAnsi="標楷體" w:hint="eastAsia"/>
          <w:sz w:val="24"/>
          <w:szCs w:val="24"/>
          <w:lang w:eastAsia="zh-HK"/>
        </w:rPr>
        <w:t>，其次為</w:t>
      </w:r>
      <w:bookmarkEnd w:id="2"/>
      <w:r w:rsidRPr="008C3FF8">
        <w:rPr>
          <w:rFonts w:ascii="標楷體" w:hAnsi="標楷體"/>
          <w:sz w:val="24"/>
          <w:szCs w:val="24"/>
          <w:lang w:eastAsia="zh-HK"/>
        </w:rPr>
        <w:t>未逾限繳日之</w:t>
      </w:r>
      <w:r w:rsidRPr="008C3FF8">
        <w:rPr>
          <w:rFonts w:ascii="標楷體" w:hAnsi="標楷體" w:hint="eastAsia"/>
          <w:sz w:val="24"/>
          <w:szCs w:val="24"/>
          <w:lang w:eastAsia="zh-HK"/>
        </w:rPr>
        <w:t>未徵</w:t>
      </w:r>
      <w:r w:rsidRPr="008C3FF8">
        <w:rPr>
          <w:rFonts w:ascii="標楷體" w:hAnsi="標楷體"/>
          <w:sz w:val="24"/>
          <w:szCs w:val="24"/>
          <w:lang w:eastAsia="zh-HK"/>
        </w:rPr>
        <w:t>數4</w:t>
      </w:r>
      <w:r w:rsidRPr="008C3FF8">
        <w:rPr>
          <w:rFonts w:ascii="標楷體" w:hAnsi="標楷體" w:hint="eastAsia"/>
          <w:sz w:val="24"/>
          <w:szCs w:val="24"/>
          <w:lang w:eastAsia="zh-HK"/>
        </w:rPr>
        <w:t>萬</w:t>
      </w:r>
      <w:r w:rsidRPr="008C3FF8">
        <w:rPr>
          <w:rFonts w:ascii="標楷體" w:hAnsi="標楷體"/>
          <w:sz w:val="24"/>
          <w:szCs w:val="24"/>
          <w:lang w:eastAsia="zh-HK"/>
        </w:rPr>
        <w:t>7,793件</w:t>
      </w:r>
      <w:r w:rsidRPr="008C3FF8">
        <w:rPr>
          <w:rFonts w:ascii="標楷體" w:hAnsi="標楷體" w:hint="eastAsia"/>
          <w:sz w:val="24"/>
          <w:szCs w:val="24"/>
          <w:lang w:eastAsia="zh-HK"/>
        </w:rPr>
        <w:t>（</w:t>
      </w:r>
      <w:r w:rsidRPr="008C3FF8">
        <w:rPr>
          <w:rFonts w:ascii="標楷體" w:hAnsi="標楷體"/>
          <w:sz w:val="24"/>
          <w:szCs w:val="24"/>
          <w:lang w:eastAsia="zh-HK"/>
        </w:rPr>
        <w:t>占比11.57％</w:t>
      </w:r>
      <w:r w:rsidRPr="008C3FF8">
        <w:rPr>
          <w:rFonts w:ascii="標楷體" w:hAnsi="標楷體" w:hint="eastAsia"/>
          <w:sz w:val="24"/>
          <w:szCs w:val="24"/>
          <w:lang w:eastAsia="zh-HK"/>
        </w:rPr>
        <w:t>）</w:t>
      </w:r>
      <w:r w:rsidRPr="008C3FF8">
        <w:rPr>
          <w:rFonts w:ascii="標楷體" w:hAnsi="標楷體"/>
          <w:sz w:val="24"/>
          <w:szCs w:val="24"/>
          <w:lang w:eastAsia="zh-HK"/>
        </w:rPr>
        <w:t>，金額8億1,441萬餘元</w:t>
      </w:r>
      <w:r w:rsidRPr="008C3FF8">
        <w:rPr>
          <w:rFonts w:ascii="標楷體" w:hAnsi="標楷體" w:hint="eastAsia"/>
          <w:sz w:val="24"/>
          <w:szCs w:val="24"/>
          <w:lang w:eastAsia="zh-HK"/>
        </w:rPr>
        <w:t>（</w:t>
      </w:r>
      <w:r w:rsidRPr="008C3FF8">
        <w:rPr>
          <w:rFonts w:ascii="標楷體" w:hAnsi="標楷體"/>
          <w:sz w:val="24"/>
          <w:szCs w:val="24"/>
          <w:lang w:eastAsia="zh-HK"/>
        </w:rPr>
        <w:t>占比19.12％</w:t>
      </w:r>
      <w:r w:rsidRPr="008C3FF8">
        <w:rPr>
          <w:rFonts w:ascii="標楷體" w:hAnsi="標楷體" w:hint="eastAsia"/>
          <w:sz w:val="24"/>
          <w:szCs w:val="24"/>
          <w:lang w:eastAsia="zh-HK"/>
        </w:rPr>
        <w:t>）</w:t>
      </w:r>
      <w:r>
        <w:rPr>
          <w:rFonts w:ascii="標楷體" w:hAnsi="標楷體" w:hint="eastAsia"/>
          <w:sz w:val="24"/>
          <w:szCs w:val="24"/>
          <w:lang w:eastAsia="zh-HK"/>
        </w:rPr>
        <w:t>，再次者為</w:t>
      </w:r>
      <w:r w:rsidRPr="008C3FF8">
        <w:rPr>
          <w:rFonts w:ascii="標楷體" w:hAnsi="標楷體"/>
          <w:sz w:val="24"/>
          <w:szCs w:val="24"/>
          <w:lang w:eastAsia="zh-HK"/>
        </w:rPr>
        <w:t>移送強制執行未結之欠稅數4</w:t>
      </w:r>
      <w:r w:rsidRPr="008C3FF8">
        <w:rPr>
          <w:rFonts w:ascii="標楷體" w:hAnsi="標楷體" w:hint="eastAsia"/>
          <w:sz w:val="24"/>
          <w:szCs w:val="24"/>
          <w:lang w:eastAsia="zh-HK"/>
        </w:rPr>
        <w:t>萬</w:t>
      </w:r>
      <w:r w:rsidRPr="008C3FF8">
        <w:rPr>
          <w:rFonts w:ascii="標楷體" w:hAnsi="標楷體"/>
          <w:sz w:val="24"/>
          <w:szCs w:val="24"/>
          <w:lang w:eastAsia="zh-HK"/>
        </w:rPr>
        <w:t>6,026件</w:t>
      </w:r>
      <w:r w:rsidRPr="008C3FF8">
        <w:rPr>
          <w:rFonts w:ascii="標楷體" w:hAnsi="標楷體" w:hint="eastAsia"/>
          <w:sz w:val="24"/>
          <w:szCs w:val="24"/>
          <w:lang w:eastAsia="zh-HK"/>
        </w:rPr>
        <w:t>（</w:t>
      </w:r>
      <w:r w:rsidRPr="008C3FF8">
        <w:rPr>
          <w:rFonts w:ascii="標楷體" w:hAnsi="標楷體"/>
          <w:sz w:val="24"/>
          <w:szCs w:val="24"/>
          <w:lang w:eastAsia="zh-HK"/>
        </w:rPr>
        <w:t>占比</w:t>
      </w:r>
      <w:r w:rsidRPr="008C3FF8">
        <w:rPr>
          <w:rFonts w:ascii="標楷體" w:hAnsi="標楷體" w:hint="eastAsia"/>
          <w:sz w:val="24"/>
          <w:szCs w:val="24"/>
          <w:lang w:eastAsia="zh-HK"/>
        </w:rPr>
        <w:t>1</w:t>
      </w:r>
      <w:r w:rsidRPr="008C3FF8">
        <w:rPr>
          <w:rFonts w:ascii="標楷體" w:hAnsi="標楷體"/>
          <w:sz w:val="24"/>
          <w:szCs w:val="24"/>
          <w:lang w:eastAsia="zh-HK"/>
        </w:rPr>
        <w:t>1.14％</w:t>
      </w:r>
      <w:r w:rsidRPr="008C3FF8">
        <w:rPr>
          <w:rFonts w:ascii="標楷體" w:hAnsi="標楷體" w:hint="eastAsia"/>
          <w:sz w:val="24"/>
          <w:szCs w:val="24"/>
          <w:lang w:eastAsia="zh-HK"/>
        </w:rPr>
        <w:t>）</w:t>
      </w:r>
      <w:r w:rsidRPr="008C3FF8">
        <w:rPr>
          <w:rFonts w:ascii="標楷體" w:hAnsi="標楷體"/>
          <w:sz w:val="24"/>
          <w:szCs w:val="24"/>
          <w:lang w:eastAsia="zh-HK"/>
        </w:rPr>
        <w:t>，金額5億</w:t>
      </w:r>
      <w:r w:rsidRPr="008C3FF8">
        <w:rPr>
          <w:rFonts w:ascii="標楷體" w:hAnsi="標楷體" w:hint="eastAsia"/>
          <w:sz w:val="24"/>
          <w:szCs w:val="24"/>
          <w:lang w:eastAsia="zh-HK"/>
        </w:rPr>
        <w:t>2</w:t>
      </w:r>
      <w:r w:rsidRPr="008C3FF8">
        <w:rPr>
          <w:rFonts w:ascii="標楷體" w:hAnsi="標楷體"/>
          <w:sz w:val="24"/>
          <w:szCs w:val="24"/>
          <w:lang w:eastAsia="zh-HK"/>
        </w:rPr>
        <w:t>,754萬餘元</w:t>
      </w:r>
      <w:r w:rsidRPr="008C3FF8">
        <w:rPr>
          <w:rFonts w:ascii="標楷體" w:hAnsi="標楷體" w:hint="eastAsia"/>
          <w:sz w:val="24"/>
          <w:szCs w:val="24"/>
          <w:lang w:eastAsia="zh-HK"/>
        </w:rPr>
        <w:t>（</w:t>
      </w:r>
      <w:r w:rsidRPr="008C3FF8">
        <w:rPr>
          <w:rFonts w:ascii="標楷體" w:hAnsi="標楷體"/>
          <w:sz w:val="24"/>
          <w:szCs w:val="24"/>
          <w:lang w:eastAsia="zh-HK"/>
        </w:rPr>
        <w:t>占比12.39％）</w:t>
      </w:r>
      <w:r>
        <w:rPr>
          <w:rFonts w:ascii="標楷體" w:hAnsi="標楷體" w:hint="eastAsia"/>
          <w:sz w:val="24"/>
          <w:szCs w:val="24"/>
          <w:lang w:eastAsia="zh-HK"/>
        </w:rPr>
        <w:t>。</w:t>
      </w:r>
      <w:r w:rsidRPr="00B60D1C">
        <w:rPr>
          <w:rFonts w:ascii="標楷體" w:hAnsi="標楷體"/>
          <w:sz w:val="24"/>
          <w:szCs w:val="24"/>
          <w:lang w:eastAsia="zh-HK"/>
        </w:rPr>
        <w:t>另就新欠及舊欠案件徵起情形分析，114年度截至</w:t>
      </w:r>
      <w:r w:rsidRPr="00B60D1C">
        <w:rPr>
          <w:rFonts w:ascii="標楷體" w:hAnsi="標楷體" w:hint="eastAsia"/>
          <w:sz w:val="24"/>
          <w:szCs w:val="24"/>
          <w:lang w:eastAsia="zh-HK"/>
        </w:rPr>
        <w:t>1</w:t>
      </w:r>
      <w:r w:rsidRPr="00B60D1C">
        <w:rPr>
          <w:rFonts w:ascii="標楷體" w:hAnsi="標楷體"/>
          <w:sz w:val="24"/>
          <w:szCs w:val="24"/>
          <w:lang w:eastAsia="zh-HK"/>
        </w:rPr>
        <w:t>0月底止</w:t>
      </w:r>
      <w:r w:rsidR="00E7728A">
        <w:rPr>
          <w:rFonts w:ascii="標楷體" w:hAnsi="標楷體" w:hint="eastAsia"/>
          <w:sz w:val="24"/>
          <w:szCs w:val="24"/>
          <w:lang w:eastAsia="zh-HK"/>
        </w:rPr>
        <w:t>，</w:t>
      </w:r>
      <w:r w:rsidRPr="00B60D1C">
        <w:rPr>
          <w:rFonts w:ascii="標楷體" w:hAnsi="標楷體"/>
          <w:sz w:val="24"/>
          <w:szCs w:val="24"/>
          <w:lang w:eastAsia="zh-HK"/>
        </w:rPr>
        <w:t>新欠</w:t>
      </w:r>
      <w:r w:rsidRPr="00B60D1C">
        <w:rPr>
          <w:rFonts w:ascii="標楷體" w:hAnsi="標楷體" w:hint="eastAsia"/>
          <w:sz w:val="24"/>
          <w:szCs w:val="24"/>
          <w:lang w:eastAsia="zh-HK"/>
        </w:rPr>
        <w:t>件數、</w:t>
      </w:r>
      <w:r w:rsidRPr="00B60D1C">
        <w:rPr>
          <w:rFonts w:ascii="標楷體" w:hAnsi="標楷體"/>
          <w:sz w:val="24"/>
          <w:szCs w:val="24"/>
          <w:lang w:eastAsia="zh-HK"/>
        </w:rPr>
        <w:t>金額</w:t>
      </w:r>
      <w:r w:rsidRPr="00B60D1C">
        <w:rPr>
          <w:rFonts w:ascii="標楷體" w:hAnsi="標楷體" w:hint="eastAsia"/>
          <w:sz w:val="24"/>
          <w:szCs w:val="24"/>
          <w:lang w:eastAsia="zh-HK"/>
        </w:rPr>
        <w:t>之</w:t>
      </w:r>
      <w:r w:rsidRPr="00B60D1C">
        <w:rPr>
          <w:rFonts w:ascii="標楷體" w:hAnsi="標楷體"/>
          <w:sz w:val="24"/>
          <w:szCs w:val="24"/>
          <w:lang w:eastAsia="zh-HK"/>
        </w:rPr>
        <w:t>徵起率</w:t>
      </w:r>
      <w:r w:rsidRPr="00B60D1C">
        <w:rPr>
          <w:rFonts w:ascii="標楷體" w:hAnsi="標楷體" w:hint="eastAsia"/>
          <w:sz w:val="24"/>
          <w:szCs w:val="24"/>
          <w:lang w:eastAsia="zh-HK"/>
        </w:rPr>
        <w:t>分別</w:t>
      </w:r>
      <w:r w:rsidRPr="00B60D1C">
        <w:rPr>
          <w:rFonts w:ascii="標楷體" w:hAnsi="標楷體"/>
          <w:sz w:val="24"/>
          <w:szCs w:val="24"/>
          <w:lang w:eastAsia="zh-HK"/>
        </w:rPr>
        <w:t>為</w:t>
      </w:r>
      <w:r w:rsidRPr="00B60D1C">
        <w:rPr>
          <w:rFonts w:ascii="標楷體" w:hAnsi="標楷體" w:hint="eastAsia"/>
          <w:sz w:val="24"/>
          <w:szCs w:val="24"/>
          <w:lang w:eastAsia="zh-HK"/>
        </w:rPr>
        <w:t>97.40％及</w:t>
      </w:r>
      <w:r w:rsidRPr="00B60D1C">
        <w:rPr>
          <w:rFonts w:ascii="標楷體" w:hAnsi="標楷體"/>
          <w:sz w:val="24"/>
          <w:szCs w:val="24"/>
          <w:lang w:eastAsia="zh-HK"/>
        </w:rPr>
        <w:t>97.70％</w:t>
      </w:r>
      <w:r w:rsidRPr="00B60D1C">
        <w:rPr>
          <w:rFonts w:ascii="標楷體" w:hAnsi="標楷體" w:hint="eastAsia"/>
          <w:sz w:val="24"/>
          <w:szCs w:val="24"/>
          <w:lang w:eastAsia="zh-HK"/>
        </w:rPr>
        <w:t>，均</w:t>
      </w:r>
      <w:r w:rsidRPr="00B60D1C">
        <w:rPr>
          <w:rFonts w:ascii="標楷體" w:hAnsi="標楷體"/>
          <w:sz w:val="24"/>
          <w:szCs w:val="24"/>
          <w:lang w:eastAsia="zh-HK"/>
        </w:rPr>
        <w:t>較前3年度同期</w:t>
      </w:r>
      <w:r w:rsidRPr="00B60D1C">
        <w:rPr>
          <w:rFonts w:ascii="標楷體" w:hAnsi="標楷體" w:hint="eastAsia"/>
          <w:sz w:val="24"/>
          <w:szCs w:val="24"/>
          <w:lang w:eastAsia="zh-HK"/>
        </w:rPr>
        <w:t>新</w:t>
      </w:r>
      <w:r w:rsidRPr="00B60D1C">
        <w:rPr>
          <w:rFonts w:ascii="標楷體" w:hAnsi="標楷體"/>
          <w:sz w:val="24"/>
          <w:szCs w:val="24"/>
          <w:lang w:eastAsia="zh-HK"/>
        </w:rPr>
        <w:t>欠</w:t>
      </w:r>
      <w:r w:rsidRPr="00B60D1C">
        <w:rPr>
          <w:rFonts w:ascii="標楷體" w:hAnsi="標楷體" w:hint="eastAsia"/>
          <w:sz w:val="24"/>
          <w:szCs w:val="24"/>
          <w:lang w:eastAsia="zh-HK"/>
        </w:rPr>
        <w:t>件數、金額之</w:t>
      </w:r>
      <w:r w:rsidRPr="00B60D1C">
        <w:rPr>
          <w:rFonts w:ascii="標楷體" w:hAnsi="標楷體"/>
          <w:sz w:val="24"/>
          <w:szCs w:val="24"/>
          <w:lang w:eastAsia="zh-HK"/>
        </w:rPr>
        <w:t>徵起率</w:t>
      </w:r>
      <w:r w:rsidRPr="00B60D1C">
        <w:rPr>
          <w:rFonts w:ascii="標楷體" w:hAnsi="標楷體" w:hint="eastAsia"/>
          <w:sz w:val="24"/>
          <w:szCs w:val="24"/>
          <w:lang w:eastAsia="zh-HK"/>
        </w:rPr>
        <w:t>97.74％及9</w:t>
      </w:r>
      <w:r w:rsidRPr="00B60D1C">
        <w:rPr>
          <w:rFonts w:ascii="標楷體" w:hAnsi="標楷體"/>
          <w:sz w:val="24"/>
          <w:szCs w:val="24"/>
          <w:lang w:eastAsia="zh-HK"/>
        </w:rPr>
        <w:t>8.17</w:t>
      </w:r>
      <w:r w:rsidRPr="00B60D1C">
        <w:rPr>
          <w:rFonts w:ascii="標楷體" w:hAnsi="標楷體" w:hint="eastAsia"/>
          <w:sz w:val="24"/>
          <w:szCs w:val="24"/>
          <w:lang w:eastAsia="zh-HK"/>
        </w:rPr>
        <w:t>％、97.73％及9</w:t>
      </w:r>
      <w:r w:rsidRPr="00B60D1C">
        <w:rPr>
          <w:rFonts w:ascii="標楷體" w:hAnsi="標楷體"/>
          <w:sz w:val="24"/>
          <w:szCs w:val="24"/>
          <w:lang w:eastAsia="zh-HK"/>
        </w:rPr>
        <w:t>7.87</w:t>
      </w:r>
      <w:r w:rsidRPr="00B60D1C">
        <w:rPr>
          <w:rFonts w:ascii="標楷體" w:hAnsi="標楷體" w:hint="eastAsia"/>
          <w:sz w:val="24"/>
          <w:szCs w:val="24"/>
          <w:lang w:eastAsia="zh-HK"/>
        </w:rPr>
        <w:t>％、97.68％及9</w:t>
      </w:r>
      <w:r w:rsidRPr="00B60D1C">
        <w:rPr>
          <w:rFonts w:ascii="標楷體" w:hAnsi="標楷體"/>
          <w:sz w:val="24"/>
          <w:szCs w:val="24"/>
          <w:lang w:eastAsia="zh-HK"/>
        </w:rPr>
        <w:t>8.64</w:t>
      </w:r>
      <w:r w:rsidRPr="00B60D1C">
        <w:rPr>
          <w:rFonts w:ascii="標楷體" w:hAnsi="標楷體" w:hint="eastAsia"/>
          <w:sz w:val="24"/>
          <w:szCs w:val="24"/>
          <w:lang w:eastAsia="zh-HK"/>
        </w:rPr>
        <w:t>％降</w:t>
      </w:r>
      <w:r w:rsidRPr="00B60D1C">
        <w:rPr>
          <w:rFonts w:ascii="標楷體" w:hAnsi="標楷體"/>
          <w:sz w:val="24"/>
          <w:szCs w:val="24"/>
          <w:lang w:eastAsia="zh-HK"/>
        </w:rPr>
        <w:t>低</w:t>
      </w:r>
      <w:r w:rsidRPr="00B60D1C">
        <w:rPr>
          <w:rFonts w:ascii="標楷體" w:hAnsi="標楷體" w:hint="eastAsia"/>
          <w:sz w:val="24"/>
          <w:szCs w:val="24"/>
          <w:lang w:eastAsia="zh-HK"/>
        </w:rPr>
        <w:t>；</w:t>
      </w:r>
      <w:r w:rsidRPr="00B60D1C">
        <w:rPr>
          <w:rFonts w:ascii="標楷體" w:hAnsi="標楷體"/>
          <w:sz w:val="24"/>
          <w:szCs w:val="24"/>
          <w:lang w:eastAsia="zh-HK"/>
        </w:rPr>
        <w:t>舊欠</w:t>
      </w:r>
      <w:r w:rsidRPr="00B60D1C">
        <w:rPr>
          <w:rFonts w:ascii="標楷體" w:hAnsi="標楷體" w:hint="eastAsia"/>
          <w:sz w:val="24"/>
          <w:szCs w:val="24"/>
          <w:lang w:eastAsia="zh-HK"/>
        </w:rPr>
        <w:t>件數、</w:t>
      </w:r>
      <w:r w:rsidRPr="00B60D1C">
        <w:rPr>
          <w:rFonts w:ascii="標楷體" w:hAnsi="標楷體"/>
          <w:sz w:val="24"/>
          <w:szCs w:val="24"/>
          <w:lang w:eastAsia="zh-HK"/>
        </w:rPr>
        <w:t>金額</w:t>
      </w:r>
      <w:r w:rsidRPr="00B60D1C">
        <w:rPr>
          <w:rFonts w:ascii="標楷體" w:hAnsi="標楷體" w:hint="eastAsia"/>
          <w:sz w:val="24"/>
          <w:szCs w:val="24"/>
          <w:lang w:eastAsia="zh-HK"/>
        </w:rPr>
        <w:t>之</w:t>
      </w:r>
      <w:r w:rsidRPr="00B60D1C">
        <w:rPr>
          <w:rFonts w:ascii="標楷體" w:hAnsi="標楷體"/>
          <w:sz w:val="24"/>
          <w:szCs w:val="24"/>
          <w:lang w:eastAsia="zh-HK"/>
        </w:rPr>
        <w:t>徵起率</w:t>
      </w:r>
      <w:r w:rsidRPr="00B60D1C">
        <w:rPr>
          <w:rFonts w:ascii="標楷體" w:hAnsi="標楷體" w:hint="eastAsia"/>
          <w:sz w:val="24"/>
          <w:szCs w:val="24"/>
          <w:lang w:eastAsia="zh-HK"/>
        </w:rPr>
        <w:t>分別</w:t>
      </w:r>
      <w:r w:rsidRPr="00B60D1C">
        <w:rPr>
          <w:rFonts w:ascii="標楷體" w:hAnsi="標楷體"/>
          <w:sz w:val="24"/>
          <w:szCs w:val="24"/>
          <w:lang w:eastAsia="zh-HK"/>
        </w:rPr>
        <w:t>為</w:t>
      </w:r>
      <w:r w:rsidRPr="00B60D1C">
        <w:rPr>
          <w:rFonts w:ascii="標楷體" w:hAnsi="標楷體" w:hint="eastAsia"/>
          <w:sz w:val="24"/>
          <w:szCs w:val="24"/>
          <w:lang w:eastAsia="zh-HK"/>
        </w:rPr>
        <w:t>28.00％及</w:t>
      </w:r>
      <w:r w:rsidRPr="00B60D1C">
        <w:rPr>
          <w:rFonts w:ascii="標楷體" w:hAnsi="標楷體"/>
          <w:sz w:val="24"/>
          <w:szCs w:val="24"/>
          <w:lang w:eastAsia="zh-HK"/>
        </w:rPr>
        <w:t>25.08％</w:t>
      </w:r>
      <w:r w:rsidRPr="00B60D1C">
        <w:rPr>
          <w:rFonts w:ascii="標楷體" w:hAnsi="標楷體" w:hint="eastAsia"/>
          <w:sz w:val="24"/>
          <w:szCs w:val="24"/>
          <w:lang w:eastAsia="zh-HK"/>
        </w:rPr>
        <w:t>，均</w:t>
      </w:r>
      <w:r w:rsidRPr="00B60D1C">
        <w:rPr>
          <w:rFonts w:ascii="標楷體" w:hAnsi="標楷體"/>
          <w:sz w:val="24"/>
          <w:szCs w:val="24"/>
          <w:lang w:eastAsia="zh-HK"/>
        </w:rPr>
        <w:t>較前3年度同期舊欠</w:t>
      </w:r>
      <w:r w:rsidRPr="00B60D1C">
        <w:rPr>
          <w:rFonts w:ascii="標楷體" w:hAnsi="標楷體" w:hint="eastAsia"/>
          <w:sz w:val="24"/>
          <w:szCs w:val="24"/>
          <w:lang w:eastAsia="zh-HK"/>
        </w:rPr>
        <w:t>件數、金額之</w:t>
      </w:r>
      <w:r w:rsidRPr="00B60D1C">
        <w:rPr>
          <w:rFonts w:ascii="標楷體" w:hAnsi="標楷體"/>
          <w:sz w:val="24"/>
          <w:szCs w:val="24"/>
          <w:lang w:eastAsia="zh-HK"/>
        </w:rPr>
        <w:t>徵起率</w:t>
      </w:r>
      <w:r w:rsidRPr="00B60D1C">
        <w:rPr>
          <w:rFonts w:ascii="標楷體" w:hAnsi="標楷體" w:hint="eastAsia"/>
          <w:sz w:val="24"/>
          <w:szCs w:val="24"/>
          <w:lang w:eastAsia="zh-HK"/>
        </w:rPr>
        <w:t>31.19％及3</w:t>
      </w:r>
      <w:r w:rsidRPr="00B60D1C">
        <w:rPr>
          <w:rFonts w:ascii="標楷體" w:hAnsi="標楷體"/>
          <w:sz w:val="24"/>
          <w:szCs w:val="24"/>
          <w:lang w:eastAsia="zh-HK"/>
        </w:rPr>
        <w:t>0.96</w:t>
      </w:r>
      <w:r w:rsidRPr="00B60D1C">
        <w:rPr>
          <w:rFonts w:ascii="標楷體" w:hAnsi="標楷體" w:hint="eastAsia"/>
          <w:sz w:val="24"/>
          <w:szCs w:val="24"/>
          <w:lang w:eastAsia="zh-HK"/>
        </w:rPr>
        <w:t>％、28.82％及2</w:t>
      </w:r>
      <w:r w:rsidRPr="00B60D1C">
        <w:rPr>
          <w:rFonts w:ascii="標楷體" w:hAnsi="標楷體"/>
          <w:sz w:val="24"/>
          <w:szCs w:val="24"/>
          <w:lang w:eastAsia="zh-HK"/>
        </w:rPr>
        <w:t>5.71</w:t>
      </w:r>
      <w:r w:rsidRPr="00B60D1C">
        <w:rPr>
          <w:rFonts w:ascii="標楷體" w:hAnsi="標楷體" w:hint="eastAsia"/>
          <w:sz w:val="24"/>
          <w:szCs w:val="24"/>
          <w:lang w:eastAsia="zh-HK"/>
        </w:rPr>
        <w:t>％、28.88％及2</w:t>
      </w:r>
      <w:r w:rsidRPr="00B60D1C">
        <w:rPr>
          <w:rFonts w:ascii="標楷體" w:hAnsi="標楷體"/>
          <w:sz w:val="24"/>
          <w:szCs w:val="24"/>
          <w:lang w:eastAsia="zh-HK"/>
        </w:rPr>
        <w:t>5.76</w:t>
      </w:r>
      <w:r w:rsidRPr="00B60D1C">
        <w:rPr>
          <w:rFonts w:ascii="標楷體" w:hAnsi="標楷體" w:hint="eastAsia"/>
          <w:sz w:val="24"/>
          <w:szCs w:val="24"/>
          <w:lang w:eastAsia="zh-HK"/>
        </w:rPr>
        <w:t>％降低</w:t>
      </w:r>
      <w:r w:rsidR="008C1804" w:rsidRPr="00501E51">
        <w:rPr>
          <w:rFonts w:ascii="標楷體" w:hAnsi="標楷體" w:hint="eastAsia"/>
          <w:sz w:val="24"/>
          <w:szCs w:val="24"/>
          <w:lang w:eastAsia="zh-HK"/>
        </w:rPr>
        <w:t>（表</w:t>
      </w:r>
      <w:r w:rsidR="008C1804">
        <w:rPr>
          <w:rFonts w:ascii="標楷體" w:hAnsi="標楷體"/>
          <w:sz w:val="24"/>
          <w:szCs w:val="24"/>
        </w:rPr>
        <w:t>3</w:t>
      </w:r>
      <w:r w:rsidR="008C1804" w:rsidRPr="00501E51">
        <w:rPr>
          <w:rFonts w:ascii="標楷體" w:hAnsi="標楷體" w:hint="eastAsia"/>
          <w:sz w:val="24"/>
          <w:szCs w:val="24"/>
          <w:lang w:eastAsia="zh-HK"/>
        </w:rPr>
        <w:t>）</w:t>
      </w:r>
      <w:r w:rsidRPr="009848DA">
        <w:rPr>
          <w:rFonts w:ascii="標楷體" w:hAnsi="標楷體" w:hint="eastAsia"/>
          <w:sz w:val="24"/>
          <w:szCs w:val="24"/>
          <w:lang w:eastAsia="zh-HK"/>
        </w:rPr>
        <w:t>，欠稅清理成效仍待提升，經函請檢討妥處。</w:t>
      </w:r>
      <w:r w:rsidRPr="00A359A0">
        <w:rPr>
          <w:rFonts w:ascii="標楷體" w:hAnsi="標楷體" w:hint="eastAsia"/>
          <w:sz w:val="24"/>
          <w:szCs w:val="24"/>
          <w:lang w:eastAsia="zh-HK"/>
        </w:rPr>
        <w:t>據復：</w:t>
      </w:r>
      <w:r>
        <w:rPr>
          <w:rFonts w:ascii="標楷體" w:hAnsi="標楷體" w:hint="eastAsia"/>
          <w:sz w:val="24"/>
          <w:szCs w:val="24"/>
          <w:lang w:eastAsia="zh-HK"/>
        </w:rPr>
        <w:t>將</w:t>
      </w:r>
      <w:r w:rsidRPr="00A359A0">
        <w:rPr>
          <w:rFonts w:ascii="標楷體" w:hAnsi="標楷體" w:hint="eastAsia"/>
          <w:sz w:val="24"/>
          <w:szCs w:val="24"/>
          <w:lang w:eastAsia="zh-HK"/>
        </w:rPr>
        <w:t>每年查詢欠稅人存款資料4次及保險資料</w:t>
      </w:r>
      <w:r>
        <w:rPr>
          <w:rFonts w:ascii="標楷體" w:hAnsi="標楷體" w:hint="eastAsia"/>
          <w:sz w:val="24"/>
          <w:szCs w:val="24"/>
          <w:lang w:eastAsia="zh-HK"/>
        </w:rPr>
        <w:t>、</w:t>
      </w:r>
      <w:r w:rsidRPr="00A359A0">
        <w:rPr>
          <w:rFonts w:ascii="標楷體" w:hAnsi="標楷體" w:hint="eastAsia"/>
          <w:sz w:val="24"/>
          <w:szCs w:val="24"/>
          <w:lang w:eastAsia="zh-HK"/>
        </w:rPr>
        <w:t>挑錄出境次數達2次以上且欠稅金額30萬元以上之執行案件</w:t>
      </w:r>
      <w:r>
        <w:rPr>
          <w:rFonts w:ascii="標楷體" w:hAnsi="標楷體" w:hint="eastAsia"/>
          <w:sz w:val="24"/>
          <w:szCs w:val="24"/>
          <w:lang w:eastAsia="zh-HK"/>
        </w:rPr>
        <w:t>、</w:t>
      </w:r>
      <w:r w:rsidRPr="00A359A0">
        <w:rPr>
          <w:rFonts w:ascii="標楷體" w:hAnsi="標楷體" w:hint="eastAsia"/>
          <w:sz w:val="24"/>
          <w:szCs w:val="24"/>
          <w:lang w:eastAsia="zh-HK"/>
        </w:rPr>
        <w:t>即時提供欠稅人移轉不動產資料</w:t>
      </w:r>
      <w:r w:rsidR="00E7728A">
        <w:rPr>
          <w:rFonts w:ascii="標楷體" w:hAnsi="標楷體" w:hint="eastAsia"/>
          <w:sz w:val="24"/>
          <w:szCs w:val="24"/>
          <w:lang w:eastAsia="zh-HK"/>
        </w:rPr>
        <w:t>等</w:t>
      </w:r>
      <w:r w:rsidRPr="00A359A0">
        <w:rPr>
          <w:rFonts w:ascii="標楷體" w:hAnsi="標楷體" w:hint="eastAsia"/>
          <w:sz w:val="24"/>
          <w:szCs w:val="24"/>
          <w:lang w:eastAsia="zh-HK"/>
        </w:rPr>
        <w:t>，供</w:t>
      </w:r>
      <w:r w:rsidR="00C270ED" w:rsidRPr="00C270ED">
        <w:rPr>
          <w:rFonts w:ascii="標楷體" w:hAnsi="標楷體" w:hint="eastAsia"/>
          <w:sz w:val="24"/>
          <w:szCs w:val="24"/>
          <w:lang w:eastAsia="zh-HK"/>
        </w:rPr>
        <w:t>法務部行政執行署新北分署</w:t>
      </w:r>
      <w:r w:rsidR="00C270ED">
        <w:rPr>
          <w:rFonts w:ascii="標楷體" w:hAnsi="標楷體" w:hint="eastAsia"/>
          <w:sz w:val="24"/>
          <w:szCs w:val="24"/>
        </w:rPr>
        <w:t>（</w:t>
      </w:r>
      <w:r w:rsidR="00C270ED" w:rsidRPr="00C270ED">
        <w:rPr>
          <w:rFonts w:ascii="標楷體" w:hAnsi="標楷體" w:hint="eastAsia"/>
          <w:sz w:val="24"/>
          <w:szCs w:val="24"/>
          <w:lang w:eastAsia="zh-HK"/>
        </w:rPr>
        <w:t>下稱執行分署</w:t>
      </w:r>
      <w:r w:rsidR="00C270ED">
        <w:rPr>
          <w:rFonts w:ascii="標楷體" w:hAnsi="標楷體" w:hint="eastAsia"/>
          <w:sz w:val="24"/>
          <w:szCs w:val="24"/>
          <w:lang w:eastAsia="zh-HK"/>
        </w:rPr>
        <w:t>）</w:t>
      </w:r>
      <w:r w:rsidRPr="00A359A0">
        <w:rPr>
          <w:rFonts w:ascii="標楷體" w:hAnsi="標楷體" w:hint="eastAsia"/>
          <w:sz w:val="24"/>
          <w:szCs w:val="24"/>
          <w:lang w:eastAsia="zh-HK"/>
        </w:rPr>
        <w:t>執行欠稅人存款及保單</w:t>
      </w:r>
      <w:r>
        <w:rPr>
          <w:rFonts w:ascii="標楷體" w:hAnsi="標楷體" w:hint="eastAsia"/>
          <w:sz w:val="24"/>
          <w:szCs w:val="24"/>
          <w:lang w:eastAsia="zh-HK"/>
        </w:rPr>
        <w:t>、</w:t>
      </w:r>
      <w:r w:rsidRPr="00A359A0">
        <w:rPr>
          <w:rFonts w:ascii="標楷體" w:hAnsi="標楷體" w:hint="eastAsia"/>
          <w:sz w:val="24"/>
          <w:szCs w:val="24"/>
          <w:lang w:eastAsia="zh-HK"/>
        </w:rPr>
        <w:t>辦理限制出境</w:t>
      </w:r>
      <w:r>
        <w:rPr>
          <w:rFonts w:ascii="標楷體" w:hAnsi="標楷體" w:hint="eastAsia"/>
          <w:sz w:val="24"/>
          <w:szCs w:val="24"/>
          <w:lang w:eastAsia="zh-HK"/>
        </w:rPr>
        <w:t>、</w:t>
      </w:r>
      <w:r w:rsidRPr="00A359A0">
        <w:rPr>
          <w:rFonts w:ascii="標楷體" w:hAnsi="標楷體" w:hint="eastAsia"/>
          <w:sz w:val="24"/>
          <w:szCs w:val="24"/>
          <w:lang w:eastAsia="zh-HK"/>
        </w:rPr>
        <w:t>評估是否查封不動產</w:t>
      </w:r>
      <w:r>
        <w:rPr>
          <w:rFonts w:ascii="標楷體" w:hAnsi="標楷體" w:hint="eastAsia"/>
          <w:sz w:val="24"/>
          <w:szCs w:val="24"/>
          <w:lang w:eastAsia="zh-HK"/>
        </w:rPr>
        <w:t>，</w:t>
      </w:r>
      <w:r w:rsidRPr="00A359A0">
        <w:rPr>
          <w:rFonts w:ascii="標楷體" w:hAnsi="標楷體" w:hint="eastAsia"/>
          <w:sz w:val="24"/>
          <w:szCs w:val="24"/>
          <w:lang w:eastAsia="zh-HK"/>
        </w:rPr>
        <w:t>另每年與</w:t>
      </w:r>
      <w:r w:rsidR="00C04577" w:rsidRPr="00C270ED">
        <w:rPr>
          <w:rFonts w:ascii="標楷體" w:hAnsi="標楷體" w:hint="eastAsia"/>
          <w:sz w:val="24"/>
          <w:szCs w:val="24"/>
          <w:lang w:eastAsia="zh-HK"/>
        </w:rPr>
        <w:t>執行分署</w:t>
      </w:r>
      <w:r w:rsidRPr="00A359A0">
        <w:rPr>
          <w:rFonts w:ascii="標楷體" w:hAnsi="標楷體" w:hint="eastAsia"/>
          <w:sz w:val="24"/>
          <w:szCs w:val="24"/>
          <w:lang w:eastAsia="zh-HK"/>
        </w:rPr>
        <w:t>、財政部北區國稅局聯合辦理「強化執行案件合作追查暨移送執行業務聯繫會議」，就</w:t>
      </w:r>
      <w:r w:rsidR="00C04577">
        <w:rPr>
          <w:rFonts w:ascii="標楷體" w:hAnsi="標楷體" w:hint="eastAsia"/>
          <w:sz w:val="24"/>
          <w:szCs w:val="24"/>
          <w:lang w:eastAsia="zh-HK"/>
        </w:rPr>
        <w:t>移送及執行業務作業方式</w:t>
      </w:r>
      <w:r w:rsidRPr="00A359A0">
        <w:rPr>
          <w:rFonts w:ascii="標楷體" w:hAnsi="標楷體" w:hint="eastAsia"/>
          <w:sz w:val="24"/>
          <w:szCs w:val="24"/>
          <w:lang w:eastAsia="zh-HK"/>
        </w:rPr>
        <w:t>進行討論，以強化欠稅案件追討，有效徵起欠稅</w:t>
      </w:r>
      <w:r w:rsidR="00E71F45" w:rsidRPr="00844333">
        <w:rPr>
          <w:rFonts w:ascii="標楷體" w:hAnsi="標楷體"/>
          <w:noProof/>
          <w:spacing w:val="6"/>
          <w:sz w:val="24"/>
          <w:szCs w:val="24"/>
          <w:lang w:eastAsia="zh-HK"/>
        </w:rPr>
        <w:t>。</w:t>
      </w:r>
    </w:p>
    <w:tbl>
      <w:tblPr>
        <w:tblW w:w="9309" w:type="dxa"/>
        <w:jc w:val="center"/>
        <w:tblCellMar>
          <w:left w:w="28" w:type="dxa"/>
          <w:right w:w="28" w:type="dxa"/>
        </w:tblCellMar>
        <w:tblLook w:val="04A0" w:firstRow="1" w:lastRow="0" w:firstColumn="1" w:lastColumn="0" w:noHBand="0" w:noVBand="1"/>
      </w:tblPr>
      <w:tblGrid>
        <w:gridCol w:w="770"/>
        <w:gridCol w:w="1680"/>
        <w:gridCol w:w="1008"/>
        <w:gridCol w:w="700"/>
        <w:gridCol w:w="1008"/>
        <w:gridCol w:w="713"/>
        <w:gridCol w:w="1008"/>
        <w:gridCol w:w="714"/>
        <w:gridCol w:w="1050"/>
        <w:gridCol w:w="658"/>
      </w:tblGrid>
      <w:tr w:rsidR="00773506" w:rsidRPr="007044E0" w14:paraId="6545B76E" w14:textId="77777777" w:rsidTr="00123F14">
        <w:trPr>
          <w:trHeight w:val="417"/>
          <w:jc w:val="center"/>
        </w:trPr>
        <w:tc>
          <w:tcPr>
            <w:tcW w:w="9309" w:type="dxa"/>
            <w:gridSpan w:val="10"/>
            <w:tcBorders>
              <w:top w:val="nil"/>
              <w:left w:val="nil"/>
              <w:bottom w:val="nil"/>
              <w:right w:val="nil"/>
            </w:tcBorders>
            <w:noWrap/>
            <w:vAlign w:val="center"/>
            <w:hideMark/>
          </w:tcPr>
          <w:p w14:paraId="51D14B61" w14:textId="39F2B66F" w:rsidR="00773506" w:rsidRPr="007044E0" w:rsidRDefault="00773506" w:rsidP="00123F14">
            <w:pPr>
              <w:widowControl/>
              <w:spacing w:beforeLines="10" w:before="36" w:afterLines="10" w:after="36" w:line="400" w:lineRule="exact"/>
              <w:jc w:val="center"/>
              <w:rPr>
                <w:rFonts w:ascii="標楷體" w:hAnsi="標楷體"/>
                <w:sz w:val="24"/>
                <w:szCs w:val="24"/>
              </w:rPr>
            </w:pPr>
            <w:bookmarkStart w:id="3" w:name="_Hlk232607895"/>
            <w:r w:rsidRPr="007044E0">
              <w:rPr>
                <w:rFonts w:ascii="標楷體" w:hAnsi="標楷體" w:cs="新細明體" w:hint="eastAsia"/>
                <w:b/>
                <w:bCs/>
                <w:color w:val="000000"/>
                <w:sz w:val="24"/>
                <w:szCs w:val="24"/>
              </w:rPr>
              <w:t>表</w:t>
            </w:r>
            <w:r w:rsidR="008C1804">
              <w:rPr>
                <w:rFonts w:ascii="標楷體" w:hAnsi="標楷體" w:cs="新細明體" w:hint="eastAsia"/>
                <w:b/>
                <w:bCs/>
                <w:color w:val="000000"/>
                <w:sz w:val="24"/>
                <w:szCs w:val="24"/>
              </w:rPr>
              <w:t>3</w:t>
            </w:r>
            <w:r w:rsidR="002E6D49">
              <w:rPr>
                <w:rFonts w:ascii="標楷體" w:hAnsi="標楷體" w:cs="Arial" w:hint="eastAsia"/>
                <w:b/>
                <w:bCs/>
                <w:sz w:val="24"/>
                <w:szCs w:val="24"/>
              </w:rPr>
              <w:t xml:space="preserve">　</w:t>
            </w:r>
            <w:r w:rsidRPr="007044E0">
              <w:rPr>
                <w:rFonts w:ascii="標楷體" w:hAnsi="標楷體" w:cs="新細明體" w:hint="eastAsia"/>
                <w:b/>
                <w:bCs/>
                <w:color w:val="000000"/>
                <w:sz w:val="24"/>
                <w:szCs w:val="24"/>
              </w:rPr>
              <w:t>防止新欠清理舊欠情形</w:t>
            </w:r>
          </w:p>
        </w:tc>
      </w:tr>
      <w:tr w:rsidR="00773506" w:rsidRPr="00E556C1" w14:paraId="5779756A" w14:textId="77777777" w:rsidTr="008D2148">
        <w:trPr>
          <w:trHeight w:val="301"/>
          <w:jc w:val="center"/>
        </w:trPr>
        <w:tc>
          <w:tcPr>
            <w:tcW w:w="9309" w:type="dxa"/>
            <w:gridSpan w:val="10"/>
            <w:tcBorders>
              <w:top w:val="nil"/>
              <w:left w:val="nil"/>
              <w:bottom w:val="nil"/>
              <w:right w:val="nil"/>
            </w:tcBorders>
            <w:noWrap/>
            <w:vAlign w:val="center"/>
            <w:hideMark/>
          </w:tcPr>
          <w:p w14:paraId="3E9AE614" w14:textId="00FAD511" w:rsidR="00773506" w:rsidRPr="00E556C1" w:rsidRDefault="00773506" w:rsidP="0055175A">
            <w:pPr>
              <w:widowControl/>
              <w:spacing w:line="240" w:lineRule="exact"/>
              <w:jc w:val="right"/>
              <w:rPr>
                <w:rFonts w:ascii="標楷體" w:hAnsi="標楷體" w:cs="新細明體"/>
                <w:color w:val="000000"/>
                <w:sz w:val="20"/>
                <w:szCs w:val="20"/>
              </w:rPr>
            </w:pPr>
            <w:r w:rsidRPr="00E556C1">
              <w:rPr>
                <w:rFonts w:ascii="標楷體" w:hAnsi="標楷體" w:cs="新細明體" w:hint="eastAsia"/>
                <w:color w:val="000000"/>
                <w:sz w:val="20"/>
                <w:szCs w:val="20"/>
              </w:rPr>
              <w:t>單位：件、</w:t>
            </w:r>
            <w:r w:rsidR="00E7728A" w:rsidRPr="00E556C1">
              <w:rPr>
                <w:rFonts w:ascii="標楷體" w:hAnsi="標楷體" w:cs="新細明體" w:hint="eastAsia"/>
                <w:color w:val="000000"/>
                <w:sz w:val="20"/>
                <w:szCs w:val="20"/>
              </w:rPr>
              <w:t>新臺幣</w:t>
            </w:r>
            <w:r w:rsidRPr="00E556C1">
              <w:rPr>
                <w:rFonts w:ascii="標楷體" w:hAnsi="標楷體" w:cs="新細明體" w:hint="eastAsia"/>
                <w:color w:val="000000"/>
                <w:sz w:val="20"/>
                <w:szCs w:val="20"/>
              </w:rPr>
              <w:t xml:space="preserve">億元、％ </w:t>
            </w:r>
          </w:p>
        </w:tc>
      </w:tr>
      <w:tr w:rsidR="00773506" w:rsidRPr="00A249BB" w14:paraId="3EA49E16" w14:textId="77777777" w:rsidTr="003973A0">
        <w:trPr>
          <w:trHeight w:val="556"/>
          <w:jc w:val="center"/>
        </w:trPr>
        <w:tc>
          <w:tcPr>
            <w:tcW w:w="2450" w:type="dxa"/>
            <w:gridSpan w:val="2"/>
            <w:vMerge w:val="restart"/>
            <w:tcBorders>
              <w:top w:val="single" w:sz="4" w:space="0" w:color="auto"/>
              <w:left w:val="single" w:sz="4" w:space="0" w:color="auto"/>
              <w:right w:val="single" w:sz="4" w:space="0" w:color="auto"/>
            </w:tcBorders>
            <w:noWrap/>
            <w:vAlign w:val="center"/>
            <w:hideMark/>
          </w:tcPr>
          <w:p w14:paraId="699A4FC7" w14:textId="694B7940" w:rsidR="00773506" w:rsidRPr="007044E0" w:rsidRDefault="00773506" w:rsidP="006F2D6C">
            <w:pPr>
              <w:widowControl/>
              <w:spacing w:line="280" w:lineRule="exact"/>
              <w:jc w:val="center"/>
              <w:rPr>
                <w:rFonts w:ascii="標楷體" w:hAnsi="標楷體" w:cs="新細明體"/>
                <w:color w:val="000000"/>
                <w:sz w:val="20"/>
                <w:szCs w:val="20"/>
              </w:rPr>
            </w:pPr>
            <w:r>
              <w:rPr>
                <w:rFonts w:ascii="標楷體" w:hAnsi="標楷體" w:cs="新細明體" w:hint="eastAsia"/>
                <w:color w:val="000000"/>
                <w:sz w:val="20"/>
                <w:szCs w:val="20"/>
              </w:rPr>
              <w:t>項目</w:t>
            </w:r>
          </w:p>
        </w:tc>
        <w:tc>
          <w:tcPr>
            <w:tcW w:w="1708" w:type="dxa"/>
            <w:gridSpan w:val="2"/>
            <w:tcBorders>
              <w:top w:val="single" w:sz="4" w:space="0" w:color="auto"/>
              <w:left w:val="nil"/>
              <w:bottom w:val="single" w:sz="4" w:space="0" w:color="auto"/>
              <w:right w:val="single" w:sz="4" w:space="0" w:color="auto"/>
            </w:tcBorders>
            <w:noWrap/>
            <w:vAlign w:val="center"/>
            <w:hideMark/>
          </w:tcPr>
          <w:p w14:paraId="194A2DDC" w14:textId="710C7DCB" w:rsidR="00773506" w:rsidRPr="007044E0" w:rsidRDefault="00773506" w:rsidP="00483A75">
            <w:pPr>
              <w:widowControl/>
              <w:spacing w:line="24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1</w:t>
            </w:r>
            <w:r w:rsidRPr="007044E0">
              <w:rPr>
                <w:rFonts w:ascii="標楷體" w:hAnsi="標楷體" w:cs="新細明體" w:hint="eastAsia"/>
                <w:color w:val="000000"/>
                <w:sz w:val="20"/>
                <w:szCs w:val="20"/>
              </w:rPr>
              <w:t>年度</w:t>
            </w:r>
          </w:p>
        </w:tc>
        <w:tc>
          <w:tcPr>
            <w:tcW w:w="1721" w:type="dxa"/>
            <w:gridSpan w:val="2"/>
            <w:tcBorders>
              <w:top w:val="single" w:sz="4" w:space="0" w:color="auto"/>
              <w:left w:val="nil"/>
              <w:bottom w:val="single" w:sz="4" w:space="0" w:color="auto"/>
              <w:right w:val="single" w:sz="4" w:space="0" w:color="auto"/>
            </w:tcBorders>
            <w:noWrap/>
            <w:vAlign w:val="center"/>
            <w:hideMark/>
          </w:tcPr>
          <w:p w14:paraId="741E2821" w14:textId="0742D9E6" w:rsidR="00773506" w:rsidRPr="007044E0" w:rsidRDefault="00773506" w:rsidP="00483A75">
            <w:pPr>
              <w:widowControl/>
              <w:spacing w:line="24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2</w:t>
            </w:r>
            <w:r w:rsidRPr="007044E0">
              <w:rPr>
                <w:rFonts w:ascii="標楷體" w:hAnsi="標楷體" w:cs="新細明體" w:hint="eastAsia"/>
                <w:color w:val="000000"/>
                <w:sz w:val="20"/>
                <w:szCs w:val="20"/>
              </w:rPr>
              <w:t>年度</w:t>
            </w:r>
          </w:p>
        </w:tc>
        <w:tc>
          <w:tcPr>
            <w:tcW w:w="1722" w:type="dxa"/>
            <w:gridSpan w:val="2"/>
            <w:tcBorders>
              <w:top w:val="single" w:sz="4" w:space="0" w:color="auto"/>
              <w:left w:val="nil"/>
              <w:bottom w:val="single" w:sz="4" w:space="0" w:color="auto"/>
              <w:right w:val="single" w:sz="4" w:space="0" w:color="auto"/>
            </w:tcBorders>
            <w:noWrap/>
            <w:vAlign w:val="center"/>
            <w:hideMark/>
          </w:tcPr>
          <w:p w14:paraId="5EE8FBEF" w14:textId="2AADF77D" w:rsidR="00773506" w:rsidRPr="007044E0" w:rsidRDefault="00773506" w:rsidP="00483A75">
            <w:pPr>
              <w:widowControl/>
              <w:spacing w:line="24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3</w:t>
            </w:r>
            <w:r w:rsidRPr="007044E0">
              <w:rPr>
                <w:rFonts w:ascii="標楷體" w:hAnsi="標楷體" w:cs="新細明體" w:hint="eastAsia"/>
                <w:color w:val="000000"/>
                <w:sz w:val="20"/>
                <w:szCs w:val="20"/>
              </w:rPr>
              <w:t>年度</w:t>
            </w:r>
          </w:p>
        </w:tc>
        <w:tc>
          <w:tcPr>
            <w:tcW w:w="1708" w:type="dxa"/>
            <w:gridSpan w:val="2"/>
            <w:tcBorders>
              <w:top w:val="single" w:sz="4" w:space="0" w:color="auto"/>
              <w:left w:val="nil"/>
              <w:bottom w:val="single" w:sz="4" w:space="0" w:color="auto"/>
              <w:right w:val="single" w:sz="4" w:space="0" w:color="auto"/>
            </w:tcBorders>
            <w:noWrap/>
            <w:vAlign w:val="center"/>
            <w:hideMark/>
          </w:tcPr>
          <w:p w14:paraId="000443AB" w14:textId="6EFC5352" w:rsidR="00773506" w:rsidRPr="007044E0" w:rsidRDefault="00773506" w:rsidP="00483A75">
            <w:pPr>
              <w:widowControl/>
              <w:spacing w:line="24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11</w:t>
            </w:r>
            <w:r w:rsidR="00B706D2">
              <w:rPr>
                <w:rFonts w:ascii="標楷體" w:hAnsi="標楷體" w:cs="新細明體"/>
                <w:color w:val="000000"/>
                <w:sz w:val="20"/>
                <w:szCs w:val="20"/>
              </w:rPr>
              <w:t>4</w:t>
            </w:r>
            <w:r w:rsidRPr="007044E0">
              <w:rPr>
                <w:rFonts w:ascii="標楷體" w:hAnsi="標楷體" w:cs="新細明體" w:hint="eastAsia"/>
                <w:color w:val="000000"/>
                <w:sz w:val="20"/>
                <w:szCs w:val="20"/>
              </w:rPr>
              <w:t>年度</w:t>
            </w:r>
          </w:p>
        </w:tc>
      </w:tr>
      <w:tr w:rsidR="006F2D6C" w:rsidRPr="00A249BB" w14:paraId="04C3DF59" w14:textId="77777777" w:rsidTr="003973A0">
        <w:trPr>
          <w:trHeight w:val="570"/>
          <w:jc w:val="center"/>
        </w:trPr>
        <w:tc>
          <w:tcPr>
            <w:tcW w:w="2450" w:type="dxa"/>
            <w:gridSpan w:val="2"/>
            <w:vMerge/>
            <w:tcBorders>
              <w:left w:val="single" w:sz="4" w:space="0" w:color="auto"/>
              <w:bottom w:val="single" w:sz="4" w:space="0" w:color="auto"/>
              <w:right w:val="single" w:sz="4" w:space="0" w:color="auto"/>
            </w:tcBorders>
            <w:noWrap/>
            <w:vAlign w:val="center"/>
          </w:tcPr>
          <w:p w14:paraId="4C5176DA" w14:textId="77777777" w:rsidR="00773506" w:rsidRPr="007044E0" w:rsidRDefault="00773506" w:rsidP="006F2D6C">
            <w:pPr>
              <w:widowControl/>
              <w:spacing w:line="280" w:lineRule="exact"/>
              <w:jc w:val="center"/>
              <w:rPr>
                <w:rFonts w:ascii="標楷體" w:hAnsi="標楷體" w:cs="新細明體"/>
                <w:color w:val="000000"/>
                <w:sz w:val="20"/>
                <w:szCs w:val="20"/>
              </w:rPr>
            </w:pPr>
          </w:p>
        </w:tc>
        <w:tc>
          <w:tcPr>
            <w:tcW w:w="1008" w:type="dxa"/>
            <w:tcBorders>
              <w:top w:val="single" w:sz="4" w:space="0" w:color="auto"/>
              <w:left w:val="nil"/>
              <w:bottom w:val="single" w:sz="4" w:space="0" w:color="auto"/>
              <w:right w:val="single" w:sz="4" w:space="0" w:color="auto"/>
            </w:tcBorders>
            <w:noWrap/>
            <w:vAlign w:val="center"/>
          </w:tcPr>
          <w:p w14:paraId="6C496E1F"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00" w:type="dxa"/>
            <w:tcBorders>
              <w:top w:val="single" w:sz="4" w:space="0" w:color="auto"/>
              <w:left w:val="nil"/>
              <w:bottom w:val="single" w:sz="4" w:space="0" w:color="auto"/>
              <w:right w:val="single" w:sz="4" w:space="0" w:color="auto"/>
            </w:tcBorders>
            <w:vAlign w:val="center"/>
          </w:tcPr>
          <w:p w14:paraId="58128ECD"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08" w:type="dxa"/>
            <w:tcBorders>
              <w:top w:val="single" w:sz="4" w:space="0" w:color="auto"/>
              <w:left w:val="nil"/>
              <w:bottom w:val="single" w:sz="4" w:space="0" w:color="auto"/>
              <w:right w:val="single" w:sz="4" w:space="0" w:color="auto"/>
            </w:tcBorders>
            <w:noWrap/>
            <w:vAlign w:val="center"/>
          </w:tcPr>
          <w:p w14:paraId="5AFD2BE8"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13" w:type="dxa"/>
            <w:tcBorders>
              <w:top w:val="single" w:sz="4" w:space="0" w:color="auto"/>
              <w:left w:val="nil"/>
              <w:bottom w:val="single" w:sz="4" w:space="0" w:color="auto"/>
              <w:right w:val="single" w:sz="4" w:space="0" w:color="auto"/>
            </w:tcBorders>
            <w:vAlign w:val="center"/>
          </w:tcPr>
          <w:p w14:paraId="3D8A5087"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08" w:type="dxa"/>
            <w:tcBorders>
              <w:top w:val="single" w:sz="4" w:space="0" w:color="auto"/>
              <w:left w:val="nil"/>
              <w:bottom w:val="single" w:sz="4" w:space="0" w:color="auto"/>
              <w:right w:val="single" w:sz="4" w:space="0" w:color="auto"/>
            </w:tcBorders>
            <w:noWrap/>
            <w:vAlign w:val="center"/>
          </w:tcPr>
          <w:p w14:paraId="7E401E6F"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714" w:type="dxa"/>
            <w:tcBorders>
              <w:top w:val="single" w:sz="4" w:space="0" w:color="auto"/>
              <w:left w:val="nil"/>
              <w:bottom w:val="single" w:sz="4" w:space="0" w:color="auto"/>
              <w:right w:val="single" w:sz="4" w:space="0" w:color="auto"/>
            </w:tcBorders>
            <w:vAlign w:val="center"/>
          </w:tcPr>
          <w:p w14:paraId="7CDC8EE4"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c>
          <w:tcPr>
            <w:tcW w:w="1050" w:type="dxa"/>
            <w:tcBorders>
              <w:top w:val="single" w:sz="4" w:space="0" w:color="auto"/>
              <w:left w:val="nil"/>
              <w:bottom w:val="single" w:sz="4" w:space="0" w:color="auto"/>
              <w:right w:val="single" w:sz="4" w:space="0" w:color="auto"/>
            </w:tcBorders>
            <w:noWrap/>
            <w:vAlign w:val="center"/>
          </w:tcPr>
          <w:p w14:paraId="3462C9B9"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件數</w:t>
            </w:r>
          </w:p>
        </w:tc>
        <w:tc>
          <w:tcPr>
            <w:tcW w:w="658" w:type="dxa"/>
            <w:tcBorders>
              <w:top w:val="single" w:sz="4" w:space="0" w:color="auto"/>
              <w:left w:val="nil"/>
              <w:bottom w:val="single" w:sz="4" w:space="0" w:color="auto"/>
              <w:right w:val="single" w:sz="4" w:space="0" w:color="auto"/>
            </w:tcBorders>
            <w:vAlign w:val="center"/>
          </w:tcPr>
          <w:p w14:paraId="4CE192A7" w14:textId="77777777" w:rsidR="00773506" w:rsidRPr="007044E0" w:rsidRDefault="00773506" w:rsidP="006F2D6C">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金額</w:t>
            </w:r>
          </w:p>
        </w:tc>
      </w:tr>
      <w:tr w:rsidR="00B706D2" w:rsidRPr="00A249BB" w14:paraId="4315D910" w14:textId="77777777" w:rsidTr="003973A0">
        <w:trPr>
          <w:trHeight w:val="510"/>
          <w:jc w:val="center"/>
        </w:trPr>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695C022A" w14:textId="77777777"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新欠</w:t>
            </w:r>
          </w:p>
          <w:p w14:paraId="31D2382B" w14:textId="349446B2" w:rsidR="00B706D2" w:rsidRDefault="00123F14" w:rsidP="00B706D2">
            <w:pPr>
              <w:widowControl/>
              <w:spacing w:line="28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00B706D2" w:rsidRPr="007044E0">
              <w:rPr>
                <w:rFonts w:ascii="標楷體" w:hAnsi="標楷體" w:cs="新細明體" w:hint="eastAsia"/>
                <w:color w:val="000000"/>
                <w:sz w:val="20"/>
                <w:szCs w:val="20"/>
              </w:rPr>
              <w:t>當年</w:t>
            </w:r>
          </w:p>
          <w:p w14:paraId="09CC053D" w14:textId="7EA652D5"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度</w:t>
            </w:r>
            <w:r w:rsidR="00123F14">
              <w:rPr>
                <w:rFonts w:ascii="標楷體" w:hAnsi="標楷體" w:cs="新細明體"/>
                <w:color w:val="000000"/>
                <w:sz w:val="20"/>
                <w:szCs w:val="20"/>
              </w:rPr>
              <w:t>）</w:t>
            </w:r>
          </w:p>
        </w:tc>
        <w:tc>
          <w:tcPr>
            <w:tcW w:w="1680" w:type="dxa"/>
            <w:tcBorders>
              <w:top w:val="single" w:sz="4" w:space="0" w:color="auto"/>
              <w:left w:val="nil"/>
              <w:bottom w:val="single" w:sz="4" w:space="0" w:color="auto"/>
              <w:right w:val="single" w:sz="4" w:space="0" w:color="auto"/>
            </w:tcBorders>
            <w:noWrap/>
            <w:vAlign w:val="center"/>
            <w:hideMark/>
          </w:tcPr>
          <w:p w14:paraId="72F1B1ED" w14:textId="0FD8770C"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查定淨數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A</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3D43B6DA" w14:textId="1CA5889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3,412,954</w:t>
            </w:r>
          </w:p>
        </w:tc>
        <w:tc>
          <w:tcPr>
            <w:tcW w:w="700" w:type="dxa"/>
            <w:tcBorders>
              <w:top w:val="single" w:sz="4" w:space="0" w:color="auto"/>
              <w:left w:val="nil"/>
              <w:bottom w:val="single" w:sz="4" w:space="0" w:color="auto"/>
              <w:right w:val="single" w:sz="4" w:space="0" w:color="auto"/>
            </w:tcBorders>
            <w:vAlign w:val="center"/>
          </w:tcPr>
          <w:p w14:paraId="69CA9672" w14:textId="06F9E29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451</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57</w:t>
            </w:r>
          </w:p>
        </w:tc>
        <w:tc>
          <w:tcPr>
            <w:tcW w:w="1008" w:type="dxa"/>
            <w:tcBorders>
              <w:top w:val="single" w:sz="4" w:space="0" w:color="auto"/>
              <w:left w:val="nil"/>
              <w:bottom w:val="single" w:sz="4" w:space="0" w:color="auto"/>
              <w:right w:val="single" w:sz="4" w:space="0" w:color="auto"/>
            </w:tcBorders>
            <w:noWrap/>
            <w:vAlign w:val="center"/>
            <w:hideMark/>
          </w:tcPr>
          <w:p w14:paraId="1BFA77AC" w14:textId="2F47B2B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3,564,414</w:t>
            </w:r>
          </w:p>
        </w:tc>
        <w:tc>
          <w:tcPr>
            <w:tcW w:w="713" w:type="dxa"/>
            <w:tcBorders>
              <w:top w:val="single" w:sz="4" w:space="0" w:color="auto"/>
              <w:left w:val="nil"/>
              <w:bottom w:val="single" w:sz="4" w:space="0" w:color="auto"/>
              <w:right w:val="single" w:sz="4" w:space="0" w:color="auto"/>
            </w:tcBorders>
            <w:vAlign w:val="center"/>
          </w:tcPr>
          <w:p w14:paraId="72CDB64E" w14:textId="262D9F9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429</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58</w:t>
            </w:r>
          </w:p>
        </w:tc>
        <w:tc>
          <w:tcPr>
            <w:tcW w:w="1008" w:type="dxa"/>
            <w:tcBorders>
              <w:top w:val="single" w:sz="4" w:space="0" w:color="auto"/>
              <w:left w:val="nil"/>
              <w:bottom w:val="single" w:sz="4" w:space="0" w:color="auto"/>
              <w:right w:val="single" w:sz="4" w:space="0" w:color="auto"/>
            </w:tcBorders>
            <w:noWrap/>
            <w:vAlign w:val="center"/>
            <w:hideMark/>
          </w:tcPr>
          <w:p w14:paraId="58D7D0B6" w14:textId="6756A4B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3,584,642</w:t>
            </w:r>
          </w:p>
        </w:tc>
        <w:tc>
          <w:tcPr>
            <w:tcW w:w="714" w:type="dxa"/>
            <w:tcBorders>
              <w:top w:val="single" w:sz="4" w:space="0" w:color="auto"/>
              <w:left w:val="nil"/>
              <w:bottom w:val="single" w:sz="4" w:space="0" w:color="auto"/>
              <w:right w:val="single" w:sz="4" w:space="0" w:color="auto"/>
            </w:tcBorders>
            <w:vAlign w:val="center"/>
          </w:tcPr>
          <w:p w14:paraId="6A6EB20D" w14:textId="57D1D5E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477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19</w:t>
            </w:r>
          </w:p>
        </w:tc>
        <w:tc>
          <w:tcPr>
            <w:tcW w:w="1050" w:type="dxa"/>
            <w:tcBorders>
              <w:top w:val="single" w:sz="4" w:space="0" w:color="auto"/>
              <w:left w:val="nil"/>
              <w:bottom w:val="single" w:sz="4" w:space="0" w:color="auto"/>
              <w:right w:val="single" w:sz="4" w:space="0" w:color="auto"/>
            </w:tcBorders>
            <w:noWrap/>
            <w:vAlign w:val="center"/>
            <w:hideMark/>
          </w:tcPr>
          <w:p w14:paraId="33B1980E" w14:textId="14C8DD3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3,506,477</w:t>
            </w:r>
          </w:p>
        </w:tc>
        <w:tc>
          <w:tcPr>
            <w:tcW w:w="658" w:type="dxa"/>
            <w:tcBorders>
              <w:top w:val="single" w:sz="4" w:space="0" w:color="auto"/>
              <w:left w:val="nil"/>
              <w:bottom w:val="single" w:sz="4" w:space="0" w:color="auto"/>
              <w:right w:val="single" w:sz="4" w:space="0" w:color="auto"/>
            </w:tcBorders>
            <w:vAlign w:val="center"/>
          </w:tcPr>
          <w:p w14:paraId="3F232A2D" w14:textId="0EF0DA1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05</w:t>
            </w:r>
          </w:p>
        </w:tc>
      </w:tr>
      <w:tr w:rsidR="00B706D2" w:rsidRPr="00A249BB" w14:paraId="57966887"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3835170D"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noWrap/>
            <w:vAlign w:val="center"/>
            <w:hideMark/>
          </w:tcPr>
          <w:p w14:paraId="67C21833" w14:textId="20E78C3C"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徵起數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B</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1C274B80" w14:textId="46CD231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3,335,681</w:t>
            </w:r>
          </w:p>
        </w:tc>
        <w:tc>
          <w:tcPr>
            <w:tcW w:w="700" w:type="dxa"/>
            <w:tcBorders>
              <w:top w:val="single" w:sz="4" w:space="0" w:color="auto"/>
              <w:left w:val="nil"/>
              <w:bottom w:val="single" w:sz="4" w:space="0" w:color="auto"/>
              <w:right w:val="single" w:sz="4" w:space="0" w:color="auto"/>
            </w:tcBorders>
            <w:vAlign w:val="center"/>
          </w:tcPr>
          <w:p w14:paraId="2A88215A" w14:textId="6764DB68"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443</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29</w:t>
            </w:r>
          </w:p>
        </w:tc>
        <w:tc>
          <w:tcPr>
            <w:tcW w:w="1008" w:type="dxa"/>
            <w:tcBorders>
              <w:top w:val="single" w:sz="4" w:space="0" w:color="auto"/>
              <w:left w:val="nil"/>
              <w:bottom w:val="single" w:sz="4" w:space="0" w:color="auto"/>
              <w:right w:val="single" w:sz="4" w:space="0" w:color="auto"/>
            </w:tcBorders>
            <w:noWrap/>
            <w:vAlign w:val="center"/>
            <w:hideMark/>
          </w:tcPr>
          <w:p w14:paraId="437447D8" w14:textId="318A9EE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3,483,391</w:t>
            </w:r>
          </w:p>
        </w:tc>
        <w:tc>
          <w:tcPr>
            <w:tcW w:w="713" w:type="dxa"/>
            <w:tcBorders>
              <w:top w:val="single" w:sz="4" w:space="0" w:color="auto"/>
              <w:left w:val="nil"/>
              <w:bottom w:val="single" w:sz="4" w:space="0" w:color="auto"/>
              <w:right w:val="single" w:sz="4" w:space="0" w:color="auto"/>
            </w:tcBorders>
            <w:vAlign w:val="center"/>
          </w:tcPr>
          <w:p w14:paraId="5EF5149D" w14:textId="4C34300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41</w:t>
            </w:r>
          </w:p>
        </w:tc>
        <w:tc>
          <w:tcPr>
            <w:tcW w:w="1008" w:type="dxa"/>
            <w:tcBorders>
              <w:top w:val="single" w:sz="4" w:space="0" w:color="auto"/>
              <w:left w:val="nil"/>
              <w:bottom w:val="single" w:sz="4" w:space="0" w:color="auto"/>
              <w:right w:val="single" w:sz="4" w:space="0" w:color="auto"/>
            </w:tcBorders>
            <w:noWrap/>
            <w:vAlign w:val="center"/>
            <w:hideMark/>
          </w:tcPr>
          <w:p w14:paraId="7B24C17E" w14:textId="64270BE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3,501,374</w:t>
            </w:r>
          </w:p>
        </w:tc>
        <w:tc>
          <w:tcPr>
            <w:tcW w:w="714" w:type="dxa"/>
            <w:tcBorders>
              <w:top w:val="single" w:sz="4" w:space="0" w:color="auto"/>
              <w:left w:val="nil"/>
              <w:bottom w:val="single" w:sz="4" w:space="0" w:color="auto"/>
              <w:right w:val="single" w:sz="4" w:space="0" w:color="auto"/>
            </w:tcBorders>
            <w:vAlign w:val="center"/>
          </w:tcPr>
          <w:p w14:paraId="4C2005A5" w14:textId="47032E5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470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71</w:t>
            </w:r>
          </w:p>
        </w:tc>
        <w:tc>
          <w:tcPr>
            <w:tcW w:w="1050" w:type="dxa"/>
            <w:tcBorders>
              <w:top w:val="single" w:sz="4" w:space="0" w:color="auto"/>
              <w:left w:val="nil"/>
              <w:bottom w:val="single" w:sz="4" w:space="0" w:color="auto"/>
              <w:right w:val="single" w:sz="4" w:space="0" w:color="auto"/>
            </w:tcBorders>
            <w:noWrap/>
            <w:vAlign w:val="center"/>
            <w:hideMark/>
          </w:tcPr>
          <w:p w14:paraId="038562FC" w14:textId="70516403"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3,415,481</w:t>
            </w:r>
          </w:p>
        </w:tc>
        <w:tc>
          <w:tcPr>
            <w:tcW w:w="658" w:type="dxa"/>
            <w:tcBorders>
              <w:top w:val="single" w:sz="4" w:space="0" w:color="auto"/>
              <w:left w:val="nil"/>
              <w:bottom w:val="single" w:sz="4" w:space="0" w:color="auto"/>
              <w:right w:val="single" w:sz="4" w:space="0" w:color="auto"/>
            </w:tcBorders>
            <w:vAlign w:val="center"/>
          </w:tcPr>
          <w:p w14:paraId="2F33216F" w14:textId="4E4A36B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417</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21</w:t>
            </w:r>
          </w:p>
        </w:tc>
      </w:tr>
      <w:tr w:rsidR="00B706D2" w:rsidRPr="00A249BB" w14:paraId="5EB5CFFC"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4034EEA4"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noWrap/>
            <w:vAlign w:val="center"/>
            <w:hideMark/>
          </w:tcPr>
          <w:p w14:paraId="49B3DD1F" w14:textId="687E300B" w:rsidR="00B706D2" w:rsidRPr="007044E0" w:rsidRDefault="00B706D2" w:rsidP="00B706D2">
            <w:pPr>
              <w:widowControl/>
              <w:spacing w:line="280" w:lineRule="exact"/>
              <w:rPr>
                <w:rFonts w:ascii="標楷體" w:eastAsia="新細明體" w:hAnsi="標楷體" w:cs="新細明體"/>
                <w:color w:val="000000"/>
                <w:sz w:val="20"/>
                <w:szCs w:val="20"/>
              </w:rPr>
            </w:pPr>
            <w:r w:rsidRPr="007044E0">
              <w:rPr>
                <w:rFonts w:ascii="標楷體" w:hAnsi="標楷體" w:cs="新細明體" w:hint="eastAsia"/>
                <w:color w:val="000000"/>
                <w:sz w:val="20"/>
                <w:szCs w:val="20"/>
              </w:rPr>
              <w:t>徵起率</w:t>
            </w:r>
            <w:r w:rsidR="00123F14" w:rsidRPr="00123F14">
              <w:rPr>
                <w:rFonts w:ascii="標楷體" w:hAnsi="標楷體" w:cs="新細明體" w:hint="eastAsia"/>
                <w:color w:val="000000"/>
                <w:spacing w:val="-8"/>
                <w:sz w:val="20"/>
                <w:szCs w:val="20"/>
              </w:rPr>
              <w:t>（</w:t>
            </w:r>
            <w:r w:rsidRPr="00123F14">
              <w:rPr>
                <w:rFonts w:ascii="標楷體" w:hAnsi="標楷體" w:cs="新細明體"/>
                <w:color w:val="000000"/>
                <w:spacing w:val="-8"/>
                <w:sz w:val="20"/>
                <w:szCs w:val="20"/>
              </w:rPr>
              <w:t>B/A</w:t>
            </w:r>
            <w:r w:rsidRPr="00123F14">
              <w:rPr>
                <w:rFonts w:ascii="標楷體" w:hAnsi="標楷體" w:cs="新細明體" w:hint="eastAsia"/>
                <w:color w:val="000000"/>
                <w:spacing w:val="-8"/>
                <w:sz w:val="20"/>
                <w:szCs w:val="20"/>
              </w:rPr>
              <w:t>×100</w:t>
            </w:r>
            <w:r w:rsidR="00123F14" w:rsidRPr="00123F14">
              <w:rPr>
                <w:rFonts w:ascii="標楷體" w:hAnsi="標楷體" w:cs="新細明體"/>
                <w:color w:val="000000"/>
                <w:spacing w:val="-8"/>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1436DC69" w14:textId="3786D7C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97.74</w:t>
            </w:r>
          </w:p>
        </w:tc>
        <w:tc>
          <w:tcPr>
            <w:tcW w:w="700" w:type="dxa"/>
            <w:tcBorders>
              <w:top w:val="single" w:sz="4" w:space="0" w:color="auto"/>
              <w:left w:val="nil"/>
              <w:bottom w:val="single" w:sz="4" w:space="0" w:color="auto"/>
              <w:right w:val="single" w:sz="4" w:space="0" w:color="auto"/>
            </w:tcBorders>
            <w:vAlign w:val="center"/>
          </w:tcPr>
          <w:p w14:paraId="17B25C13" w14:textId="5BC00B86"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98.17</w:t>
            </w:r>
          </w:p>
        </w:tc>
        <w:tc>
          <w:tcPr>
            <w:tcW w:w="1008" w:type="dxa"/>
            <w:tcBorders>
              <w:top w:val="single" w:sz="4" w:space="0" w:color="auto"/>
              <w:left w:val="nil"/>
              <w:bottom w:val="single" w:sz="4" w:space="0" w:color="auto"/>
              <w:right w:val="single" w:sz="4" w:space="0" w:color="auto"/>
            </w:tcBorders>
            <w:noWrap/>
            <w:vAlign w:val="center"/>
            <w:hideMark/>
          </w:tcPr>
          <w:p w14:paraId="3082F3A9" w14:textId="105B7A5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97.73</w:t>
            </w:r>
          </w:p>
        </w:tc>
        <w:tc>
          <w:tcPr>
            <w:tcW w:w="713" w:type="dxa"/>
            <w:tcBorders>
              <w:top w:val="single" w:sz="4" w:space="0" w:color="auto"/>
              <w:left w:val="nil"/>
              <w:bottom w:val="single" w:sz="4" w:space="0" w:color="auto"/>
              <w:right w:val="single" w:sz="4" w:space="0" w:color="auto"/>
            </w:tcBorders>
            <w:vAlign w:val="center"/>
          </w:tcPr>
          <w:p w14:paraId="2ACA5B0F" w14:textId="07F54D9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97.87</w:t>
            </w:r>
          </w:p>
        </w:tc>
        <w:tc>
          <w:tcPr>
            <w:tcW w:w="1008" w:type="dxa"/>
            <w:tcBorders>
              <w:top w:val="single" w:sz="4" w:space="0" w:color="auto"/>
              <w:left w:val="nil"/>
              <w:bottom w:val="single" w:sz="4" w:space="0" w:color="auto"/>
              <w:right w:val="single" w:sz="4" w:space="0" w:color="auto"/>
            </w:tcBorders>
            <w:noWrap/>
            <w:vAlign w:val="center"/>
            <w:hideMark/>
          </w:tcPr>
          <w:p w14:paraId="30141EEC" w14:textId="62C7AB9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97.68</w:t>
            </w:r>
          </w:p>
        </w:tc>
        <w:tc>
          <w:tcPr>
            <w:tcW w:w="714" w:type="dxa"/>
            <w:tcBorders>
              <w:top w:val="single" w:sz="4" w:space="0" w:color="auto"/>
              <w:left w:val="nil"/>
              <w:bottom w:val="single" w:sz="4" w:space="0" w:color="auto"/>
              <w:right w:val="single" w:sz="4" w:space="0" w:color="auto"/>
            </w:tcBorders>
            <w:vAlign w:val="center"/>
          </w:tcPr>
          <w:p w14:paraId="0EF320B9" w14:textId="5CD7053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98.64</w:t>
            </w:r>
          </w:p>
        </w:tc>
        <w:tc>
          <w:tcPr>
            <w:tcW w:w="1050" w:type="dxa"/>
            <w:tcBorders>
              <w:top w:val="single" w:sz="4" w:space="0" w:color="auto"/>
              <w:left w:val="nil"/>
              <w:bottom w:val="single" w:sz="4" w:space="0" w:color="auto"/>
              <w:right w:val="single" w:sz="4" w:space="0" w:color="auto"/>
            </w:tcBorders>
            <w:noWrap/>
            <w:vAlign w:val="center"/>
            <w:hideMark/>
          </w:tcPr>
          <w:p w14:paraId="203B1CA5" w14:textId="6E1E74C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97.40</w:t>
            </w:r>
          </w:p>
        </w:tc>
        <w:tc>
          <w:tcPr>
            <w:tcW w:w="658" w:type="dxa"/>
            <w:tcBorders>
              <w:top w:val="single" w:sz="4" w:space="0" w:color="auto"/>
              <w:left w:val="nil"/>
              <w:bottom w:val="single" w:sz="4" w:space="0" w:color="auto"/>
              <w:right w:val="single" w:sz="4" w:space="0" w:color="auto"/>
            </w:tcBorders>
            <w:vAlign w:val="center"/>
          </w:tcPr>
          <w:p w14:paraId="16C6ABB4" w14:textId="7FE6ABD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97.70</w:t>
            </w:r>
          </w:p>
        </w:tc>
      </w:tr>
      <w:tr w:rsidR="00B706D2" w:rsidRPr="00A249BB" w14:paraId="6D89A9C5" w14:textId="77777777" w:rsidTr="003973A0">
        <w:trPr>
          <w:trHeight w:val="510"/>
          <w:jc w:val="center"/>
        </w:trPr>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7FF8EE34" w14:textId="77777777"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舊欠</w:t>
            </w:r>
          </w:p>
          <w:p w14:paraId="0BD7442B" w14:textId="0AFD7274" w:rsidR="00B706D2" w:rsidRPr="007044E0" w:rsidRDefault="00123F14" w:rsidP="00B706D2">
            <w:pPr>
              <w:widowControl/>
              <w:spacing w:line="280" w:lineRule="exact"/>
              <w:jc w:val="center"/>
              <w:rPr>
                <w:rFonts w:ascii="標楷體" w:hAnsi="標楷體" w:cs="新細明體"/>
                <w:color w:val="000000"/>
                <w:sz w:val="20"/>
                <w:szCs w:val="20"/>
              </w:rPr>
            </w:pPr>
            <w:r>
              <w:rPr>
                <w:rFonts w:ascii="標楷體" w:hAnsi="標楷體" w:cs="新細明體" w:hint="eastAsia"/>
                <w:color w:val="000000"/>
                <w:sz w:val="20"/>
                <w:szCs w:val="20"/>
              </w:rPr>
              <w:t>（</w:t>
            </w:r>
            <w:r w:rsidR="00B706D2" w:rsidRPr="007044E0">
              <w:rPr>
                <w:rFonts w:ascii="標楷體" w:hAnsi="標楷體" w:cs="新細明體" w:hint="eastAsia"/>
                <w:color w:val="000000"/>
                <w:sz w:val="20"/>
                <w:szCs w:val="20"/>
              </w:rPr>
              <w:t>以前</w:t>
            </w:r>
          </w:p>
          <w:p w14:paraId="5C5EE216" w14:textId="2099F3AF" w:rsidR="00B706D2" w:rsidRPr="007044E0" w:rsidRDefault="00B706D2" w:rsidP="00B706D2">
            <w:pPr>
              <w:widowControl/>
              <w:spacing w:line="280" w:lineRule="exact"/>
              <w:jc w:val="center"/>
              <w:rPr>
                <w:rFonts w:ascii="標楷體" w:hAnsi="標楷體" w:cs="新細明體"/>
                <w:color w:val="000000"/>
                <w:sz w:val="20"/>
                <w:szCs w:val="20"/>
              </w:rPr>
            </w:pPr>
            <w:r w:rsidRPr="007044E0">
              <w:rPr>
                <w:rFonts w:ascii="標楷體" w:hAnsi="標楷體" w:cs="新細明體" w:hint="eastAsia"/>
                <w:color w:val="000000"/>
                <w:sz w:val="20"/>
                <w:szCs w:val="20"/>
              </w:rPr>
              <w:t>年度</w:t>
            </w:r>
            <w:r w:rsidR="00123F14">
              <w:rPr>
                <w:rFonts w:ascii="標楷體" w:hAnsi="標楷體" w:cs="新細明體"/>
                <w:color w:val="000000"/>
                <w:sz w:val="20"/>
                <w:szCs w:val="20"/>
              </w:rPr>
              <w:t>）</w:t>
            </w:r>
          </w:p>
        </w:tc>
        <w:tc>
          <w:tcPr>
            <w:tcW w:w="1680" w:type="dxa"/>
            <w:tcBorders>
              <w:top w:val="single" w:sz="4" w:space="0" w:color="auto"/>
              <w:left w:val="nil"/>
              <w:bottom w:val="single" w:sz="4" w:space="0" w:color="auto"/>
              <w:right w:val="single" w:sz="4" w:space="0" w:color="auto"/>
            </w:tcBorders>
            <w:noWrap/>
            <w:vAlign w:val="center"/>
            <w:hideMark/>
          </w:tcPr>
          <w:p w14:paraId="3F14563C" w14:textId="50DDC368"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應清理數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C</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0A3D1963" w14:textId="643B2BFB"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428,906</w:t>
            </w:r>
          </w:p>
        </w:tc>
        <w:tc>
          <w:tcPr>
            <w:tcW w:w="700" w:type="dxa"/>
            <w:tcBorders>
              <w:top w:val="single" w:sz="4" w:space="0" w:color="auto"/>
              <w:left w:val="nil"/>
              <w:bottom w:val="single" w:sz="4" w:space="0" w:color="auto"/>
              <w:right w:val="single" w:sz="4" w:space="0" w:color="auto"/>
            </w:tcBorders>
            <w:vAlign w:val="center"/>
          </w:tcPr>
          <w:p w14:paraId="6503996B" w14:textId="73C18D8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45</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52</w:t>
            </w:r>
          </w:p>
        </w:tc>
        <w:tc>
          <w:tcPr>
            <w:tcW w:w="1008" w:type="dxa"/>
            <w:tcBorders>
              <w:top w:val="single" w:sz="4" w:space="0" w:color="auto"/>
              <w:left w:val="nil"/>
              <w:bottom w:val="single" w:sz="4" w:space="0" w:color="auto"/>
              <w:right w:val="single" w:sz="4" w:space="0" w:color="auto"/>
            </w:tcBorders>
            <w:noWrap/>
            <w:vAlign w:val="center"/>
            <w:hideMark/>
          </w:tcPr>
          <w:p w14:paraId="56218F63" w14:textId="720A3DA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422,735</w:t>
            </w:r>
          </w:p>
        </w:tc>
        <w:tc>
          <w:tcPr>
            <w:tcW w:w="713" w:type="dxa"/>
            <w:tcBorders>
              <w:top w:val="single" w:sz="4" w:space="0" w:color="auto"/>
              <w:left w:val="nil"/>
              <w:bottom w:val="single" w:sz="4" w:space="0" w:color="auto"/>
              <w:right w:val="single" w:sz="4" w:space="0" w:color="auto"/>
            </w:tcBorders>
            <w:vAlign w:val="center"/>
          </w:tcPr>
          <w:p w14:paraId="6086A9EC" w14:textId="235508D8"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80</w:t>
            </w:r>
          </w:p>
        </w:tc>
        <w:tc>
          <w:tcPr>
            <w:tcW w:w="1008" w:type="dxa"/>
            <w:tcBorders>
              <w:top w:val="single" w:sz="4" w:space="0" w:color="auto"/>
              <w:left w:val="nil"/>
              <w:bottom w:val="single" w:sz="4" w:space="0" w:color="auto"/>
              <w:right w:val="single" w:sz="4" w:space="0" w:color="auto"/>
            </w:tcBorders>
            <w:noWrap/>
            <w:vAlign w:val="center"/>
            <w:hideMark/>
          </w:tcPr>
          <w:p w14:paraId="29319E39" w14:textId="210C115F"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438,242</w:t>
            </w:r>
          </w:p>
        </w:tc>
        <w:tc>
          <w:tcPr>
            <w:tcW w:w="714" w:type="dxa"/>
            <w:tcBorders>
              <w:top w:val="single" w:sz="4" w:space="0" w:color="auto"/>
              <w:left w:val="nil"/>
              <w:bottom w:val="single" w:sz="4" w:space="0" w:color="auto"/>
              <w:right w:val="single" w:sz="4" w:space="0" w:color="auto"/>
            </w:tcBorders>
            <w:vAlign w:val="center"/>
          </w:tcPr>
          <w:p w14:paraId="6F8FC23A" w14:textId="01221D8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41</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04</w:t>
            </w:r>
          </w:p>
        </w:tc>
        <w:tc>
          <w:tcPr>
            <w:tcW w:w="1050" w:type="dxa"/>
            <w:tcBorders>
              <w:top w:val="single" w:sz="4" w:space="0" w:color="auto"/>
              <w:left w:val="nil"/>
              <w:bottom w:val="single" w:sz="4" w:space="0" w:color="auto"/>
              <w:right w:val="single" w:sz="4" w:space="0" w:color="auto"/>
            </w:tcBorders>
            <w:noWrap/>
            <w:vAlign w:val="center"/>
            <w:hideMark/>
          </w:tcPr>
          <w:p w14:paraId="791B1CE2" w14:textId="0ED823BC"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442,236</w:t>
            </w:r>
          </w:p>
        </w:tc>
        <w:tc>
          <w:tcPr>
            <w:tcW w:w="658" w:type="dxa"/>
            <w:tcBorders>
              <w:top w:val="single" w:sz="4" w:space="0" w:color="auto"/>
              <w:left w:val="nil"/>
              <w:bottom w:val="single" w:sz="4" w:space="0" w:color="auto"/>
              <w:right w:val="single" w:sz="4" w:space="0" w:color="auto"/>
            </w:tcBorders>
            <w:vAlign w:val="center"/>
          </w:tcPr>
          <w:p w14:paraId="20300702" w14:textId="60EA18A0"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40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42</w:t>
            </w:r>
          </w:p>
        </w:tc>
      </w:tr>
      <w:tr w:rsidR="00B706D2" w:rsidRPr="00A249BB" w14:paraId="4A635E01"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5542E6CC"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noWrap/>
            <w:vAlign w:val="center"/>
            <w:hideMark/>
          </w:tcPr>
          <w:p w14:paraId="029D003F" w14:textId="628F01D8"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徵起數</w:t>
            </w:r>
            <w:r w:rsidR="00123F14">
              <w:rPr>
                <w:rFonts w:ascii="標楷體" w:hAnsi="標楷體" w:cs="新細明體" w:hint="eastAsia"/>
                <w:color w:val="000000"/>
                <w:sz w:val="20"/>
                <w:szCs w:val="20"/>
              </w:rPr>
              <w:t>（</w:t>
            </w:r>
            <w:r w:rsidRPr="007044E0">
              <w:rPr>
                <w:rFonts w:ascii="標楷體" w:hAnsi="標楷體" w:cs="新細明體"/>
                <w:color w:val="000000"/>
                <w:sz w:val="20"/>
                <w:szCs w:val="20"/>
              </w:rPr>
              <w:t>D</w:t>
            </w:r>
            <w:r w:rsidR="00123F14">
              <w:rPr>
                <w:rFonts w:ascii="標楷體" w:hAnsi="標楷體" w:cs="新細明體"/>
                <w:color w:val="000000"/>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5C1F2616" w14:textId="34B5190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133,792</w:t>
            </w:r>
          </w:p>
        </w:tc>
        <w:tc>
          <w:tcPr>
            <w:tcW w:w="700" w:type="dxa"/>
            <w:tcBorders>
              <w:top w:val="single" w:sz="4" w:space="0" w:color="auto"/>
              <w:left w:val="nil"/>
              <w:bottom w:val="single" w:sz="4" w:space="0" w:color="auto"/>
              <w:right w:val="single" w:sz="4" w:space="0" w:color="auto"/>
            </w:tcBorders>
            <w:vAlign w:val="center"/>
          </w:tcPr>
          <w:p w14:paraId="3204F27C" w14:textId="652FB54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14</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09</w:t>
            </w:r>
          </w:p>
        </w:tc>
        <w:tc>
          <w:tcPr>
            <w:tcW w:w="1008" w:type="dxa"/>
            <w:tcBorders>
              <w:top w:val="single" w:sz="4" w:space="0" w:color="auto"/>
              <w:left w:val="nil"/>
              <w:bottom w:val="single" w:sz="4" w:space="0" w:color="auto"/>
              <w:right w:val="single" w:sz="4" w:space="0" w:color="auto"/>
            </w:tcBorders>
            <w:noWrap/>
            <w:vAlign w:val="center"/>
            <w:hideMark/>
          </w:tcPr>
          <w:p w14:paraId="02D75D63" w14:textId="2820665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121,826</w:t>
            </w:r>
          </w:p>
        </w:tc>
        <w:tc>
          <w:tcPr>
            <w:tcW w:w="713" w:type="dxa"/>
            <w:tcBorders>
              <w:top w:val="single" w:sz="4" w:space="0" w:color="auto"/>
              <w:left w:val="nil"/>
              <w:bottom w:val="single" w:sz="4" w:space="0" w:color="auto"/>
              <w:right w:val="single" w:sz="4" w:space="0" w:color="auto"/>
            </w:tcBorders>
            <w:vAlign w:val="center"/>
          </w:tcPr>
          <w:p w14:paraId="1B264661" w14:textId="32038405"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49</w:t>
            </w:r>
          </w:p>
        </w:tc>
        <w:tc>
          <w:tcPr>
            <w:tcW w:w="1008" w:type="dxa"/>
            <w:tcBorders>
              <w:top w:val="single" w:sz="4" w:space="0" w:color="auto"/>
              <w:left w:val="nil"/>
              <w:bottom w:val="single" w:sz="4" w:space="0" w:color="auto"/>
              <w:right w:val="single" w:sz="4" w:space="0" w:color="auto"/>
            </w:tcBorders>
            <w:noWrap/>
            <w:vAlign w:val="center"/>
            <w:hideMark/>
          </w:tcPr>
          <w:p w14:paraId="2666BF8C" w14:textId="384B4671"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126,558</w:t>
            </w:r>
          </w:p>
        </w:tc>
        <w:tc>
          <w:tcPr>
            <w:tcW w:w="714" w:type="dxa"/>
            <w:tcBorders>
              <w:top w:val="single" w:sz="4" w:space="0" w:color="auto"/>
              <w:left w:val="nil"/>
              <w:bottom w:val="single" w:sz="4" w:space="0" w:color="auto"/>
              <w:right w:val="single" w:sz="4" w:space="0" w:color="auto"/>
            </w:tcBorders>
            <w:vAlign w:val="center"/>
          </w:tcPr>
          <w:p w14:paraId="4ECF3334" w14:textId="6109C3EE"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57</w:t>
            </w:r>
          </w:p>
        </w:tc>
        <w:tc>
          <w:tcPr>
            <w:tcW w:w="1050" w:type="dxa"/>
            <w:tcBorders>
              <w:top w:val="single" w:sz="4" w:space="0" w:color="auto"/>
              <w:left w:val="nil"/>
              <w:bottom w:val="single" w:sz="4" w:space="0" w:color="auto"/>
              <w:right w:val="single" w:sz="4" w:space="0" w:color="auto"/>
            </w:tcBorders>
            <w:noWrap/>
            <w:vAlign w:val="center"/>
            <w:hideMark/>
          </w:tcPr>
          <w:p w14:paraId="7DEC2775" w14:textId="45631222"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123,847</w:t>
            </w:r>
          </w:p>
        </w:tc>
        <w:tc>
          <w:tcPr>
            <w:tcW w:w="658" w:type="dxa"/>
            <w:tcBorders>
              <w:top w:val="single" w:sz="4" w:space="0" w:color="auto"/>
              <w:left w:val="nil"/>
              <w:bottom w:val="single" w:sz="4" w:space="0" w:color="auto"/>
              <w:right w:val="single" w:sz="4" w:space="0" w:color="auto"/>
            </w:tcBorders>
            <w:vAlign w:val="center"/>
          </w:tcPr>
          <w:p w14:paraId="67B29DFA" w14:textId="24D7F529"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10</w:t>
            </w:r>
            <w:r w:rsidRPr="007044E0">
              <w:rPr>
                <w:rFonts w:ascii="標楷體" w:hAnsi="標楷體" w:cs="新細明體"/>
                <w:color w:val="000000"/>
                <w:sz w:val="20"/>
                <w:szCs w:val="20"/>
              </w:rPr>
              <w:t>.</w:t>
            </w:r>
            <w:r w:rsidRPr="007044E0">
              <w:rPr>
                <w:rFonts w:ascii="標楷體" w:hAnsi="標楷體" w:cs="新細明體" w:hint="eastAsia"/>
                <w:color w:val="000000"/>
                <w:sz w:val="20"/>
                <w:szCs w:val="20"/>
              </w:rPr>
              <w:t>13</w:t>
            </w:r>
          </w:p>
        </w:tc>
      </w:tr>
      <w:tr w:rsidR="00B706D2" w:rsidRPr="00A249BB" w14:paraId="793A441C" w14:textId="77777777" w:rsidTr="003973A0">
        <w:trPr>
          <w:trHeight w:val="510"/>
          <w:jc w:val="center"/>
        </w:trPr>
        <w:tc>
          <w:tcPr>
            <w:tcW w:w="770" w:type="dxa"/>
            <w:vMerge/>
            <w:tcBorders>
              <w:top w:val="single" w:sz="4" w:space="0" w:color="auto"/>
              <w:left w:val="single" w:sz="4" w:space="0" w:color="auto"/>
              <w:bottom w:val="single" w:sz="4" w:space="0" w:color="auto"/>
              <w:right w:val="single" w:sz="4" w:space="0" w:color="auto"/>
            </w:tcBorders>
            <w:vAlign w:val="center"/>
            <w:hideMark/>
          </w:tcPr>
          <w:p w14:paraId="611A3290" w14:textId="77777777" w:rsidR="00B706D2" w:rsidRPr="007044E0" w:rsidRDefault="00B706D2" w:rsidP="00B706D2">
            <w:pPr>
              <w:widowControl/>
              <w:spacing w:line="280" w:lineRule="exact"/>
              <w:rPr>
                <w:rFonts w:ascii="標楷體" w:hAnsi="標楷體" w:cs="新細明體"/>
                <w:color w:val="000000"/>
                <w:sz w:val="20"/>
                <w:szCs w:val="20"/>
              </w:rPr>
            </w:pPr>
          </w:p>
        </w:tc>
        <w:tc>
          <w:tcPr>
            <w:tcW w:w="1680" w:type="dxa"/>
            <w:tcBorders>
              <w:top w:val="single" w:sz="4" w:space="0" w:color="auto"/>
              <w:left w:val="nil"/>
              <w:bottom w:val="single" w:sz="4" w:space="0" w:color="auto"/>
              <w:right w:val="single" w:sz="4" w:space="0" w:color="auto"/>
            </w:tcBorders>
            <w:noWrap/>
            <w:vAlign w:val="center"/>
            <w:hideMark/>
          </w:tcPr>
          <w:p w14:paraId="4512B539" w14:textId="68087048" w:rsidR="00B706D2" w:rsidRPr="007044E0" w:rsidRDefault="00B706D2" w:rsidP="00B706D2">
            <w:pPr>
              <w:widowControl/>
              <w:spacing w:line="280" w:lineRule="exact"/>
              <w:rPr>
                <w:rFonts w:ascii="標楷體" w:hAnsi="標楷體" w:cs="新細明體"/>
                <w:color w:val="000000"/>
                <w:sz w:val="20"/>
                <w:szCs w:val="20"/>
              </w:rPr>
            </w:pPr>
            <w:r w:rsidRPr="007044E0">
              <w:rPr>
                <w:rFonts w:ascii="標楷體" w:hAnsi="標楷體" w:cs="新細明體" w:hint="eastAsia"/>
                <w:color w:val="000000"/>
                <w:sz w:val="20"/>
                <w:szCs w:val="20"/>
              </w:rPr>
              <w:t>徵起率</w:t>
            </w:r>
            <w:r w:rsidR="00123F14" w:rsidRPr="00123F14">
              <w:rPr>
                <w:rFonts w:ascii="標楷體" w:hAnsi="標楷體" w:cs="新細明體" w:hint="eastAsia"/>
                <w:color w:val="000000"/>
                <w:spacing w:val="-8"/>
                <w:sz w:val="20"/>
                <w:szCs w:val="20"/>
              </w:rPr>
              <w:t>（</w:t>
            </w:r>
            <w:r w:rsidRPr="00123F14">
              <w:rPr>
                <w:rFonts w:ascii="標楷體" w:hAnsi="標楷體" w:cs="新細明體"/>
                <w:color w:val="000000"/>
                <w:spacing w:val="-8"/>
                <w:sz w:val="20"/>
                <w:szCs w:val="20"/>
              </w:rPr>
              <w:t>D/C</w:t>
            </w:r>
            <w:r w:rsidRPr="00123F14">
              <w:rPr>
                <w:rFonts w:ascii="標楷體" w:hAnsi="標楷體" w:cs="新細明體" w:hint="eastAsia"/>
                <w:color w:val="000000"/>
                <w:spacing w:val="-8"/>
                <w:sz w:val="20"/>
                <w:szCs w:val="20"/>
              </w:rPr>
              <w:t>×100</w:t>
            </w:r>
            <w:r w:rsidR="00123F14" w:rsidRPr="00123F14">
              <w:rPr>
                <w:rFonts w:ascii="標楷體" w:hAnsi="標楷體" w:cs="新細明體"/>
                <w:color w:val="000000"/>
                <w:spacing w:val="-8"/>
                <w:sz w:val="20"/>
                <w:szCs w:val="20"/>
              </w:rPr>
              <w:t>）</w:t>
            </w:r>
          </w:p>
        </w:tc>
        <w:tc>
          <w:tcPr>
            <w:tcW w:w="1008" w:type="dxa"/>
            <w:tcBorders>
              <w:top w:val="single" w:sz="4" w:space="0" w:color="auto"/>
              <w:left w:val="nil"/>
              <w:bottom w:val="single" w:sz="4" w:space="0" w:color="auto"/>
              <w:right w:val="single" w:sz="4" w:space="0" w:color="auto"/>
            </w:tcBorders>
            <w:noWrap/>
            <w:vAlign w:val="center"/>
            <w:hideMark/>
          </w:tcPr>
          <w:p w14:paraId="79BF2FA8" w14:textId="0B086D47"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31.19</w:t>
            </w:r>
          </w:p>
        </w:tc>
        <w:tc>
          <w:tcPr>
            <w:tcW w:w="700" w:type="dxa"/>
            <w:tcBorders>
              <w:top w:val="single" w:sz="4" w:space="0" w:color="auto"/>
              <w:left w:val="nil"/>
              <w:bottom w:val="single" w:sz="4" w:space="0" w:color="auto"/>
              <w:right w:val="single" w:sz="4" w:space="0" w:color="auto"/>
            </w:tcBorders>
            <w:vAlign w:val="center"/>
          </w:tcPr>
          <w:p w14:paraId="36944C13" w14:textId="213E79F6"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30.96</w:t>
            </w:r>
          </w:p>
        </w:tc>
        <w:tc>
          <w:tcPr>
            <w:tcW w:w="1008" w:type="dxa"/>
            <w:tcBorders>
              <w:top w:val="single" w:sz="4" w:space="0" w:color="auto"/>
              <w:left w:val="nil"/>
              <w:bottom w:val="single" w:sz="4" w:space="0" w:color="auto"/>
              <w:right w:val="single" w:sz="4" w:space="0" w:color="auto"/>
            </w:tcBorders>
            <w:noWrap/>
            <w:vAlign w:val="center"/>
            <w:hideMark/>
          </w:tcPr>
          <w:p w14:paraId="72373B1B" w14:textId="4ABE91D4"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28.82</w:t>
            </w:r>
          </w:p>
        </w:tc>
        <w:tc>
          <w:tcPr>
            <w:tcW w:w="713" w:type="dxa"/>
            <w:tcBorders>
              <w:top w:val="single" w:sz="4" w:space="0" w:color="auto"/>
              <w:left w:val="nil"/>
              <w:bottom w:val="single" w:sz="4" w:space="0" w:color="auto"/>
              <w:right w:val="single" w:sz="4" w:space="0" w:color="auto"/>
            </w:tcBorders>
            <w:vAlign w:val="center"/>
          </w:tcPr>
          <w:p w14:paraId="4BE38294" w14:textId="27B7F6E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25.71</w:t>
            </w:r>
          </w:p>
        </w:tc>
        <w:tc>
          <w:tcPr>
            <w:tcW w:w="1008" w:type="dxa"/>
            <w:tcBorders>
              <w:top w:val="single" w:sz="4" w:space="0" w:color="auto"/>
              <w:left w:val="nil"/>
              <w:bottom w:val="single" w:sz="4" w:space="0" w:color="auto"/>
              <w:right w:val="single" w:sz="4" w:space="0" w:color="auto"/>
            </w:tcBorders>
            <w:noWrap/>
            <w:vAlign w:val="center"/>
            <w:hideMark/>
          </w:tcPr>
          <w:p w14:paraId="721546B2" w14:textId="14A90B5A"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28.88</w:t>
            </w:r>
          </w:p>
        </w:tc>
        <w:tc>
          <w:tcPr>
            <w:tcW w:w="714" w:type="dxa"/>
            <w:tcBorders>
              <w:top w:val="single" w:sz="4" w:space="0" w:color="auto"/>
              <w:left w:val="nil"/>
              <w:bottom w:val="single" w:sz="4" w:space="0" w:color="auto"/>
              <w:right w:val="single" w:sz="4" w:space="0" w:color="auto"/>
            </w:tcBorders>
            <w:vAlign w:val="center"/>
          </w:tcPr>
          <w:p w14:paraId="35462030" w14:textId="1183FD2D"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25.76</w:t>
            </w:r>
          </w:p>
        </w:tc>
        <w:tc>
          <w:tcPr>
            <w:tcW w:w="1050" w:type="dxa"/>
            <w:tcBorders>
              <w:top w:val="single" w:sz="4" w:space="0" w:color="auto"/>
              <w:left w:val="nil"/>
              <w:bottom w:val="single" w:sz="4" w:space="0" w:color="auto"/>
              <w:right w:val="single" w:sz="4" w:space="0" w:color="auto"/>
            </w:tcBorders>
            <w:noWrap/>
            <w:vAlign w:val="center"/>
            <w:hideMark/>
          </w:tcPr>
          <w:p w14:paraId="5E4D9F49" w14:textId="67372EE1"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28.00</w:t>
            </w:r>
          </w:p>
        </w:tc>
        <w:tc>
          <w:tcPr>
            <w:tcW w:w="658" w:type="dxa"/>
            <w:tcBorders>
              <w:top w:val="single" w:sz="4" w:space="0" w:color="auto"/>
              <w:left w:val="nil"/>
              <w:bottom w:val="single" w:sz="4" w:space="0" w:color="auto"/>
              <w:right w:val="single" w:sz="4" w:space="0" w:color="auto"/>
            </w:tcBorders>
            <w:vAlign w:val="center"/>
          </w:tcPr>
          <w:p w14:paraId="62E4A928" w14:textId="7E91E249" w:rsidR="00B706D2" w:rsidRPr="007044E0" w:rsidRDefault="00B706D2" w:rsidP="00B706D2">
            <w:pPr>
              <w:widowControl/>
              <w:spacing w:line="280" w:lineRule="exact"/>
              <w:jc w:val="right"/>
              <w:rPr>
                <w:rFonts w:ascii="標楷體" w:hAnsi="標楷體" w:cs="新細明體"/>
                <w:color w:val="000000"/>
                <w:sz w:val="20"/>
                <w:szCs w:val="20"/>
              </w:rPr>
            </w:pPr>
            <w:r w:rsidRPr="007044E0">
              <w:rPr>
                <w:rFonts w:ascii="標楷體" w:hAnsi="標楷體" w:cs="新細明體" w:hint="eastAsia"/>
                <w:color w:val="000000"/>
                <w:sz w:val="20"/>
                <w:szCs w:val="20"/>
              </w:rPr>
              <w:t>25.08</w:t>
            </w:r>
          </w:p>
        </w:tc>
      </w:tr>
      <w:tr w:rsidR="00773506" w:rsidRPr="00A249BB" w14:paraId="6D80199F" w14:textId="77777777" w:rsidTr="006F2D6C">
        <w:trPr>
          <w:trHeight w:val="330"/>
          <w:jc w:val="center"/>
        </w:trPr>
        <w:tc>
          <w:tcPr>
            <w:tcW w:w="9309" w:type="dxa"/>
            <w:gridSpan w:val="10"/>
            <w:tcBorders>
              <w:top w:val="single" w:sz="4" w:space="0" w:color="auto"/>
              <w:left w:val="nil"/>
              <w:bottom w:val="nil"/>
              <w:right w:val="nil"/>
            </w:tcBorders>
            <w:vAlign w:val="center"/>
            <w:hideMark/>
          </w:tcPr>
          <w:p w14:paraId="4F512E9F" w14:textId="0AFE81DD" w:rsidR="00483A75" w:rsidRDefault="00773506" w:rsidP="003973A0">
            <w:pPr>
              <w:widowControl/>
              <w:spacing w:line="270" w:lineRule="exact"/>
              <w:ind w:left="542" w:hangingChars="301" w:hanging="542"/>
              <w:jc w:val="both"/>
              <w:rPr>
                <w:rFonts w:ascii="標楷體" w:hAnsi="標楷體" w:cs="新細明體"/>
                <w:color w:val="000000"/>
                <w:sz w:val="18"/>
                <w:szCs w:val="18"/>
              </w:rPr>
            </w:pPr>
            <w:r w:rsidRPr="003B1093">
              <w:rPr>
                <w:rFonts w:ascii="標楷體" w:hAnsi="標楷體" w:cs="新細明體" w:hint="eastAsia"/>
                <w:color w:val="000000"/>
                <w:sz w:val="18"/>
                <w:szCs w:val="18"/>
              </w:rPr>
              <w:t>註：1.</w:t>
            </w:r>
            <w:r w:rsidR="003842FD">
              <w:rPr>
                <w:rFonts w:ascii="標楷體" w:hAnsi="標楷體" w:cs="新細明體" w:hint="eastAsia"/>
                <w:color w:val="000000"/>
                <w:sz w:val="18"/>
                <w:szCs w:val="18"/>
              </w:rPr>
              <w:t>資料</w:t>
            </w:r>
            <w:r w:rsidR="00483A75">
              <w:rPr>
                <w:rFonts w:ascii="標楷體" w:hAnsi="標楷體" w:cs="新細明體" w:hint="eastAsia"/>
                <w:color w:val="000000"/>
                <w:sz w:val="18"/>
                <w:szCs w:val="18"/>
              </w:rPr>
              <w:t>期間：各年度截至1</w:t>
            </w:r>
            <w:r w:rsidR="00483A75">
              <w:rPr>
                <w:rFonts w:ascii="標楷體" w:hAnsi="標楷體" w:cs="新細明體"/>
                <w:color w:val="000000"/>
                <w:sz w:val="18"/>
                <w:szCs w:val="18"/>
              </w:rPr>
              <w:t>0</w:t>
            </w:r>
            <w:r w:rsidR="00483A75">
              <w:rPr>
                <w:rFonts w:ascii="標楷體" w:hAnsi="標楷體" w:cs="新細明體" w:hint="eastAsia"/>
                <w:color w:val="000000"/>
                <w:sz w:val="18"/>
                <w:szCs w:val="18"/>
              </w:rPr>
              <w:t>月底止。</w:t>
            </w:r>
          </w:p>
          <w:p w14:paraId="4B53EB8B" w14:textId="48597F7D" w:rsidR="00773506" w:rsidRPr="003B1093" w:rsidRDefault="00483A75" w:rsidP="00B56536">
            <w:pPr>
              <w:widowControl/>
              <w:spacing w:line="270" w:lineRule="exact"/>
              <w:ind w:leftChars="226" w:left="542" w:rightChars="-93" w:right="-149" w:hangingChars="100" w:hanging="180"/>
              <w:rPr>
                <w:rFonts w:ascii="標楷體" w:hAnsi="標楷體" w:cs="新細明體"/>
                <w:color w:val="000000"/>
                <w:sz w:val="18"/>
                <w:szCs w:val="18"/>
              </w:rPr>
            </w:pPr>
            <w:r>
              <w:rPr>
                <w:rFonts w:ascii="標楷體" w:hAnsi="標楷體" w:cs="新細明體"/>
                <w:color w:val="000000"/>
                <w:sz w:val="18"/>
                <w:szCs w:val="18"/>
              </w:rPr>
              <w:t>2.</w:t>
            </w:r>
            <w:r w:rsidR="00773506" w:rsidRPr="003B1093">
              <w:rPr>
                <w:rFonts w:ascii="標楷體" w:hAnsi="標楷體" w:cs="新細明體" w:hint="eastAsia"/>
                <w:color w:val="000000"/>
                <w:sz w:val="18"/>
                <w:szCs w:val="18"/>
              </w:rPr>
              <w:t>查定淨數=查定數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更正註銷數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行政救濟中未徵數；應清理數=未徵稅款結轉數</w:t>
            </w:r>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更正註銷數</w:t>
            </w:r>
            <w:r w:rsidR="00550853">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逾徵收</w:t>
            </w:r>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執行</w:t>
            </w:r>
            <w:r w:rsidR="00123F14">
              <w:rPr>
                <w:rFonts w:ascii="標楷體" w:hAnsi="標楷體" w:cs="新細明體"/>
                <w:color w:val="000000"/>
                <w:sz w:val="18"/>
                <w:szCs w:val="18"/>
              </w:rPr>
              <w:t>）</w:t>
            </w:r>
            <w:r w:rsidR="00773506" w:rsidRPr="003B1093">
              <w:rPr>
                <w:rFonts w:ascii="標楷體" w:hAnsi="標楷體" w:cs="新細明體" w:hint="eastAsia"/>
                <w:color w:val="000000"/>
                <w:sz w:val="18"/>
                <w:szCs w:val="18"/>
              </w:rPr>
              <w:t>期間數</w:t>
            </w:r>
            <w:r w:rsidR="00123F14">
              <w:rPr>
                <w:rFonts w:ascii="標楷體" w:hAnsi="標楷體" w:cs="新細明體" w:hint="eastAsia"/>
                <w:color w:val="000000"/>
                <w:sz w:val="18"/>
                <w:szCs w:val="18"/>
              </w:rPr>
              <w:t>－</w:t>
            </w:r>
            <w:r w:rsidR="00773506" w:rsidRPr="003B1093">
              <w:rPr>
                <w:rFonts w:ascii="標楷體" w:hAnsi="標楷體" w:cs="新細明體" w:hint="eastAsia"/>
                <w:color w:val="000000"/>
                <w:sz w:val="18"/>
                <w:szCs w:val="18"/>
              </w:rPr>
              <w:t>行政救濟中未徵數。</w:t>
            </w:r>
          </w:p>
        </w:tc>
      </w:tr>
      <w:tr w:rsidR="00773506" w:rsidRPr="00A249BB" w14:paraId="1F7D599E" w14:textId="77777777" w:rsidTr="00475927">
        <w:trPr>
          <w:trHeight w:val="63"/>
          <w:jc w:val="center"/>
        </w:trPr>
        <w:tc>
          <w:tcPr>
            <w:tcW w:w="9309" w:type="dxa"/>
            <w:gridSpan w:val="10"/>
            <w:tcBorders>
              <w:top w:val="nil"/>
              <w:left w:val="nil"/>
              <w:bottom w:val="nil"/>
              <w:right w:val="nil"/>
            </w:tcBorders>
            <w:noWrap/>
            <w:vAlign w:val="center"/>
            <w:hideMark/>
          </w:tcPr>
          <w:p w14:paraId="6663D8B4" w14:textId="70778845" w:rsidR="00773506" w:rsidRPr="003B1093" w:rsidRDefault="00483A75" w:rsidP="003973A0">
            <w:pPr>
              <w:widowControl/>
              <w:spacing w:line="270" w:lineRule="exact"/>
              <w:ind w:firstLineChars="188" w:firstLine="338"/>
              <w:rPr>
                <w:rFonts w:ascii="標楷體" w:hAnsi="標楷體" w:cs="新細明體"/>
                <w:color w:val="000000"/>
                <w:sz w:val="18"/>
                <w:szCs w:val="18"/>
              </w:rPr>
            </w:pPr>
            <w:r>
              <w:rPr>
                <w:rFonts w:ascii="標楷體" w:hAnsi="標楷體" w:cs="新細明體"/>
                <w:color w:val="000000"/>
                <w:sz w:val="18"/>
                <w:szCs w:val="18"/>
              </w:rPr>
              <w:t>3</w:t>
            </w:r>
            <w:r w:rsidR="00773506" w:rsidRPr="003B1093">
              <w:rPr>
                <w:rFonts w:ascii="標楷體" w:hAnsi="標楷體" w:cs="新細明體" w:hint="eastAsia"/>
                <w:color w:val="000000"/>
                <w:sz w:val="18"/>
                <w:szCs w:val="18"/>
              </w:rPr>
              <w:t>.資料來源：整理自</w:t>
            </w:r>
            <w:r w:rsidR="003B1093" w:rsidRPr="003B1093">
              <w:rPr>
                <w:rFonts w:ascii="標楷體" w:hAnsi="標楷體" w:cs="新細明體" w:hint="eastAsia"/>
                <w:color w:val="000000"/>
                <w:sz w:val="18"/>
                <w:szCs w:val="18"/>
              </w:rPr>
              <w:t>稅捐稽徵</w:t>
            </w:r>
            <w:r w:rsidR="00773506" w:rsidRPr="003B1093">
              <w:rPr>
                <w:rFonts w:ascii="標楷體" w:hAnsi="標楷體" w:cs="新細明體" w:hint="eastAsia"/>
                <w:color w:val="000000"/>
                <w:sz w:val="18"/>
                <w:szCs w:val="18"/>
              </w:rPr>
              <w:t>處提供資料。</w:t>
            </w:r>
          </w:p>
        </w:tc>
      </w:tr>
    </w:tbl>
    <w:bookmarkEnd w:id="3"/>
    <w:p w14:paraId="7C757A66" w14:textId="77777777" w:rsidR="00E76E2B" w:rsidRPr="000A7963" w:rsidRDefault="00E76E2B" w:rsidP="00334F34">
      <w:pPr>
        <w:widowControl/>
        <w:spacing w:afterLines="30" w:after="108" w:line="450" w:lineRule="exact"/>
        <w:jc w:val="both"/>
        <w:rPr>
          <w:rFonts w:ascii="標楷體" w:hAnsi="標楷體"/>
          <w:b/>
          <w:snapToGrid w:val="0"/>
          <w:kern w:val="2"/>
          <w:sz w:val="32"/>
          <w:szCs w:val="24"/>
        </w:rPr>
      </w:pPr>
      <w:r w:rsidRPr="000A7963">
        <w:rPr>
          <w:rFonts w:ascii="標楷體" w:hAnsi="標楷體" w:hint="eastAsia"/>
          <w:b/>
          <w:snapToGrid w:val="0"/>
          <w:kern w:val="2"/>
          <w:sz w:val="32"/>
          <w:szCs w:val="24"/>
        </w:rPr>
        <w:lastRenderedPageBreak/>
        <w:t>四、1</w:t>
      </w:r>
      <w:r>
        <w:rPr>
          <w:rFonts w:ascii="標楷體" w:hAnsi="標楷體" w:hint="eastAsia"/>
          <w:b/>
          <w:snapToGrid w:val="0"/>
          <w:kern w:val="2"/>
          <w:sz w:val="32"/>
          <w:szCs w:val="24"/>
        </w:rPr>
        <w:t>1</w:t>
      </w:r>
      <w:r>
        <w:rPr>
          <w:rFonts w:ascii="標楷體" w:hAnsi="標楷體"/>
          <w:b/>
          <w:snapToGrid w:val="0"/>
          <w:kern w:val="2"/>
          <w:sz w:val="32"/>
          <w:szCs w:val="24"/>
        </w:rPr>
        <w:t>3</w:t>
      </w:r>
      <w:r w:rsidRPr="000A7963">
        <w:rPr>
          <w:rFonts w:ascii="標楷體" w:hAnsi="標楷體" w:hint="eastAsia"/>
          <w:b/>
          <w:snapToGrid w:val="0"/>
          <w:kern w:val="2"/>
          <w:sz w:val="32"/>
          <w:szCs w:val="24"/>
        </w:rPr>
        <w:t>年度重要審核意見追蹤查核情形</w:t>
      </w:r>
    </w:p>
    <w:p w14:paraId="41E58BD2" w14:textId="38E1C6C5" w:rsidR="00E76E2B" w:rsidRPr="004370A9" w:rsidRDefault="00E76E2B" w:rsidP="00334F34">
      <w:pPr>
        <w:widowControl/>
        <w:snapToGrid w:val="0"/>
        <w:spacing w:beforeLines="30" w:before="108" w:afterLines="30" w:after="108" w:line="560" w:lineRule="exact"/>
        <w:ind w:firstLineChars="200" w:firstLine="480"/>
        <w:jc w:val="both"/>
        <w:rPr>
          <w:rFonts w:ascii="標楷體" w:hAnsi="標楷體"/>
          <w:sz w:val="24"/>
          <w:szCs w:val="24"/>
        </w:rPr>
      </w:pPr>
      <w:r w:rsidRPr="004370A9">
        <w:rPr>
          <w:rFonts w:ascii="標楷體" w:hAnsi="標楷體" w:hint="eastAsia"/>
          <w:sz w:val="24"/>
          <w:szCs w:val="24"/>
        </w:rPr>
        <w:t>本處於1</w:t>
      </w:r>
      <w:r>
        <w:rPr>
          <w:rFonts w:ascii="標楷體" w:hAnsi="標楷體" w:hint="eastAsia"/>
          <w:sz w:val="24"/>
          <w:szCs w:val="24"/>
        </w:rPr>
        <w:t>1</w:t>
      </w:r>
      <w:r>
        <w:rPr>
          <w:rFonts w:ascii="標楷體" w:hAnsi="標楷體"/>
          <w:sz w:val="24"/>
          <w:szCs w:val="24"/>
        </w:rPr>
        <w:t>3</w:t>
      </w:r>
      <w:r w:rsidRPr="004370A9">
        <w:rPr>
          <w:rFonts w:ascii="標楷體" w:hAnsi="標楷體" w:hint="eastAsia"/>
          <w:sz w:val="24"/>
          <w:szCs w:val="24"/>
        </w:rPr>
        <w:t>年度審核報告列重要審核意見</w:t>
      </w:r>
      <w:r>
        <w:rPr>
          <w:rFonts w:ascii="標楷體" w:hAnsi="標楷體"/>
          <w:sz w:val="24"/>
          <w:szCs w:val="24"/>
        </w:rPr>
        <w:t>5</w:t>
      </w:r>
      <w:r w:rsidRPr="004370A9">
        <w:rPr>
          <w:rFonts w:ascii="標楷體" w:hAnsi="標楷體" w:hint="eastAsia"/>
          <w:sz w:val="24"/>
          <w:szCs w:val="24"/>
          <w:lang w:eastAsia="zh-HK"/>
        </w:rPr>
        <w:t>項</w:t>
      </w:r>
      <w:r w:rsidRPr="004370A9">
        <w:rPr>
          <w:rFonts w:ascii="標楷體" w:hAnsi="標楷體" w:hint="eastAsia"/>
          <w:sz w:val="24"/>
          <w:szCs w:val="24"/>
        </w:rPr>
        <w:t>，</w:t>
      </w:r>
      <w:r w:rsidRPr="0086721E">
        <w:rPr>
          <w:rFonts w:ascii="標楷體" w:hAnsi="標楷體" w:hint="eastAsia"/>
          <w:sz w:val="24"/>
          <w:szCs w:val="24"/>
        </w:rPr>
        <w:t>經賡續追蹤</w:t>
      </w:r>
      <w:r>
        <w:rPr>
          <w:rFonts w:ascii="標楷體" w:hAnsi="標楷體" w:hint="eastAsia"/>
          <w:sz w:val="24"/>
          <w:szCs w:val="24"/>
        </w:rPr>
        <w:t>查核實際辦理結果</w:t>
      </w:r>
      <w:r w:rsidRPr="0086721E">
        <w:rPr>
          <w:rFonts w:ascii="標楷體" w:hAnsi="標楷體" w:hint="eastAsia"/>
          <w:sz w:val="24"/>
          <w:szCs w:val="24"/>
        </w:rPr>
        <w:t>，</w:t>
      </w:r>
      <w:r w:rsidR="000C48E3" w:rsidRPr="00DA6304">
        <w:rPr>
          <w:rFonts w:ascii="標楷體" w:hAnsi="標楷體" w:hint="eastAsia"/>
          <w:sz w:val="24"/>
          <w:szCs w:val="24"/>
        </w:rPr>
        <w:t>仍待繼續改善者</w:t>
      </w:r>
      <w:r w:rsidR="000C48E3">
        <w:rPr>
          <w:rFonts w:ascii="標楷體" w:hAnsi="標楷體" w:hint="eastAsia"/>
          <w:sz w:val="24"/>
          <w:szCs w:val="24"/>
        </w:rPr>
        <w:t>1</w:t>
      </w:r>
      <w:r w:rsidR="000C48E3" w:rsidRPr="00DA6304">
        <w:rPr>
          <w:rFonts w:ascii="標楷體" w:hAnsi="標楷體" w:hint="eastAsia"/>
          <w:sz w:val="24"/>
          <w:szCs w:val="24"/>
        </w:rPr>
        <w:t>項、業已研謀改善或依改善措施持續辦理者</w:t>
      </w:r>
      <w:r w:rsidR="000C48E3">
        <w:rPr>
          <w:rFonts w:ascii="標楷體" w:hAnsi="標楷體" w:hint="eastAsia"/>
          <w:sz w:val="24"/>
          <w:szCs w:val="24"/>
        </w:rPr>
        <w:t>4</w:t>
      </w:r>
      <w:r w:rsidR="000C48E3" w:rsidRPr="00DA6304">
        <w:rPr>
          <w:rFonts w:ascii="標楷體" w:hAnsi="標楷體" w:hint="eastAsia"/>
          <w:sz w:val="24"/>
          <w:szCs w:val="24"/>
        </w:rPr>
        <w:t>項</w:t>
      </w:r>
      <w:r w:rsidRPr="00DA6304">
        <w:rPr>
          <w:rFonts w:ascii="標楷體" w:hAnsi="標楷體" w:hint="eastAsia"/>
          <w:sz w:val="24"/>
          <w:szCs w:val="24"/>
        </w:rPr>
        <w:t>（表</w:t>
      </w:r>
      <w:r>
        <w:rPr>
          <w:rFonts w:ascii="標楷體" w:hAnsi="標楷體" w:hint="eastAsia"/>
          <w:sz w:val="24"/>
          <w:szCs w:val="24"/>
        </w:rPr>
        <w:t>4</w:t>
      </w:r>
      <w:r w:rsidRPr="00DA6304">
        <w:rPr>
          <w:rFonts w:ascii="標楷體" w:hAnsi="標楷體" w:hint="eastAsia"/>
          <w:sz w:val="24"/>
          <w:szCs w:val="24"/>
        </w:rPr>
        <w:t>）</w:t>
      </w:r>
      <w:r w:rsidR="000C48E3" w:rsidRPr="0086721E">
        <w:rPr>
          <w:rFonts w:ascii="標楷體" w:hAnsi="標楷體" w:hint="eastAsia"/>
          <w:sz w:val="24"/>
          <w:szCs w:val="24"/>
        </w:rPr>
        <w:t>，其中仍待繼續改善者，經再研提審核意見</w:t>
      </w:r>
      <w:r w:rsidR="000C48E3">
        <w:rPr>
          <w:rFonts w:ascii="標楷體" w:hAnsi="標楷體" w:hint="eastAsia"/>
          <w:sz w:val="24"/>
          <w:szCs w:val="24"/>
        </w:rPr>
        <w:t>1</w:t>
      </w:r>
      <w:r w:rsidR="000C48E3" w:rsidRPr="0086721E">
        <w:rPr>
          <w:rFonts w:ascii="標楷體" w:hAnsi="標楷體" w:hint="eastAsia"/>
          <w:sz w:val="24"/>
          <w:szCs w:val="24"/>
        </w:rPr>
        <w:t>項通知檢討改善</w:t>
      </w:r>
      <w:r w:rsidRPr="0086721E">
        <w:rPr>
          <w:rFonts w:ascii="標楷體" w:hAnsi="標楷體" w:hint="eastAsia"/>
          <w:sz w:val="24"/>
          <w:szCs w:val="24"/>
        </w:rPr>
        <w:t>。</w:t>
      </w:r>
    </w:p>
    <w:tbl>
      <w:tblPr>
        <w:tblW w:w="4958" w:type="pct"/>
        <w:tblInd w:w="28" w:type="dxa"/>
        <w:tblCellMar>
          <w:left w:w="28" w:type="dxa"/>
          <w:right w:w="34" w:type="dxa"/>
        </w:tblCellMar>
        <w:tblLook w:val="04A0" w:firstRow="1" w:lastRow="0" w:firstColumn="1" w:lastColumn="0" w:noHBand="0" w:noVBand="1"/>
      </w:tblPr>
      <w:tblGrid>
        <w:gridCol w:w="6196"/>
        <w:gridCol w:w="3079"/>
      </w:tblGrid>
      <w:tr w:rsidR="00E76E2B" w:rsidRPr="004370A9" w14:paraId="7A52D816" w14:textId="77777777" w:rsidTr="004F3604">
        <w:trPr>
          <w:trHeight w:val="749"/>
        </w:trPr>
        <w:tc>
          <w:tcPr>
            <w:tcW w:w="5000" w:type="pct"/>
            <w:gridSpan w:val="2"/>
            <w:tcBorders>
              <w:top w:val="nil"/>
              <w:left w:val="nil"/>
              <w:bottom w:val="single" w:sz="4" w:space="0" w:color="auto"/>
              <w:right w:val="nil"/>
            </w:tcBorders>
            <w:vAlign w:val="center"/>
            <w:hideMark/>
          </w:tcPr>
          <w:p w14:paraId="1E31DF5E" w14:textId="58C19DC6" w:rsidR="00E76E2B" w:rsidRPr="004370A9" w:rsidRDefault="00E76E2B" w:rsidP="0091374B">
            <w:pPr>
              <w:widowControl/>
              <w:overflowPunct w:val="0"/>
              <w:spacing w:line="400" w:lineRule="exact"/>
              <w:ind w:left="480" w:hangingChars="200" w:hanging="480"/>
              <w:jc w:val="center"/>
              <w:rPr>
                <w:rFonts w:ascii="標楷體" w:hAnsi="標楷體" w:cs="新細明體"/>
                <w:b/>
                <w:bCs/>
                <w:sz w:val="24"/>
                <w:szCs w:val="24"/>
              </w:rPr>
            </w:pPr>
            <w:r w:rsidRPr="004370A9">
              <w:rPr>
                <w:rFonts w:ascii="標楷體" w:hAnsi="標楷體" w:cs="新細明體" w:hint="eastAsia"/>
                <w:b/>
                <w:bCs/>
                <w:sz w:val="24"/>
                <w:szCs w:val="24"/>
              </w:rPr>
              <w:t>表</w:t>
            </w:r>
            <w:r>
              <w:rPr>
                <w:rFonts w:ascii="標楷體" w:hAnsi="標楷體" w:cs="新細明體" w:hint="eastAsia"/>
                <w:b/>
                <w:bCs/>
                <w:sz w:val="24"/>
                <w:szCs w:val="24"/>
              </w:rPr>
              <w:t>4</w:t>
            </w:r>
            <w:r w:rsidR="002E6D49">
              <w:rPr>
                <w:rFonts w:ascii="標楷體" w:hAnsi="標楷體" w:cs="Arial" w:hint="eastAsia"/>
                <w:b/>
                <w:bCs/>
                <w:sz w:val="24"/>
                <w:szCs w:val="24"/>
              </w:rPr>
              <w:t xml:space="preserve">　</w:t>
            </w:r>
            <w:r w:rsidRPr="004370A9">
              <w:rPr>
                <w:rFonts w:ascii="標楷體" w:hAnsi="標楷體" w:cs="新細明體" w:hint="eastAsia"/>
                <w:b/>
                <w:bCs/>
                <w:sz w:val="24"/>
                <w:szCs w:val="24"/>
              </w:rPr>
              <w:t>1</w:t>
            </w:r>
            <w:r>
              <w:rPr>
                <w:rFonts w:ascii="標楷體" w:hAnsi="標楷體" w:cs="新細明體" w:hint="eastAsia"/>
                <w:b/>
                <w:bCs/>
                <w:sz w:val="24"/>
                <w:szCs w:val="24"/>
              </w:rPr>
              <w:t>1</w:t>
            </w:r>
            <w:r>
              <w:rPr>
                <w:rFonts w:ascii="標楷體" w:hAnsi="標楷體" w:cs="新細明體"/>
                <w:b/>
                <w:bCs/>
                <w:sz w:val="24"/>
                <w:szCs w:val="24"/>
              </w:rPr>
              <w:t>3</w:t>
            </w:r>
            <w:r w:rsidRPr="004370A9">
              <w:rPr>
                <w:rFonts w:ascii="標楷體" w:hAnsi="標楷體" w:cs="新細明體" w:hint="eastAsia"/>
                <w:b/>
                <w:bCs/>
                <w:sz w:val="24"/>
                <w:szCs w:val="24"/>
              </w:rPr>
              <w:t>年度審核報告所列</w:t>
            </w:r>
            <w:r w:rsidRPr="004370A9">
              <w:rPr>
                <w:rFonts w:ascii="標楷體" w:hAnsi="標楷體" w:hint="eastAsia"/>
                <w:b/>
                <w:sz w:val="24"/>
                <w:szCs w:val="24"/>
              </w:rPr>
              <w:t>財政局</w:t>
            </w:r>
            <w:r w:rsidRPr="004370A9">
              <w:rPr>
                <w:rFonts w:ascii="標楷體" w:hAnsi="標楷體" w:cs="新細明體" w:hint="eastAsia"/>
                <w:b/>
                <w:bCs/>
                <w:sz w:val="24"/>
                <w:szCs w:val="24"/>
              </w:rPr>
              <w:t>主管重要審核意見覆核辦理情形</w:t>
            </w:r>
          </w:p>
        </w:tc>
      </w:tr>
      <w:tr w:rsidR="00E76E2B" w:rsidRPr="004370A9" w14:paraId="0A27099F" w14:textId="77777777" w:rsidTr="00393F27">
        <w:trPr>
          <w:trHeight w:val="962"/>
        </w:trPr>
        <w:tc>
          <w:tcPr>
            <w:tcW w:w="3340" w:type="pct"/>
            <w:tcBorders>
              <w:top w:val="single" w:sz="4" w:space="0" w:color="auto"/>
              <w:left w:val="single" w:sz="4" w:space="0" w:color="auto"/>
              <w:bottom w:val="single" w:sz="4" w:space="0" w:color="auto"/>
              <w:right w:val="single" w:sz="4" w:space="0" w:color="auto"/>
            </w:tcBorders>
            <w:vAlign w:val="center"/>
            <w:hideMark/>
          </w:tcPr>
          <w:p w14:paraId="5738B402" w14:textId="77777777" w:rsidR="00E76E2B" w:rsidRPr="004370A9" w:rsidRDefault="00E76E2B" w:rsidP="004F3604">
            <w:pPr>
              <w:widowControl/>
              <w:overflowPunct w:val="0"/>
              <w:spacing w:line="480" w:lineRule="exact"/>
              <w:jc w:val="center"/>
              <w:textAlignment w:val="center"/>
              <w:rPr>
                <w:rFonts w:ascii="標楷體" w:hAnsi="標楷體" w:cs="新細明體"/>
                <w:sz w:val="20"/>
                <w:szCs w:val="20"/>
              </w:rPr>
            </w:pPr>
            <w:r w:rsidRPr="004370A9">
              <w:rPr>
                <w:rFonts w:ascii="標楷體" w:hAnsi="標楷體" w:cs="新細明體" w:hint="eastAsia"/>
                <w:sz w:val="20"/>
                <w:szCs w:val="20"/>
              </w:rPr>
              <w:t>重要審核意見標題</w:t>
            </w:r>
          </w:p>
        </w:tc>
        <w:tc>
          <w:tcPr>
            <w:tcW w:w="1660" w:type="pct"/>
            <w:tcBorders>
              <w:top w:val="single" w:sz="4" w:space="0" w:color="auto"/>
              <w:left w:val="nil"/>
              <w:bottom w:val="single" w:sz="4" w:space="0" w:color="auto"/>
              <w:right w:val="single" w:sz="4" w:space="0" w:color="auto"/>
            </w:tcBorders>
            <w:vAlign w:val="center"/>
            <w:hideMark/>
          </w:tcPr>
          <w:p w14:paraId="355E9FD9" w14:textId="77777777" w:rsidR="00E76E2B" w:rsidRPr="004370A9" w:rsidRDefault="00E76E2B" w:rsidP="004F3604">
            <w:pPr>
              <w:widowControl/>
              <w:overflowPunct w:val="0"/>
              <w:spacing w:line="480" w:lineRule="exact"/>
              <w:jc w:val="center"/>
              <w:textAlignment w:val="center"/>
              <w:rPr>
                <w:rFonts w:ascii="標楷體" w:hAnsi="標楷體" w:cs="新細明體"/>
                <w:sz w:val="20"/>
                <w:szCs w:val="20"/>
              </w:rPr>
            </w:pPr>
            <w:r w:rsidRPr="004370A9">
              <w:rPr>
                <w:rFonts w:ascii="標楷體" w:hAnsi="標楷體" w:cs="新細明體" w:hint="eastAsia"/>
                <w:sz w:val="20"/>
                <w:szCs w:val="20"/>
              </w:rPr>
              <w:t>說明</w:t>
            </w:r>
          </w:p>
        </w:tc>
      </w:tr>
      <w:tr w:rsidR="00803075" w:rsidRPr="004370A9" w14:paraId="6EC1278D" w14:textId="77777777" w:rsidTr="00504302">
        <w:trPr>
          <w:trHeight w:val="487"/>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FF96C6C" w14:textId="77777777" w:rsidR="00803075" w:rsidRPr="004370A9" w:rsidRDefault="00803075" w:rsidP="00A434B9">
            <w:pPr>
              <w:widowControl/>
              <w:overflowPunct w:val="0"/>
              <w:spacing w:line="200" w:lineRule="exact"/>
              <w:jc w:val="both"/>
              <w:rPr>
                <w:rFonts w:ascii="標楷體" w:hAnsi="標楷體" w:cs="新細明體"/>
                <w:b/>
                <w:bCs/>
                <w:sz w:val="20"/>
                <w:szCs w:val="20"/>
              </w:rPr>
            </w:pPr>
            <w:r w:rsidRPr="004370A9">
              <w:rPr>
                <w:rFonts w:ascii="標楷體" w:hAnsi="標楷體" w:hint="eastAsia"/>
                <w:b/>
                <w:sz w:val="20"/>
                <w:lang w:eastAsia="zh-HK"/>
              </w:rPr>
              <w:t>仍待繼續改善</w:t>
            </w:r>
          </w:p>
        </w:tc>
      </w:tr>
      <w:tr w:rsidR="00803075" w:rsidRPr="004370A9" w14:paraId="3D1FFD16" w14:textId="77777777" w:rsidTr="00A434B9">
        <w:trPr>
          <w:trHeight w:val="277"/>
        </w:trPr>
        <w:tc>
          <w:tcPr>
            <w:tcW w:w="3340" w:type="pct"/>
            <w:tcBorders>
              <w:top w:val="single" w:sz="4" w:space="0" w:color="auto"/>
              <w:left w:val="single" w:sz="4" w:space="0" w:color="auto"/>
              <w:bottom w:val="single" w:sz="4" w:space="0" w:color="auto"/>
              <w:right w:val="single" w:sz="4" w:space="0" w:color="auto"/>
            </w:tcBorders>
            <w:vAlign w:val="center"/>
          </w:tcPr>
          <w:p w14:paraId="03172E88" w14:textId="6C62D74F" w:rsidR="00803075" w:rsidRPr="004370A9" w:rsidRDefault="00803075" w:rsidP="00504302">
            <w:pPr>
              <w:snapToGrid w:val="0"/>
              <w:spacing w:line="480" w:lineRule="exact"/>
              <w:jc w:val="both"/>
              <w:textAlignment w:val="center"/>
              <w:rPr>
                <w:rFonts w:ascii="標楷體" w:hAnsi="標楷體"/>
                <w:sz w:val="20"/>
                <w:szCs w:val="20"/>
              </w:rPr>
            </w:pPr>
            <w:r w:rsidRPr="005E23A8">
              <w:rPr>
                <w:rFonts w:ascii="標楷體" w:hAnsi="標楷體" w:hint="eastAsia"/>
                <w:sz w:val="20"/>
                <w:szCs w:val="20"/>
                <w:lang w:eastAsia="zh-HK"/>
              </w:rPr>
              <w:t>積極辦理地方稅稽徵業務並維護租稅公平，惟賦稅捐費徵課作業仍有未盡嚴謹情事，亟待持續檢討改善</w:t>
            </w:r>
            <w:r w:rsidRPr="00A842B1">
              <w:rPr>
                <w:rFonts w:ascii="標楷體" w:hAnsi="標楷體" w:hint="eastAsia"/>
                <w:sz w:val="20"/>
                <w:szCs w:val="20"/>
                <w:lang w:eastAsia="zh-HK"/>
              </w:rPr>
              <w:t>。</w:t>
            </w:r>
          </w:p>
        </w:tc>
        <w:tc>
          <w:tcPr>
            <w:tcW w:w="1660" w:type="pct"/>
            <w:tcBorders>
              <w:top w:val="single" w:sz="4" w:space="0" w:color="auto"/>
              <w:left w:val="single" w:sz="4" w:space="0" w:color="auto"/>
              <w:bottom w:val="single" w:sz="4" w:space="0" w:color="auto"/>
              <w:right w:val="single" w:sz="4" w:space="0" w:color="auto"/>
            </w:tcBorders>
            <w:vAlign w:val="center"/>
          </w:tcPr>
          <w:p w14:paraId="2B60D6DF" w14:textId="06BB3D8C" w:rsidR="00803075" w:rsidRPr="004370A9" w:rsidRDefault="00803075" w:rsidP="00504302">
            <w:pPr>
              <w:snapToGrid w:val="0"/>
              <w:spacing w:line="480" w:lineRule="exact"/>
              <w:jc w:val="both"/>
              <w:textAlignment w:val="center"/>
              <w:rPr>
                <w:rFonts w:ascii="標楷體" w:hAnsi="標楷體"/>
                <w:sz w:val="20"/>
              </w:rPr>
            </w:pPr>
            <w:r w:rsidRPr="004370A9">
              <w:rPr>
                <w:rFonts w:ascii="標楷體" w:hAnsi="標楷體" w:hint="eastAsia"/>
                <w:sz w:val="20"/>
              </w:rPr>
              <w:t>因</w:t>
            </w:r>
            <w:r w:rsidRPr="0093472D">
              <w:rPr>
                <w:rFonts w:ascii="標楷體" w:hAnsi="標楷體" w:hint="eastAsia"/>
                <w:sz w:val="20"/>
              </w:rPr>
              <w:t>賦稅捐費徵課作業仍有未盡嚴謹情事</w:t>
            </w:r>
            <w:r w:rsidRPr="004370A9">
              <w:rPr>
                <w:rFonts w:ascii="標楷體" w:hAnsi="標楷體" w:hint="eastAsia"/>
                <w:sz w:val="20"/>
              </w:rPr>
              <w:t>，業再研提審核意見詳「</w:t>
            </w:r>
            <w:r>
              <w:rPr>
                <w:rFonts w:ascii="標楷體" w:hAnsi="標楷體" w:hint="eastAsia"/>
                <w:sz w:val="20"/>
              </w:rPr>
              <w:t>三</w:t>
            </w:r>
            <w:r w:rsidRPr="004370A9">
              <w:rPr>
                <w:rFonts w:ascii="標楷體" w:hAnsi="標楷體" w:hint="eastAsia"/>
                <w:sz w:val="20"/>
              </w:rPr>
              <w:t>、重要審核意見</w:t>
            </w:r>
            <w:r>
              <w:rPr>
                <w:rFonts w:ascii="標楷體" w:hAnsi="標楷體" w:hint="eastAsia"/>
                <w:sz w:val="20"/>
              </w:rPr>
              <w:t>（五）</w:t>
            </w:r>
            <w:r w:rsidRPr="004370A9">
              <w:rPr>
                <w:rFonts w:ascii="標楷體" w:hAnsi="標楷體" w:hint="eastAsia"/>
                <w:sz w:val="20"/>
              </w:rPr>
              <w:t>」。</w:t>
            </w:r>
          </w:p>
        </w:tc>
      </w:tr>
      <w:tr w:rsidR="00E76E2B" w:rsidRPr="004370A9" w14:paraId="67733204" w14:textId="77777777" w:rsidTr="00504302">
        <w:trPr>
          <w:trHeight w:val="514"/>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16A8DEAC" w14:textId="77777777" w:rsidR="00E76E2B" w:rsidRPr="004370A9" w:rsidRDefault="00E76E2B" w:rsidP="004F3604">
            <w:pPr>
              <w:widowControl/>
              <w:overflowPunct w:val="0"/>
              <w:spacing w:line="280" w:lineRule="exact"/>
              <w:jc w:val="both"/>
              <w:rPr>
                <w:rFonts w:ascii="標楷體" w:hAnsi="標楷體" w:cs="新細明體"/>
                <w:b/>
                <w:bCs/>
                <w:sz w:val="20"/>
                <w:szCs w:val="20"/>
              </w:rPr>
            </w:pPr>
            <w:r>
              <w:rPr>
                <w:rFonts w:ascii="標楷體" w:hAnsi="標楷體" w:hint="eastAsia"/>
                <w:b/>
                <w:sz w:val="20"/>
                <w:lang w:eastAsia="zh-HK"/>
              </w:rPr>
              <w:t>已研謀</w:t>
            </w:r>
            <w:r w:rsidRPr="004370A9">
              <w:rPr>
                <w:rFonts w:ascii="標楷體" w:hAnsi="標楷體" w:hint="eastAsia"/>
                <w:b/>
                <w:sz w:val="20"/>
                <w:lang w:eastAsia="zh-HK"/>
              </w:rPr>
              <w:t>改善</w:t>
            </w:r>
            <w:r>
              <w:rPr>
                <w:rFonts w:ascii="標楷體" w:hAnsi="標楷體" w:hint="eastAsia"/>
                <w:b/>
                <w:sz w:val="20"/>
                <w:lang w:eastAsia="zh-HK"/>
              </w:rPr>
              <w:t>或依改善措施持續辦理</w:t>
            </w:r>
          </w:p>
        </w:tc>
      </w:tr>
      <w:tr w:rsidR="00E76E2B" w:rsidRPr="004370A9" w14:paraId="46FE8C45"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vAlign w:val="center"/>
          </w:tcPr>
          <w:p w14:paraId="4952B2DF" w14:textId="77777777" w:rsidR="00E76E2B" w:rsidRPr="004370A9" w:rsidRDefault="00E76E2B" w:rsidP="004F3604">
            <w:pPr>
              <w:snapToGrid w:val="0"/>
              <w:spacing w:before="100" w:beforeAutospacing="1" w:after="100" w:afterAutospacing="1" w:line="480" w:lineRule="exact"/>
              <w:ind w:leftChars="-11" w:left="570" w:hangingChars="294" w:hanging="588"/>
              <w:jc w:val="both"/>
              <w:textAlignment w:val="center"/>
              <w:rPr>
                <w:rFonts w:ascii="標楷體" w:hAnsi="標楷體"/>
                <w:sz w:val="20"/>
                <w:szCs w:val="20"/>
              </w:rPr>
            </w:pPr>
            <w:r>
              <w:rPr>
                <w:rFonts w:ascii="標楷體" w:hAnsi="標楷體" w:hint="eastAsia"/>
                <w:sz w:val="20"/>
                <w:szCs w:val="20"/>
              </w:rPr>
              <w:t>（一）</w:t>
            </w:r>
            <w:r w:rsidRPr="005E23A8">
              <w:rPr>
                <w:rFonts w:ascii="標楷體" w:hAnsi="標楷體" w:hint="eastAsia"/>
                <w:sz w:val="20"/>
                <w:szCs w:val="20"/>
                <w:lang w:eastAsia="zh-HK"/>
              </w:rPr>
              <w:t>積極推動各項市政建設，並依法舉借債務籌措財源，惟部分自償性債務舉借及償還計畫案辦理期程延宕，增加未來償債財源受不確定經濟因素影響之風險，亟待研議建立相關控管機制，協助計畫主辦機關落實檢討經濟變動因素對其自償性債務償債財源之影響，以維財政健全</w:t>
            </w:r>
            <w:r w:rsidRPr="00A842B1">
              <w:rPr>
                <w:rFonts w:ascii="標楷體" w:hAnsi="標楷體" w:hint="eastAsia"/>
                <w:sz w:val="20"/>
                <w:szCs w:val="20"/>
                <w:lang w:eastAsia="zh-HK"/>
              </w:rPr>
              <w:t>。</w:t>
            </w:r>
          </w:p>
        </w:tc>
        <w:tc>
          <w:tcPr>
            <w:tcW w:w="1660" w:type="pct"/>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04A4F2AD" w14:textId="77777777" w:rsidR="00E76E2B" w:rsidRPr="005E23A8" w:rsidRDefault="00E76E2B" w:rsidP="004F3604">
            <w:pPr>
              <w:snapToGrid w:val="0"/>
              <w:spacing w:line="480" w:lineRule="exact"/>
              <w:jc w:val="both"/>
              <w:textAlignment w:val="center"/>
              <w:rPr>
                <w:rFonts w:ascii="標楷體" w:hAnsi="標楷體"/>
                <w:sz w:val="20"/>
              </w:rPr>
            </w:pPr>
          </w:p>
        </w:tc>
      </w:tr>
      <w:tr w:rsidR="00E76E2B" w:rsidRPr="004370A9" w14:paraId="515FEC7E"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vAlign w:val="center"/>
          </w:tcPr>
          <w:p w14:paraId="2E582077" w14:textId="77777777" w:rsidR="00E76E2B" w:rsidRPr="0093472D" w:rsidRDefault="00E76E2B" w:rsidP="004F3604">
            <w:pPr>
              <w:snapToGrid w:val="0"/>
              <w:spacing w:before="100" w:beforeAutospacing="1" w:after="100" w:afterAutospacing="1" w:line="480" w:lineRule="exact"/>
              <w:ind w:leftChars="-11" w:left="556" w:hangingChars="287" w:hanging="574"/>
              <w:jc w:val="both"/>
              <w:textAlignment w:val="center"/>
              <w:rPr>
                <w:rFonts w:ascii="標楷體" w:hAnsi="標楷體"/>
                <w:sz w:val="20"/>
                <w:szCs w:val="20"/>
                <w:lang w:eastAsia="zh-HK"/>
              </w:rPr>
            </w:pPr>
            <w:r>
              <w:rPr>
                <w:rFonts w:ascii="標楷體" w:hAnsi="標楷體" w:hint="eastAsia"/>
                <w:sz w:val="20"/>
                <w:szCs w:val="20"/>
              </w:rPr>
              <w:t>（二）</w:t>
            </w:r>
            <w:r w:rsidRPr="005E23A8">
              <w:rPr>
                <w:rFonts w:ascii="標楷體" w:hAnsi="標楷體" w:hint="eastAsia"/>
                <w:sz w:val="20"/>
                <w:szCs w:val="20"/>
                <w:lang w:eastAsia="zh-HK"/>
              </w:rPr>
              <w:t>積極管理市有不動產，並賡續依規定辦理被占用市有不動產清理作業，維護市府產權，惟相關管理作為仍欠周妥，亟待研謀妥處</w:t>
            </w:r>
            <w:r>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tcPr>
          <w:p w14:paraId="05E23034" w14:textId="77777777" w:rsidR="00E76E2B" w:rsidRPr="004370A9" w:rsidRDefault="00E76E2B" w:rsidP="004F3604">
            <w:pPr>
              <w:snapToGrid w:val="0"/>
              <w:spacing w:beforeLines="13" w:before="46" w:line="480" w:lineRule="exact"/>
              <w:jc w:val="both"/>
              <w:textAlignment w:val="center"/>
              <w:rPr>
                <w:rFonts w:ascii="標楷體" w:hAnsi="標楷體"/>
                <w:sz w:val="20"/>
              </w:rPr>
            </w:pPr>
          </w:p>
        </w:tc>
      </w:tr>
      <w:tr w:rsidR="00E76E2B" w:rsidRPr="004370A9" w14:paraId="6C4C7E5D"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vAlign w:val="center"/>
          </w:tcPr>
          <w:p w14:paraId="6800810D" w14:textId="77777777" w:rsidR="00E76E2B" w:rsidRPr="004370A9" w:rsidRDefault="00E76E2B" w:rsidP="004F3604">
            <w:pPr>
              <w:snapToGrid w:val="0"/>
              <w:spacing w:after="100" w:afterAutospacing="1" w:line="480" w:lineRule="exact"/>
              <w:ind w:left="556" w:hangingChars="278" w:hanging="556"/>
              <w:jc w:val="both"/>
              <w:textAlignment w:val="center"/>
              <w:rPr>
                <w:rFonts w:ascii="標楷體" w:hAnsi="標楷體"/>
                <w:sz w:val="20"/>
                <w:szCs w:val="20"/>
              </w:rPr>
            </w:pPr>
            <w:r>
              <w:rPr>
                <w:rFonts w:ascii="標楷體" w:hAnsi="標楷體" w:hint="eastAsia"/>
                <w:sz w:val="20"/>
                <w:szCs w:val="20"/>
              </w:rPr>
              <w:t>（三）</w:t>
            </w:r>
            <w:r w:rsidRPr="005E23A8">
              <w:rPr>
                <w:rFonts w:ascii="標楷體" w:hAnsi="標楷體" w:hint="eastAsia"/>
                <w:sz w:val="20"/>
                <w:szCs w:val="20"/>
                <w:lang w:eastAsia="zh-HK"/>
              </w:rPr>
              <w:t>持續辦理私劣菸酒抽檢及查察作業，避免私劣菸酒對稅收及市民健康造成衝擊，惟未衡酌風險程度妥慎擇選抽檢對象，且抽檢作業仍欠嚴謹周延，亟待研謀妥處，以提升查緝成效</w:t>
            </w:r>
            <w:r w:rsidRPr="00D355E6">
              <w:rPr>
                <w:rFonts w:ascii="標楷體" w:hAnsi="標楷體"/>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vAlign w:val="center"/>
          </w:tcPr>
          <w:p w14:paraId="7663C369" w14:textId="77777777" w:rsidR="00E76E2B" w:rsidRPr="00DA6304" w:rsidRDefault="00E76E2B" w:rsidP="004F3604">
            <w:pPr>
              <w:snapToGrid w:val="0"/>
              <w:spacing w:line="480" w:lineRule="exact"/>
              <w:jc w:val="both"/>
              <w:textAlignment w:val="center"/>
              <w:rPr>
                <w:rFonts w:ascii="標楷體" w:hAnsi="標楷體"/>
                <w:sz w:val="20"/>
              </w:rPr>
            </w:pPr>
          </w:p>
        </w:tc>
      </w:tr>
      <w:tr w:rsidR="00E76E2B" w:rsidRPr="004370A9" w14:paraId="7D247EE4" w14:textId="77777777" w:rsidTr="00123F14">
        <w:trPr>
          <w:trHeight w:val="1474"/>
        </w:trPr>
        <w:tc>
          <w:tcPr>
            <w:tcW w:w="3340" w:type="pct"/>
            <w:tcBorders>
              <w:top w:val="single" w:sz="4" w:space="0" w:color="auto"/>
              <w:left w:val="single" w:sz="4" w:space="0" w:color="auto"/>
              <w:bottom w:val="single" w:sz="4" w:space="0" w:color="auto"/>
              <w:right w:val="single" w:sz="4" w:space="0" w:color="auto"/>
            </w:tcBorders>
            <w:vAlign w:val="center"/>
          </w:tcPr>
          <w:p w14:paraId="7B689447" w14:textId="4C1B868B" w:rsidR="00E76E2B" w:rsidRPr="00DA6304" w:rsidRDefault="00E76E2B" w:rsidP="004F3604">
            <w:pPr>
              <w:snapToGrid w:val="0"/>
              <w:spacing w:after="100" w:afterAutospacing="1" w:line="480" w:lineRule="exact"/>
              <w:ind w:left="570" w:hangingChars="285" w:hanging="570"/>
              <w:jc w:val="both"/>
              <w:textAlignment w:val="center"/>
              <w:rPr>
                <w:rFonts w:ascii="標楷體" w:hAnsi="標楷體"/>
                <w:sz w:val="20"/>
                <w:szCs w:val="20"/>
              </w:rPr>
            </w:pPr>
            <w:r>
              <w:rPr>
                <w:rFonts w:ascii="標楷體" w:hAnsi="標楷體" w:hint="eastAsia"/>
                <w:sz w:val="20"/>
                <w:szCs w:val="20"/>
              </w:rPr>
              <w:t>（</w:t>
            </w:r>
            <w:r w:rsidR="00803075">
              <w:rPr>
                <w:rFonts w:ascii="標楷體" w:hAnsi="標楷體" w:hint="eastAsia"/>
                <w:sz w:val="20"/>
                <w:szCs w:val="20"/>
              </w:rPr>
              <w:t>四</w:t>
            </w:r>
            <w:r>
              <w:rPr>
                <w:rFonts w:ascii="標楷體" w:hAnsi="標楷體" w:hint="eastAsia"/>
                <w:sz w:val="20"/>
                <w:szCs w:val="20"/>
              </w:rPr>
              <w:t>）</w:t>
            </w:r>
            <w:r w:rsidRPr="005E23A8">
              <w:rPr>
                <w:rFonts w:ascii="標楷體" w:hAnsi="標楷體" w:hint="eastAsia"/>
                <w:sz w:val="20"/>
                <w:szCs w:val="20"/>
                <w:lang w:eastAsia="zh-HK"/>
              </w:rPr>
              <w:t>持續辦理轄內漁會信用部相關業務督考作業，促使穩健經營，惟部分漁會逾期放款比率及資本適足比率連續2年度未見改善，仍待持續關注督促妥處，並研議建立相關業務考核規範，以強化基層金融監理輔導功能</w:t>
            </w:r>
            <w:r w:rsidRPr="00DA6304">
              <w:rPr>
                <w:rFonts w:ascii="標楷體" w:hAnsi="標楷體" w:hint="eastAsia"/>
                <w:sz w:val="20"/>
                <w:szCs w:val="20"/>
                <w:lang w:eastAsia="zh-HK"/>
              </w:rPr>
              <w:t>。</w:t>
            </w:r>
          </w:p>
        </w:tc>
        <w:tc>
          <w:tcPr>
            <w:tcW w:w="1660" w:type="pct"/>
            <w:vMerge/>
            <w:tcBorders>
              <w:left w:val="single" w:sz="4" w:space="0" w:color="auto"/>
              <w:bottom w:val="single" w:sz="4" w:space="0" w:color="auto"/>
              <w:right w:val="single" w:sz="4" w:space="0" w:color="auto"/>
              <w:tl2br w:val="single" w:sz="4" w:space="0" w:color="auto"/>
            </w:tcBorders>
            <w:vAlign w:val="center"/>
          </w:tcPr>
          <w:p w14:paraId="760D73E8" w14:textId="77777777" w:rsidR="00E76E2B" w:rsidRPr="00DA6304" w:rsidRDefault="00E76E2B" w:rsidP="004F3604">
            <w:pPr>
              <w:snapToGrid w:val="0"/>
              <w:spacing w:line="480" w:lineRule="exact"/>
              <w:jc w:val="both"/>
              <w:textAlignment w:val="center"/>
              <w:rPr>
                <w:rFonts w:ascii="標楷體" w:hAnsi="標楷體"/>
                <w:spacing w:val="-2"/>
                <w:sz w:val="20"/>
              </w:rPr>
            </w:pPr>
          </w:p>
        </w:tc>
      </w:tr>
    </w:tbl>
    <w:p w14:paraId="0088AE30" w14:textId="77777777" w:rsidR="003F3384" w:rsidRPr="00504302" w:rsidRDefault="003F3384" w:rsidP="008229A1">
      <w:pPr>
        <w:widowControl/>
        <w:spacing w:beforeLines="10" w:before="36" w:line="20" w:lineRule="exact"/>
        <w:jc w:val="both"/>
        <w:rPr>
          <w:rStyle w:val="fontstyle01"/>
          <w:rFonts w:hint="default"/>
          <w:sz w:val="24"/>
          <w:szCs w:val="24"/>
        </w:rPr>
      </w:pPr>
    </w:p>
    <w:sectPr w:rsidR="003F3384" w:rsidRPr="00504302" w:rsidSect="00790E54">
      <w:footerReference w:type="default" r:id="rId8"/>
      <w:pgSz w:w="11906" w:h="16838"/>
      <w:pgMar w:top="1418" w:right="1134" w:bottom="1418" w:left="1134" w:header="851" w:footer="992" w:gutter="284"/>
      <w:pgNumType w:start="5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02973" w14:textId="77777777" w:rsidR="00686C37" w:rsidRDefault="00686C37" w:rsidP="00F70476">
      <w:r>
        <w:separator/>
      </w:r>
    </w:p>
  </w:endnote>
  <w:endnote w:type="continuationSeparator" w:id="0">
    <w:p w14:paraId="4C188C36" w14:textId="77777777" w:rsidR="00686C37" w:rsidRDefault="00686C37"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9ADE" w14:textId="5A912F44" w:rsidR="005668D4" w:rsidRPr="0057063D" w:rsidRDefault="00790E54" w:rsidP="00334F34">
    <w:pPr>
      <w:pStyle w:val="af0"/>
      <w:jc w:val="center"/>
      <w:rPr>
        <w:rFonts w:ascii="標楷體" w:hAnsi="標楷體"/>
      </w:rPr>
    </w:pPr>
    <w:r w:rsidRPr="006E5005">
      <w:rPr>
        <w:rFonts w:ascii="標楷體" w:hAnsi="標楷體" w:hint="eastAsia"/>
        <w:lang w:eastAsia="zh-TW"/>
      </w:rPr>
      <w:t>乙-</w:t>
    </w:r>
    <w:sdt>
      <w:sdtPr>
        <w:rPr>
          <w:rFonts w:ascii="標楷體" w:hAnsi="標楷體"/>
        </w:rPr>
        <w:id w:val="970872502"/>
        <w:docPartObj>
          <w:docPartGallery w:val="Page Numbers (Bottom of Page)"/>
          <w:docPartUnique/>
        </w:docPartObj>
      </w:sdtPr>
      <w:sdtEndPr/>
      <w:sdtContent>
        <w:r w:rsidRPr="006E5005">
          <w:rPr>
            <w:rFonts w:ascii="標楷體" w:hAnsi="標楷體"/>
          </w:rPr>
          <w:fldChar w:fldCharType="begin"/>
        </w:r>
        <w:r w:rsidRPr="006E5005">
          <w:rPr>
            <w:rFonts w:ascii="標楷體" w:hAnsi="標楷體"/>
          </w:rPr>
          <w:instrText>PAGE   \* MERGEFORMAT</w:instrText>
        </w:r>
        <w:r w:rsidRPr="006E5005">
          <w:rPr>
            <w:rFonts w:ascii="標楷體" w:hAnsi="標楷體"/>
          </w:rPr>
          <w:fldChar w:fldCharType="separate"/>
        </w:r>
        <w:r w:rsidRPr="006E5005">
          <w:rPr>
            <w:rFonts w:ascii="標楷體" w:hAnsi="標楷體"/>
            <w:lang w:val="zh-TW" w:eastAsia="zh-TW"/>
          </w:rPr>
          <w:t>2</w:t>
        </w:r>
        <w:r w:rsidRPr="006E5005">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B8965" w14:textId="77777777" w:rsidR="00686C37" w:rsidRDefault="00686C37" w:rsidP="00F70476">
      <w:r>
        <w:separator/>
      </w:r>
    </w:p>
  </w:footnote>
  <w:footnote w:type="continuationSeparator" w:id="0">
    <w:p w14:paraId="6D23B7C3" w14:textId="77777777" w:rsidR="00686C37" w:rsidRDefault="00686C37"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5753A02"/>
    <w:multiLevelType w:val="hybridMultilevel"/>
    <w:tmpl w:val="16840FA6"/>
    <w:lvl w:ilvl="0" w:tplc="E01C49F8">
      <w:start w:val="1"/>
      <w:numFmt w:val="taiwaneseCountingThousand"/>
      <w:lvlText w:val="（%1）"/>
      <w:lvlJc w:val="left"/>
      <w:pPr>
        <w:ind w:left="1374" w:hanging="87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16cid:durableId="515392000">
    <w:abstractNumId w:val="26"/>
  </w:num>
  <w:num w:numId="2" w16cid:durableId="1769499808">
    <w:abstractNumId w:val="11"/>
  </w:num>
  <w:num w:numId="3" w16cid:durableId="178932091">
    <w:abstractNumId w:val="21"/>
  </w:num>
  <w:num w:numId="4" w16cid:durableId="74060332">
    <w:abstractNumId w:val="8"/>
  </w:num>
  <w:num w:numId="5" w16cid:durableId="656612253">
    <w:abstractNumId w:val="3"/>
  </w:num>
  <w:num w:numId="6" w16cid:durableId="462121571">
    <w:abstractNumId w:val="2"/>
  </w:num>
  <w:num w:numId="7" w16cid:durableId="801382154">
    <w:abstractNumId w:val="1"/>
  </w:num>
  <w:num w:numId="8" w16cid:durableId="2000644907">
    <w:abstractNumId w:val="0"/>
  </w:num>
  <w:num w:numId="9" w16cid:durableId="1943218813">
    <w:abstractNumId w:val="9"/>
  </w:num>
  <w:num w:numId="10" w16cid:durableId="502358482">
    <w:abstractNumId w:val="7"/>
  </w:num>
  <w:num w:numId="11" w16cid:durableId="578949853">
    <w:abstractNumId w:val="6"/>
  </w:num>
  <w:num w:numId="12" w16cid:durableId="1609459088">
    <w:abstractNumId w:val="5"/>
  </w:num>
  <w:num w:numId="13" w16cid:durableId="1478304643">
    <w:abstractNumId w:val="4"/>
  </w:num>
  <w:num w:numId="14" w16cid:durableId="1243489187">
    <w:abstractNumId w:val="13"/>
  </w:num>
  <w:num w:numId="15" w16cid:durableId="1795127471">
    <w:abstractNumId w:val="10"/>
  </w:num>
  <w:num w:numId="16" w16cid:durableId="59791138">
    <w:abstractNumId w:val="27"/>
  </w:num>
  <w:num w:numId="17" w16cid:durableId="742683703">
    <w:abstractNumId w:val="12"/>
  </w:num>
  <w:num w:numId="18" w16cid:durableId="676885786">
    <w:abstractNumId w:val="18"/>
  </w:num>
  <w:num w:numId="19" w16cid:durableId="509024348">
    <w:abstractNumId w:val="17"/>
  </w:num>
  <w:num w:numId="20" w16cid:durableId="2009016811">
    <w:abstractNumId w:val="29"/>
  </w:num>
  <w:num w:numId="21" w16cid:durableId="1661304087">
    <w:abstractNumId w:val="22"/>
  </w:num>
  <w:num w:numId="22" w16cid:durableId="1101291598">
    <w:abstractNumId w:val="15"/>
  </w:num>
  <w:num w:numId="23" w16cid:durableId="51126324">
    <w:abstractNumId w:val="14"/>
  </w:num>
  <w:num w:numId="24" w16cid:durableId="1414472094">
    <w:abstractNumId w:val="25"/>
  </w:num>
  <w:num w:numId="25" w16cid:durableId="1918124765">
    <w:abstractNumId w:val="28"/>
  </w:num>
  <w:num w:numId="26" w16cid:durableId="159203329">
    <w:abstractNumId w:val="20"/>
  </w:num>
  <w:num w:numId="27" w16cid:durableId="2030174797">
    <w:abstractNumId w:val="19"/>
  </w:num>
  <w:num w:numId="28" w16cid:durableId="1092779005">
    <w:abstractNumId w:val="24"/>
  </w:num>
  <w:num w:numId="29" w16cid:durableId="688995194">
    <w:abstractNumId w:val="16"/>
  </w:num>
  <w:num w:numId="30" w16cid:durableId="13747656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EC3"/>
    <w:rsid w:val="000009DB"/>
    <w:rsid w:val="00000D1D"/>
    <w:rsid w:val="00000E43"/>
    <w:rsid w:val="00001207"/>
    <w:rsid w:val="00001C41"/>
    <w:rsid w:val="00002625"/>
    <w:rsid w:val="00002BDA"/>
    <w:rsid w:val="00003D2D"/>
    <w:rsid w:val="00003F65"/>
    <w:rsid w:val="0000425F"/>
    <w:rsid w:val="000042B3"/>
    <w:rsid w:val="00004F31"/>
    <w:rsid w:val="00005F8B"/>
    <w:rsid w:val="000064AD"/>
    <w:rsid w:val="00006581"/>
    <w:rsid w:val="000067D0"/>
    <w:rsid w:val="00006CCB"/>
    <w:rsid w:val="00007542"/>
    <w:rsid w:val="0001038D"/>
    <w:rsid w:val="000109C0"/>
    <w:rsid w:val="00010DAA"/>
    <w:rsid w:val="00011864"/>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BCB"/>
    <w:rsid w:val="00022D40"/>
    <w:rsid w:val="00022E55"/>
    <w:rsid w:val="00022E5A"/>
    <w:rsid w:val="00024B68"/>
    <w:rsid w:val="00025700"/>
    <w:rsid w:val="00026828"/>
    <w:rsid w:val="00027745"/>
    <w:rsid w:val="00027AC0"/>
    <w:rsid w:val="00027DB2"/>
    <w:rsid w:val="00030DE8"/>
    <w:rsid w:val="000316A9"/>
    <w:rsid w:val="00034CA4"/>
    <w:rsid w:val="00034E99"/>
    <w:rsid w:val="000351C7"/>
    <w:rsid w:val="000357AA"/>
    <w:rsid w:val="0003640F"/>
    <w:rsid w:val="000374AC"/>
    <w:rsid w:val="0003777F"/>
    <w:rsid w:val="00040098"/>
    <w:rsid w:val="00040452"/>
    <w:rsid w:val="00040ECB"/>
    <w:rsid w:val="00041461"/>
    <w:rsid w:val="000418D5"/>
    <w:rsid w:val="0004207E"/>
    <w:rsid w:val="0004220F"/>
    <w:rsid w:val="00042380"/>
    <w:rsid w:val="0004307B"/>
    <w:rsid w:val="000435EC"/>
    <w:rsid w:val="00043D26"/>
    <w:rsid w:val="0004479D"/>
    <w:rsid w:val="0004491D"/>
    <w:rsid w:val="00045414"/>
    <w:rsid w:val="00045B38"/>
    <w:rsid w:val="00045D30"/>
    <w:rsid w:val="00045DD0"/>
    <w:rsid w:val="00046014"/>
    <w:rsid w:val="00046E0F"/>
    <w:rsid w:val="00046E2B"/>
    <w:rsid w:val="00046EDA"/>
    <w:rsid w:val="00047045"/>
    <w:rsid w:val="000471B0"/>
    <w:rsid w:val="000503C5"/>
    <w:rsid w:val="0005046E"/>
    <w:rsid w:val="00050B93"/>
    <w:rsid w:val="0005186D"/>
    <w:rsid w:val="00052532"/>
    <w:rsid w:val="000526FD"/>
    <w:rsid w:val="0005285F"/>
    <w:rsid w:val="00052955"/>
    <w:rsid w:val="00052C54"/>
    <w:rsid w:val="00052C73"/>
    <w:rsid w:val="00052CFE"/>
    <w:rsid w:val="00052D9E"/>
    <w:rsid w:val="000536EF"/>
    <w:rsid w:val="00053846"/>
    <w:rsid w:val="0005412C"/>
    <w:rsid w:val="0005439E"/>
    <w:rsid w:val="0005503B"/>
    <w:rsid w:val="0005549A"/>
    <w:rsid w:val="00055EED"/>
    <w:rsid w:val="00056048"/>
    <w:rsid w:val="00056219"/>
    <w:rsid w:val="00056B38"/>
    <w:rsid w:val="00056F04"/>
    <w:rsid w:val="00057C87"/>
    <w:rsid w:val="0006008E"/>
    <w:rsid w:val="000610CF"/>
    <w:rsid w:val="00061F82"/>
    <w:rsid w:val="000625EA"/>
    <w:rsid w:val="00062A5C"/>
    <w:rsid w:val="0006350C"/>
    <w:rsid w:val="00063B8C"/>
    <w:rsid w:val="00064384"/>
    <w:rsid w:val="00064C69"/>
    <w:rsid w:val="0006548E"/>
    <w:rsid w:val="000658C7"/>
    <w:rsid w:val="00065B8C"/>
    <w:rsid w:val="00066CB8"/>
    <w:rsid w:val="00066D57"/>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77D88"/>
    <w:rsid w:val="000800BD"/>
    <w:rsid w:val="000803F0"/>
    <w:rsid w:val="0008060B"/>
    <w:rsid w:val="0008075A"/>
    <w:rsid w:val="0008082E"/>
    <w:rsid w:val="0008104C"/>
    <w:rsid w:val="000811C3"/>
    <w:rsid w:val="00081346"/>
    <w:rsid w:val="00081A12"/>
    <w:rsid w:val="00081F93"/>
    <w:rsid w:val="00082188"/>
    <w:rsid w:val="000822EE"/>
    <w:rsid w:val="0008299D"/>
    <w:rsid w:val="00082B38"/>
    <w:rsid w:val="00083DB3"/>
    <w:rsid w:val="00083E67"/>
    <w:rsid w:val="000843A9"/>
    <w:rsid w:val="00084435"/>
    <w:rsid w:val="00085D76"/>
    <w:rsid w:val="00086B99"/>
    <w:rsid w:val="00086C5C"/>
    <w:rsid w:val="000905BE"/>
    <w:rsid w:val="00090EB5"/>
    <w:rsid w:val="000926C0"/>
    <w:rsid w:val="00092B64"/>
    <w:rsid w:val="0009362C"/>
    <w:rsid w:val="000939F8"/>
    <w:rsid w:val="000941A8"/>
    <w:rsid w:val="0009423B"/>
    <w:rsid w:val="0009429F"/>
    <w:rsid w:val="0009506F"/>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12C3"/>
    <w:rsid w:val="000B21DE"/>
    <w:rsid w:val="000B2DC6"/>
    <w:rsid w:val="000B2DC7"/>
    <w:rsid w:val="000B3D3C"/>
    <w:rsid w:val="000B3FDB"/>
    <w:rsid w:val="000B42E8"/>
    <w:rsid w:val="000B4E5B"/>
    <w:rsid w:val="000B5C27"/>
    <w:rsid w:val="000C1020"/>
    <w:rsid w:val="000C142A"/>
    <w:rsid w:val="000C20AB"/>
    <w:rsid w:val="000C2A8F"/>
    <w:rsid w:val="000C40B9"/>
    <w:rsid w:val="000C48E3"/>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F6"/>
    <w:rsid w:val="000D20DB"/>
    <w:rsid w:val="000D3605"/>
    <w:rsid w:val="000D485E"/>
    <w:rsid w:val="000D4E41"/>
    <w:rsid w:val="000D571C"/>
    <w:rsid w:val="000D58B7"/>
    <w:rsid w:val="000D60C2"/>
    <w:rsid w:val="000D7333"/>
    <w:rsid w:val="000D7C6B"/>
    <w:rsid w:val="000E0244"/>
    <w:rsid w:val="000E07B9"/>
    <w:rsid w:val="000E0EE6"/>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F041E"/>
    <w:rsid w:val="000F0721"/>
    <w:rsid w:val="000F185A"/>
    <w:rsid w:val="000F1F27"/>
    <w:rsid w:val="000F2A67"/>
    <w:rsid w:val="000F34D5"/>
    <w:rsid w:val="000F4749"/>
    <w:rsid w:val="000F4D0C"/>
    <w:rsid w:val="000F5AAB"/>
    <w:rsid w:val="000F723B"/>
    <w:rsid w:val="000F7780"/>
    <w:rsid w:val="000F7AA3"/>
    <w:rsid w:val="000F7AF3"/>
    <w:rsid w:val="000F7BB0"/>
    <w:rsid w:val="00100422"/>
    <w:rsid w:val="0010102B"/>
    <w:rsid w:val="001013B7"/>
    <w:rsid w:val="0010149E"/>
    <w:rsid w:val="0010319A"/>
    <w:rsid w:val="00103F81"/>
    <w:rsid w:val="00104476"/>
    <w:rsid w:val="00104B98"/>
    <w:rsid w:val="00105009"/>
    <w:rsid w:val="00105024"/>
    <w:rsid w:val="00105F13"/>
    <w:rsid w:val="00105F21"/>
    <w:rsid w:val="0010699B"/>
    <w:rsid w:val="00107763"/>
    <w:rsid w:val="00110722"/>
    <w:rsid w:val="00110845"/>
    <w:rsid w:val="00110A32"/>
    <w:rsid w:val="00111875"/>
    <w:rsid w:val="00111B9C"/>
    <w:rsid w:val="00111DC9"/>
    <w:rsid w:val="001129C3"/>
    <w:rsid w:val="00112BD7"/>
    <w:rsid w:val="00113F3D"/>
    <w:rsid w:val="00114CF4"/>
    <w:rsid w:val="00114D79"/>
    <w:rsid w:val="00115D99"/>
    <w:rsid w:val="00115FBC"/>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3F14"/>
    <w:rsid w:val="0012432A"/>
    <w:rsid w:val="0012463C"/>
    <w:rsid w:val="001248C7"/>
    <w:rsid w:val="00125C07"/>
    <w:rsid w:val="00125D76"/>
    <w:rsid w:val="00125E74"/>
    <w:rsid w:val="001261E7"/>
    <w:rsid w:val="001266F9"/>
    <w:rsid w:val="0012687F"/>
    <w:rsid w:val="0012788F"/>
    <w:rsid w:val="00127CC9"/>
    <w:rsid w:val="00127F48"/>
    <w:rsid w:val="00127FED"/>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37CCE"/>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E89"/>
    <w:rsid w:val="00151263"/>
    <w:rsid w:val="001512F1"/>
    <w:rsid w:val="00152CB4"/>
    <w:rsid w:val="00152E1E"/>
    <w:rsid w:val="00152FEC"/>
    <w:rsid w:val="0015408F"/>
    <w:rsid w:val="00154464"/>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582"/>
    <w:rsid w:val="00162784"/>
    <w:rsid w:val="00162A22"/>
    <w:rsid w:val="00162BAC"/>
    <w:rsid w:val="001630E5"/>
    <w:rsid w:val="00163347"/>
    <w:rsid w:val="001633C9"/>
    <w:rsid w:val="00163BCD"/>
    <w:rsid w:val="00163CA5"/>
    <w:rsid w:val="001675DB"/>
    <w:rsid w:val="00167766"/>
    <w:rsid w:val="00167C6D"/>
    <w:rsid w:val="00167E75"/>
    <w:rsid w:val="00167F50"/>
    <w:rsid w:val="0017001B"/>
    <w:rsid w:val="0017098C"/>
    <w:rsid w:val="00170DCA"/>
    <w:rsid w:val="00170E67"/>
    <w:rsid w:val="001713E7"/>
    <w:rsid w:val="00171B84"/>
    <w:rsid w:val="00171D6F"/>
    <w:rsid w:val="00172124"/>
    <w:rsid w:val="00172426"/>
    <w:rsid w:val="00172556"/>
    <w:rsid w:val="0017311D"/>
    <w:rsid w:val="00173F92"/>
    <w:rsid w:val="001741BF"/>
    <w:rsid w:val="001748C3"/>
    <w:rsid w:val="00175348"/>
    <w:rsid w:val="0017583C"/>
    <w:rsid w:val="001762E5"/>
    <w:rsid w:val="0017701A"/>
    <w:rsid w:val="001779E2"/>
    <w:rsid w:val="001804CD"/>
    <w:rsid w:val="00180ADC"/>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A68"/>
    <w:rsid w:val="001B0FDB"/>
    <w:rsid w:val="001B1B3D"/>
    <w:rsid w:val="001B2473"/>
    <w:rsid w:val="001B259D"/>
    <w:rsid w:val="001B28DC"/>
    <w:rsid w:val="001B2D91"/>
    <w:rsid w:val="001B3104"/>
    <w:rsid w:val="001B5131"/>
    <w:rsid w:val="001B5B7D"/>
    <w:rsid w:val="001B5EA8"/>
    <w:rsid w:val="001B5EE3"/>
    <w:rsid w:val="001B6FA3"/>
    <w:rsid w:val="001B7015"/>
    <w:rsid w:val="001B7128"/>
    <w:rsid w:val="001B7836"/>
    <w:rsid w:val="001C0007"/>
    <w:rsid w:val="001C0030"/>
    <w:rsid w:val="001C08F2"/>
    <w:rsid w:val="001C1AFB"/>
    <w:rsid w:val="001C2635"/>
    <w:rsid w:val="001C2F70"/>
    <w:rsid w:val="001C3009"/>
    <w:rsid w:val="001C47BC"/>
    <w:rsid w:val="001C5E59"/>
    <w:rsid w:val="001C688C"/>
    <w:rsid w:val="001C6C51"/>
    <w:rsid w:val="001C7242"/>
    <w:rsid w:val="001C7FD1"/>
    <w:rsid w:val="001D0057"/>
    <w:rsid w:val="001D0777"/>
    <w:rsid w:val="001D09D8"/>
    <w:rsid w:val="001D128B"/>
    <w:rsid w:val="001D15D9"/>
    <w:rsid w:val="001D1EC5"/>
    <w:rsid w:val="001D2B32"/>
    <w:rsid w:val="001D37D0"/>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38A3"/>
    <w:rsid w:val="001F4360"/>
    <w:rsid w:val="001F441D"/>
    <w:rsid w:val="001F4DBE"/>
    <w:rsid w:val="001F50CE"/>
    <w:rsid w:val="001F577A"/>
    <w:rsid w:val="001F5B5C"/>
    <w:rsid w:val="001F66D8"/>
    <w:rsid w:val="001F6A54"/>
    <w:rsid w:val="001F79D2"/>
    <w:rsid w:val="00200094"/>
    <w:rsid w:val="0020022C"/>
    <w:rsid w:val="00200681"/>
    <w:rsid w:val="0020077E"/>
    <w:rsid w:val="00200AAD"/>
    <w:rsid w:val="00200D11"/>
    <w:rsid w:val="00201A86"/>
    <w:rsid w:val="00201ADD"/>
    <w:rsid w:val="0020304F"/>
    <w:rsid w:val="00203729"/>
    <w:rsid w:val="00203751"/>
    <w:rsid w:val="00203BAD"/>
    <w:rsid w:val="00204050"/>
    <w:rsid w:val="002040DC"/>
    <w:rsid w:val="00204365"/>
    <w:rsid w:val="0020438C"/>
    <w:rsid w:val="0020448B"/>
    <w:rsid w:val="002045B4"/>
    <w:rsid w:val="00205878"/>
    <w:rsid w:val="002064E0"/>
    <w:rsid w:val="00206A75"/>
    <w:rsid w:val="00207382"/>
    <w:rsid w:val="00207E8C"/>
    <w:rsid w:val="002109AF"/>
    <w:rsid w:val="00210B10"/>
    <w:rsid w:val="00210E0F"/>
    <w:rsid w:val="00210F31"/>
    <w:rsid w:val="002115B3"/>
    <w:rsid w:val="002118F1"/>
    <w:rsid w:val="00212DBA"/>
    <w:rsid w:val="00213B43"/>
    <w:rsid w:val="00214200"/>
    <w:rsid w:val="0021451C"/>
    <w:rsid w:val="00214694"/>
    <w:rsid w:val="002150D8"/>
    <w:rsid w:val="00217D64"/>
    <w:rsid w:val="00217FD6"/>
    <w:rsid w:val="00220425"/>
    <w:rsid w:val="0022066A"/>
    <w:rsid w:val="00220737"/>
    <w:rsid w:val="00221CDC"/>
    <w:rsid w:val="00221DD1"/>
    <w:rsid w:val="00222579"/>
    <w:rsid w:val="002227B5"/>
    <w:rsid w:val="00222C46"/>
    <w:rsid w:val="00222E6E"/>
    <w:rsid w:val="002238E5"/>
    <w:rsid w:val="00223C09"/>
    <w:rsid w:val="002246B5"/>
    <w:rsid w:val="00224A2F"/>
    <w:rsid w:val="00225618"/>
    <w:rsid w:val="00225829"/>
    <w:rsid w:val="002268D3"/>
    <w:rsid w:val="0022693E"/>
    <w:rsid w:val="002300D0"/>
    <w:rsid w:val="002305BE"/>
    <w:rsid w:val="0023133F"/>
    <w:rsid w:val="00231874"/>
    <w:rsid w:val="002320A0"/>
    <w:rsid w:val="00232C28"/>
    <w:rsid w:val="00232DFF"/>
    <w:rsid w:val="002335FD"/>
    <w:rsid w:val="0023369F"/>
    <w:rsid w:val="0023478D"/>
    <w:rsid w:val="0023483B"/>
    <w:rsid w:val="00234A80"/>
    <w:rsid w:val="00235383"/>
    <w:rsid w:val="002358D8"/>
    <w:rsid w:val="002359BD"/>
    <w:rsid w:val="00235CD2"/>
    <w:rsid w:val="002373AA"/>
    <w:rsid w:val="0023783D"/>
    <w:rsid w:val="00237C6B"/>
    <w:rsid w:val="0024001B"/>
    <w:rsid w:val="002405AE"/>
    <w:rsid w:val="00240E88"/>
    <w:rsid w:val="00240F7C"/>
    <w:rsid w:val="00241522"/>
    <w:rsid w:val="002417FE"/>
    <w:rsid w:val="0024192F"/>
    <w:rsid w:val="00241D9D"/>
    <w:rsid w:val="002424DB"/>
    <w:rsid w:val="00242825"/>
    <w:rsid w:val="00242DFB"/>
    <w:rsid w:val="00243683"/>
    <w:rsid w:val="002440AA"/>
    <w:rsid w:val="00244696"/>
    <w:rsid w:val="00245114"/>
    <w:rsid w:val="0024596E"/>
    <w:rsid w:val="00245EF7"/>
    <w:rsid w:val="002460C8"/>
    <w:rsid w:val="002465AD"/>
    <w:rsid w:val="00246933"/>
    <w:rsid w:val="00246BE9"/>
    <w:rsid w:val="00246D35"/>
    <w:rsid w:val="00247019"/>
    <w:rsid w:val="002470CF"/>
    <w:rsid w:val="0024729F"/>
    <w:rsid w:val="00247542"/>
    <w:rsid w:val="002478EB"/>
    <w:rsid w:val="00247A32"/>
    <w:rsid w:val="00250871"/>
    <w:rsid w:val="00250AF1"/>
    <w:rsid w:val="00250CF6"/>
    <w:rsid w:val="00251B28"/>
    <w:rsid w:val="00251F87"/>
    <w:rsid w:val="002526E8"/>
    <w:rsid w:val="002527EF"/>
    <w:rsid w:val="00252AD7"/>
    <w:rsid w:val="00255158"/>
    <w:rsid w:val="002556F0"/>
    <w:rsid w:val="00256ABB"/>
    <w:rsid w:val="002573FB"/>
    <w:rsid w:val="00257431"/>
    <w:rsid w:val="0025764C"/>
    <w:rsid w:val="002577AE"/>
    <w:rsid w:val="00257E54"/>
    <w:rsid w:val="00260569"/>
    <w:rsid w:val="00261C3E"/>
    <w:rsid w:val="00262518"/>
    <w:rsid w:val="002627FC"/>
    <w:rsid w:val="00263287"/>
    <w:rsid w:val="00263486"/>
    <w:rsid w:val="002636D2"/>
    <w:rsid w:val="00264469"/>
    <w:rsid w:val="00264C2C"/>
    <w:rsid w:val="00265011"/>
    <w:rsid w:val="00265F6B"/>
    <w:rsid w:val="002665DB"/>
    <w:rsid w:val="00266924"/>
    <w:rsid w:val="002671E0"/>
    <w:rsid w:val="00267ED6"/>
    <w:rsid w:val="002708A5"/>
    <w:rsid w:val="00271287"/>
    <w:rsid w:val="00271393"/>
    <w:rsid w:val="0027160E"/>
    <w:rsid w:val="00271651"/>
    <w:rsid w:val="002717B4"/>
    <w:rsid w:val="0027302D"/>
    <w:rsid w:val="00273447"/>
    <w:rsid w:val="002744A2"/>
    <w:rsid w:val="00274C6D"/>
    <w:rsid w:val="00275076"/>
    <w:rsid w:val="0027588C"/>
    <w:rsid w:val="00275BC8"/>
    <w:rsid w:val="00275CF4"/>
    <w:rsid w:val="00275E81"/>
    <w:rsid w:val="00276263"/>
    <w:rsid w:val="00276591"/>
    <w:rsid w:val="00276CB3"/>
    <w:rsid w:val="002773A5"/>
    <w:rsid w:val="00277666"/>
    <w:rsid w:val="00277C6D"/>
    <w:rsid w:val="00280A07"/>
    <w:rsid w:val="00280F4E"/>
    <w:rsid w:val="00281ED9"/>
    <w:rsid w:val="00282B8F"/>
    <w:rsid w:val="00283120"/>
    <w:rsid w:val="0028399A"/>
    <w:rsid w:val="002849C9"/>
    <w:rsid w:val="00285CA6"/>
    <w:rsid w:val="00286216"/>
    <w:rsid w:val="002864A9"/>
    <w:rsid w:val="002868F2"/>
    <w:rsid w:val="00287789"/>
    <w:rsid w:val="00287D75"/>
    <w:rsid w:val="00290254"/>
    <w:rsid w:val="002902CC"/>
    <w:rsid w:val="00290346"/>
    <w:rsid w:val="002906F3"/>
    <w:rsid w:val="0029124D"/>
    <w:rsid w:val="00291CDF"/>
    <w:rsid w:val="002920E6"/>
    <w:rsid w:val="00292178"/>
    <w:rsid w:val="0029299A"/>
    <w:rsid w:val="00292FDC"/>
    <w:rsid w:val="00293016"/>
    <w:rsid w:val="00293D02"/>
    <w:rsid w:val="00293FEF"/>
    <w:rsid w:val="00294428"/>
    <w:rsid w:val="00294832"/>
    <w:rsid w:val="00294F1F"/>
    <w:rsid w:val="00295423"/>
    <w:rsid w:val="002961B1"/>
    <w:rsid w:val="00296EDF"/>
    <w:rsid w:val="002971D4"/>
    <w:rsid w:val="002979CC"/>
    <w:rsid w:val="00297FBA"/>
    <w:rsid w:val="002A1C5E"/>
    <w:rsid w:val="002A1CAC"/>
    <w:rsid w:val="002A34AA"/>
    <w:rsid w:val="002A374A"/>
    <w:rsid w:val="002A40EF"/>
    <w:rsid w:val="002A4611"/>
    <w:rsid w:val="002A46B6"/>
    <w:rsid w:val="002A4884"/>
    <w:rsid w:val="002A5965"/>
    <w:rsid w:val="002A5BD1"/>
    <w:rsid w:val="002A6854"/>
    <w:rsid w:val="002A6A72"/>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3E67"/>
    <w:rsid w:val="002C48F0"/>
    <w:rsid w:val="002C4D45"/>
    <w:rsid w:val="002C5192"/>
    <w:rsid w:val="002C5821"/>
    <w:rsid w:val="002C58EE"/>
    <w:rsid w:val="002C5B3C"/>
    <w:rsid w:val="002C6542"/>
    <w:rsid w:val="002C6563"/>
    <w:rsid w:val="002C675A"/>
    <w:rsid w:val="002C6D3C"/>
    <w:rsid w:val="002C6D56"/>
    <w:rsid w:val="002C7DC8"/>
    <w:rsid w:val="002C7E47"/>
    <w:rsid w:val="002D035A"/>
    <w:rsid w:val="002D08E1"/>
    <w:rsid w:val="002D1B80"/>
    <w:rsid w:val="002D1C59"/>
    <w:rsid w:val="002D1DCC"/>
    <w:rsid w:val="002D1F2C"/>
    <w:rsid w:val="002D27AB"/>
    <w:rsid w:val="002D2883"/>
    <w:rsid w:val="002D2EF2"/>
    <w:rsid w:val="002D2F0B"/>
    <w:rsid w:val="002D3434"/>
    <w:rsid w:val="002D360A"/>
    <w:rsid w:val="002D37D2"/>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6D49"/>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2DBB"/>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8E4"/>
    <w:rsid w:val="00316CAE"/>
    <w:rsid w:val="00316DA4"/>
    <w:rsid w:val="00316EA6"/>
    <w:rsid w:val="003177DF"/>
    <w:rsid w:val="00317ECB"/>
    <w:rsid w:val="0032021E"/>
    <w:rsid w:val="0032043B"/>
    <w:rsid w:val="00320537"/>
    <w:rsid w:val="003207BD"/>
    <w:rsid w:val="003208AE"/>
    <w:rsid w:val="00321283"/>
    <w:rsid w:val="00321F75"/>
    <w:rsid w:val="0032200F"/>
    <w:rsid w:val="00322241"/>
    <w:rsid w:val="003226C8"/>
    <w:rsid w:val="0032278A"/>
    <w:rsid w:val="00323758"/>
    <w:rsid w:val="00323893"/>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DC3"/>
    <w:rsid w:val="00334F34"/>
    <w:rsid w:val="0033509D"/>
    <w:rsid w:val="00335F23"/>
    <w:rsid w:val="003361C8"/>
    <w:rsid w:val="003367C4"/>
    <w:rsid w:val="003368A2"/>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667"/>
    <w:rsid w:val="00346AF8"/>
    <w:rsid w:val="00346C90"/>
    <w:rsid w:val="00347A1A"/>
    <w:rsid w:val="00350070"/>
    <w:rsid w:val="0035172D"/>
    <w:rsid w:val="00352862"/>
    <w:rsid w:val="00353333"/>
    <w:rsid w:val="0035344E"/>
    <w:rsid w:val="00354058"/>
    <w:rsid w:val="0035441D"/>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67BD7"/>
    <w:rsid w:val="00370324"/>
    <w:rsid w:val="00371BA4"/>
    <w:rsid w:val="00371D46"/>
    <w:rsid w:val="00371F11"/>
    <w:rsid w:val="0037254C"/>
    <w:rsid w:val="00372C8A"/>
    <w:rsid w:val="00372DBE"/>
    <w:rsid w:val="003733A7"/>
    <w:rsid w:val="0037344A"/>
    <w:rsid w:val="0037382B"/>
    <w:rsid w:val="0037398F"/>
    <w:rsid w:val="00373BC5"/>
    <w:rsid w:val="003741A8"/>
    <w:rsid w:val="00374FBD"/>
    <w:rsid w:val="00375050"/>
    <w:rsid w:val="00376270"/>
    <w:rsid w:val="003762F8"/>
    <w:rsid w:val="00376DCE"/>
    <w:rsid w:val="00380570"/>
    <w:rsid w:val="00381035"/>
    <w:rsid w:val="003815CF"/>
    <w:rsid w:val="00382D0A"/>
    <w:rsid w:val="00383BD7"/>
    <w:rsid w:val="00383D93"/>
    <w:rsid w:val="00383DB3"/>
    <w:rsid w:val="003842DE"/>
    <w:rsid w:val="003842FD"/>
    <w:rsid w:val="00385676"/>
    <w:rsid w:val="00385CAF"/>
    <w:rsid w:val="0038667C"/>
    <w:rsid w:val="003866B3"/>
    <w:rsid w:val="00386B30"/>
    <w:rsid w:val="00386D71"/>
    <w:rsid w:val="00386D94"/>
    <w:rsid w:val="0038708B"/>
    <w:rsid w:val="00387559"/>
    <w:rsid w:val="0039006A"/>
    <w:rsid w:val="00390444"/>
    <w:rsid w:val="003905D3"/>
    <w:rsid w:val="0039089C"/>
    <w:rsid w:val="003915C4"/>
    <w:rsid w:val="00391653"/>
    <w:rsid w:val="0039218E"/>
    <w:rsid w:val="003926EA"/>
    <w:rsid w:val="003926F4"/>
    <w:rsid w:val="00392B08"/>
    <w:rsid w:val="00393B64"/>
    <w:rsid w:val="00393F27"/>
    <w:rsid w:val="003948EB"/>
    <w:rsid w:val="00394AF2"/>
    <w:rsid w:val="0039599E"/>
    <w:rsid w:val="00395B93"/>
    <w:rsid w:val="00395E67"/>
    <w:rsid w:val="00396AFA"/>
    <w:rsid w:val="003973A0"/>
    <w:rsid w:val="0039751E"/>
    <w:rsid w:val="00397C3E"/>
    <w:rsid w:val="003A076A"/>
    <w:rsid w:val="003A0E5E"/>
    <w:rsid w:val="003A1DFE"/>
    <w:rsid w:val="003A1ED2"/>
    <w:rsid w:val="003A25F1"/>
    <w:rsid w:val="003A3026"/>
    <w:rsid w:val="003A306D"/>
    <w:rsid w:val="003A3496"/>
    <w:rsid w:val="003A4E1E"/>
    <w:rsid w:val="003A7352"/>
    <w:rsid w:val="003B01A0"/>
    <w:rsid w:val="003B07F0"/>
    <w:rsid w:val="003B1093"/>
    <w:rsid w:val="003B142A"/>
    <w:rsid w:val="003B1A81"/>
    <w:rsid w:val="003B1C8C"/>
    <w:rsid w:val="003B1D96"/>
    <w:rsid w:val="003B2213"/>
    <w:rsid w:val="003B2A2F"/>
    <w:rsid w:val="003B2CF0"/>
    <w:rsid w:val="003B2DF9"/>
    <w:rsid w:val="003B35F2"/>
    <w:rsid w:val="003B3E36"/>
    <w:rsid w:val="003B5BBF"/>
    <w:rsid w:val="003B6C91"/>
    <w:rsid w:val="003B700C"/>
    <w:rsid w:val="003B73DF"/>
    <w:rsid w:val="003C0E0B"/>
    <w:rsid w:val="003C2219"/>
    <w:rsid w:val="003C2514"/>
    <w:rsid w:val="003C288B"/>
    <w:rsid w:val="003C29B9"/>
    <w:rsid w:val="003C37B5"/>
    <w:rsid w:val="003C3A1A"/>
    <w:rsid w:val="003C3A51"/>
    <w:rsid w:val="003C3E20"/>
    <w:rsid w:val="003C414A"/>
    <w:rsid w:val="003C47E6"/>
    <w:rsid w:val="003C5051"/>
    <w:rsid w:val="003C7044"/>
    <w:rsid w:val="003C7838"/>
    <w:rsid w:val="003D014D"/>
    <w:rsid w:val="003D017D"/>
    <w:rsid w:val="003D02C2"/>
    <w:rsid w:val="003D06EA"/>
    <w:rsid w:val="003D15C3"/>
    <w:rsid w:val="003D1BD9"/>
    <w:rsid w:val="003D2A72"/>
    <w:rsid w:val="003D37D9"/>
    <w:rsid w:val="003D3B7D"/>
    <w:rsid w:val="003D43A5"/>
    <w:rsid w:val="003D4702"/>
    <w:rsid w:val="003D56C3"/>
    <w:rsid w:val="003D5B8F"/>
    <w:rsid w:val="003D5CC4"/>
    <w:rsid w:val="003D699A"/>
    <w:rsid w:val="003D6B6A"/>
    <w:rsid w:val="003D6E90"/>
    <w:rsid w:val="003D75A4"/>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CF0"/>
    <w:rsid w:val="003E6D78"/>
    <w:rsid w:val="003E75D7"/>
    <w:rsid w:val="003E7879"/>
    <w:rsid w:val="003F033B"/>
    <w:rsid w:val="003F04B6"/>
    <w:rsid w:val="003F21C3"/>
    <w:rsid w:val="003F274A"/>
    <w:rsid w:val="003F29E9"/>
    <w:rsid w:val="003F2A68"/>
    <w:rsid w:val="003F3207"/>
    <w:rsid w:val="003F3384"/>
    <w:rsid w:val="003F3842"/>
    <w:rsid w:val="003F4B30"/>
    <w:rsid w:val="003F548C"/>
    <w:rsid w:val="003F5A12"/>
    <w:rsid w:val="003F5B84"/>
    <w:rsid w:val="003F5F22"/>
    <w:rsid w:val="003F60A8"/>
    <w:rsid w:val="003F6220"/>
    <w:rsid w:val="003F6BDA"/>
    <w:rsid w:val="003F70F3"/>
    <w:rsid w:val="003F72E7"/>
    <w:rsid w:val="003F76BC"/>
    <w:rsid w:val="003F7F1F"/>
    <w:rsid w:val="004004BD"/>
    <w:rsid w:val="00400547"/>
    <w:rsid w:val="004013F3"/>
    <w:rsid w:val="00401E7A"/>
    <w:rsid w:val="004023C1"/>
    <w:rsid w:val="00403B14"/>
    <w:rsid w:val="00403B32"/>
    <w:rsid w:val="00403BE8"/>
    <w:rsid w:val="00403CA2"/>
    <w:rsid w:val="0040428B"/>
    <w:rsid w:val="0040430D"/>
    <w:rsid w:val="00404FCF"/>
    <w:rsid w:val="0040543B"/>
    <w:rsid w:val="00405750"/>
    <w:rsid w:val="00405CBC"/>
    <w:rsid w:val="0040704C"/>
    <w:rsid w:val="004071A7"/>
    <w:rsid w:val="00407332"/>
    <w:rsid w:val="004078EE"/>
    <w:rsid w:val="00407C90"/>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0C1B"/>
    <w:rsid w:val="0042121E"/>
    <w:rsid w:val="004218E1"/>
    <w:rsid w:val="00421C37"/>
    <w:rsid w:val="0042292C"/>
    <w:rsid w:val="00422988"/>
    <w:rsid w:val="00422B6E"/>
    <w:rsid w:val="00423560"/>
    <w:rsid w:val="00423777"/>
    <w:rsid w:val="00423983"/>
    <w:rsid w:val="00424178"/>
    <w:rsid w:val="004242E2"/>
    <w:rsid w:val="00424597"/>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6EB8"/>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622D"/>
    <w:rsid w:val="00457387"/>
    <w:rsid w:val="0045791D"/>
    <w:rsid w:val="00457AF0"/>
    <w:rsid w:val="004606FD"/>
    <w:rsid w:val="00460C81"/>
    <w:rsid w:val="004610CE"/>
    <w:rsid w:val="00461528"/>
    <w:rsid w:val="004619A3"/>
    <w:rsid w:val="0046207D"/>
    <w:rsid w:val="00462DF7"/>
    <w:rsid w:val="0046317B"/>
    <w:rsid w:val="004634B2"/>
    <w:rsid w:val="004635A1"/>
    <w:rsid w:val="00463D07"/>
    <w:rsid w:val="00464710"/>
    <w:rsid w:val="00464B5E"/>
    <w:rsid w:val="00464D42"/>
    <w:rsid w:val="00464E3B"/>
    <w:rsid w:val="00465864"/>
    <w:rsid w:val="00465E37"/>
    <w:rsid w:val="00467A73"/>
    <w:rsid w:val="00470D05"/>
    <w:rsid w:val="0047111F"/>
    <w:rsid w:val="00471E75"/>
    <w:rsid w:val="0047221B"/>
    <w:rsid w:val="00472B39"/>
    <w:rsid w:val="00472BF2"/>
    <w:rsid w:val="00472D78"/>
    <w:rsid w:val="00472E6A"/>
    <w:rsid w:val="00473C46"/>
    <w:rsid w:val="0047409D"/>
    <w:rsid w:val="00475927"/>
    <w:rsid w:val="00475DE2"/>
    <w:rsid w:val="00475E37"/>
    <w:rsid w:val="00476006"/>
    <w:rsid w:val="00476E70"/>
    <w:rsid w:val="00477037"/>
    <w:rsid w:val="00477B0E"/>
    <w:rsid w:val="00477BD6"/>
    <w:rsid w:val="00480707"/>
    <w:rsid w:val="00480755"/>
    <w:rsid w:val="00480FC1"/>
    <w:rsid w:val="00481675"/>
    <w:rsid w:val="00481A53"/>
    <w:rsid w:val="00481A71"/>
    <w:rsid w:val="00481AB3"/>
    <w:rsid w:val="00482852"/>
    <w:rsid w:val="00482E77"/>
    <w:rsid w:val="00482FC8"/>
    <w:rsid w:val="00483675"/>
    <w:rsid w:val="00483871"/>
    <w:rsid w:val="00483A75"/>
    <w:rsid w:val="00483D01"/>
    <w:rsid w:val="004848FA"/>
    <w:rsid w:val="00485BBB"/>
    <w:rsid w:val="00485E4C"/>
    <w:rsid w:val="004861DF"/>
    <w:rsid w:val="00486688"/>
    <w:rsid w:val="004866E1"/>
    <w:rsid w:val="00487AB7"/>
    <w:rsid w:val="0049028E"/>
    <w:rsid w:val="00490E96"/>
    <w:rsid w:val="00491770"/>
    <w:rsid w:val="00491FF1"/>
    <w:rsid w:val="0049251F"/>
    <w:rsid w:val="00492C1B"/>
    <w:rsid w:val="004941C0"/>
    <w:rsid w:val="0049472A"/>
    <w:rsid w:val="00494978"/>
    <w:rsid w:val="00495393"/>
    <w:rsid w:val="004956CE"/>
    <w:rsid w:val="004957A4"/>
    <w:rsid w:val="00496A4A"/>
    <w:rsid w:val="00496B15"/>
    <w:rsid w:val="0049790B"/>
    <w:rsid w:val="004A0362"/>
    <w:rsid w:val="004A0833"/>
    <w:rsid w:val="004A0C4F"/>
    <w:rsid w:val="004A1768"/>
    <w:rsid w:val="004A2129"/>
    <w:rsid w:val="004A26EE"/>
    <w:rsid w:val="004A3865"/>
    <w:rsid w:val="004A3B78"/>
    <w:rsid w:val="004A4CD0"/>
    <w:rsid w:val="004A4E68"/>
    <w:rsid w:val="004A5685"/>
    <w:rsid w:val="004A5967"/>
    <w:rsid w:val="004A5990"/>
    <w:rsid w:val="004A5FDB"/>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0802"/>
    <w:rsid w:val="004C119B"/>
    <w:rsid w:val="004C151F"/>
    <w:rsid w:val="004C167C"/>
    <w:rsid w:val="004C241B"/>
    <w:rsid w:val="004C3B78"/>
    <w:rsid w:val="004C4222"/>
    <w:rsid w:val="004C4274"/>
    <w:rsid w:val="004C476C"/>
    <w:rsid w:val="004C55BE"/>
    <w:rsid w:val="004C5E2D"/>
    <w:rsid w:val="004C62E6"/>
    <w:rsid w:val="004C6905"/>
    <w:rsid w:val="004C6A34"/>
    <w:rsid w:val="004C6A6B"/>
    <w:rsid w:val="004D02E2"/>
    <w:rsid w:val="004D08BB"/>
    <w:rsid w:val="004D115E"/>
    <w:rsid w:val="004D122B"/>
    <w:rsid w:val="004D1274"/>
    <w:rsid w:val="004D2194"/>
    <w:rsid w:val="004D2481"/>
    <w:rsid w:val="004D350C"/>
    <w:rsid w:val="004D3910"/>
    <w:rsid w:val="004D4A6B"/>
    <w:rsid w:val="004D5F7F"/>
    <w:rsid w:val="004D78FF"/>
    <w:rsid w:val="004D79AD"/>
    <w:rsid w:val="004D7D79"/>
    <w:rsid w:val="004E073C"/>
    <w:rsid w:val="004E1459"/>
    <w:rsid w:val="004E15F8"/>
    <w:rsid w:val="004E1BAE"/>
    <w:rsid w:val="004E1C1E"/>
    <w:rsid w:val="004E2380"/>
    <w:rsid w:val="004E2604"/>
    <w:rsid w:val="004E3351"/>
    <w:rsid w:val="004E39B1"/>
    <w:rsid w:val="004E3E93"/>
    <w:rsid w:val="004E3ED1"/>
    <w:rsid w:val="004E484A"/>
    <w:rsid w:val="004E5197"/>
    <w:rsid w:val="004E5367"/>
    <w:rsid w:val="004E5402"/>
    <w:rsid w:val="004E69E3"/>
    <w:rsid w:val="004E72D2"/>
    <w:rsid w:val="004F04FC"/>
    <w:rsid w:val="004F054E"/>
    <w:rsid w:val="004F0576"/>
    <w:rsid w:val="004F0E83"/>
    <w:rsid w:val="004F1959"/>
    <w:rsid w:val="004F2B1C"/>
    <w:rsid w:val="004F2D08"/>
    <w:rsid w:val="004F3604"/>
    <w:rsid w:val="004F4B2F"/>
    <w:rsid w:val="004F5F81"/>
    <w:rsid w:val="004F768A"/>
    <w:rsid w:val="004F7803"/>
    <w:rsid w:val="004F7CCF"/>
    <w:rsid w:val="00500FFF"/>
    <w:rsid w:val="005011B7"/>
    <w:rsid w:val="005012CA"/>
    <w:rsid w:val="00502908"/>
    <w:rsid w:val="00503600"/>
    <w:rsid w:val="00503764"/>
    <w:rsid w:val="00503D01"/>
    <w:rsid w:val="00504302"/>
    <w:rsid w:val="00504376"/>
    <w:rsid w:val="00504919"/>
    <w:rsid w:val="00504CB1"/>
    <w:rsid w:val="00504D65"/>
    <w:rsid w:val="00505305"/>
    <w:rsid w:val="005053DB"/>
    <w:rsid w:val="005059BA"/>
    <w:rsid w:val="005064CB"/>
    <w:rsid w:val="00506AAD"/>
    <w:rsid w:val="00506AE8"/>
    <w:rsid w:val="00511261"/>
    <w:rsid w:val="005116CB"/>
    <w:rsid w:val="00511CC6"/>
    <w:rsid w:val="00512A18"/>
    <w:rsid w:val="00512CED"/>
    <w:rsid w:val="005137C6"/>
    <w:rsid w:val="00513BEA"/>
    <w:rsid w:val="005150C2"/>
    <w:rsid w:val="0051521D"/>
    <w:rsid w:val="00515977"/>
    <w:rsid w:val="00515FBC"/>
    <w:rsid w:val="00516096"/>
    <w:rsid w:val="00516130"/>
    <w:rsid w:val="005164B5"/>
    <w:rsid w:val="005167B8"/>
    <w:rsid w:val="00516A87"/>
    <w:rsid w:val="00516BE6"/>
    <w:rsid w:val="00516F82"/>
    <w:rsid w:val="0051778D"/>
    <w:rsid w:val="00517C69"/>
    <w:rsid w:val="005208E3"/>
    <w:rsid w:val="00520ABA"/>
    <w:rsid w:val="00520D29"/>
    <w:rsid w:val="00521D94"/>
    <w:rsid w:val="005224B3"/>
    <w:rsid w:val="005228D1"/>
    <w:rsid w:val="00522A17"/>
    <w:rsid w:val="00522EAA"/>
    <w:rsid w:val="005238FB"/>
    <w:rsid w:val="00524799"/>
    <w:rsid w:val="00524C49"/>
    <w:rsid w:val="00524FA8"/>
    <w:rsid w:val="00525833"/>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6D4"/>
    <w:rsid w:val="00535796"/>
    <w:rsid w:val="0053604C"/>
    <w:rsid w:val="0053638B"/>
    <w:rsid w:val="00540413"/>
    <w:rsid w:val="005405FD"/>
    <w:rsid w:val="00540CB6"/>
    <w:rsid w:val="00540DD2"/>
    <w:rsid w:val="0054103B"/>
    <w:rsid w:val="00542477"/>
    <w:rsid w:val="005425BD"/>
    <w:rsid w:val="00542680"/>
    <w:rsid w:val="00542BBD"/>
    <w:rsid w:val="00543D1B"/>
    <w:rsid w:val="00543E9D"/>
    <w:rsid w:val="005441EE"/>
    <w:rsid w:val="00544880"/>
    <w:rsid w:val="00544B6A"/>
    <w:rsid w:val="00544D83"/>
    <w:rsid w:val="00544E96"/>
    <w:rsid w:val="00545615"/>
    <w:rsid w:val="005475D6"/>
    <w:rsid w:val="00547EE8"/>
    <w:rsid w:val="005505B4"/>
    <w:rsid w:val="00550853"/>
    <w:rsid w:val="00550F8F"/>
    <w:rsid w:val="005511CF"/>
    <w:rsid w:val="0055175A"/>
    <w:rsid w:val="00551782"/>
    <w:rsid w:val="00552E07"/>
    <w:rsid w:val="00553BED"/>
    <w:rsid w:val="0055459D"/>
    <w:rsid w:val="00556E2E"/>
    <w:rsid w:val="00556E33"/>
    <w:rsid w:val="005571BE"/>
    <w:rsid w:val="00557394"/>
    <w:rsid w:val="00557BA4"/>
    <w:rsid w:val="0056001D"/>
    <w:rsid w:val="005600BD"/>
    <w:rsid w:val="00560593"/>
    <w:rsid w:val="00560A38"/>
    <w:rsid w:val="00560F22"/>
    <w:rsid w:val="00562B09"/>
    <w:rsid w:val="00563ACC"/>
    <w:rsid w:val="00563D0A"/>
    <w:rsid w:val="00563EE1"/>
    <w:rsid w:val="00563FE8"/>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3DD"/>
    <w:rsid w:val="005808C2"/>
    <w:rsid w:val="00581B62"/>
    <w:rsid w:val="00581F00"/>
    <w:rsid w:val="00582EC1"/>
    <w:rsid w:val="00583FC3"/>
    <w:rsid w:val="0058530A"/>
    <w:rsid w:val="00585587"/>
    <w:rsid w:val="00586318"/>
    <w:rsid w:val="00586489"/>
    <w:rsid w:val="0058679E"/>
    <w:rsid w:val="005873EC"/>
    <w:rsid w:val="005876F5"/>
    <w:rsid w:val="00590EDF"/>
    <w:rsid w:val="0059165D"/>
    <w:rsid w:val="00591869"/>
    <w:rsid w:val="00591BB8"/>
    <w:rsid w:val="00591D18"/>
    <w:rsid w:val="00592A9C"/>
    <w:rsid w:val="00592D60"/>
    <w:rsid w:val="0059352D"/>
    <w:rsid w:val="00593AE2"/>
    <w:rsid w:val="005943B4"/>
    <w:rsid w:val="00596DDE"/>
    <w:rsid w:val="005973DD"/>
    <w:rsid w:val="005974F3"/>
    <w:rsid w:val="00597537"/>
    <w:rsid w:val="00597664"/>
    <w:rsid w:val="005A04FA"/>
    <w:rsid w:val="005A1CCD"/>
    <w:rsid w:val="005A1E25"/>
    <w:rsid w:val="005A2420"/>
    <w:rsid w:val="005A2462"/>
    <w:rsid w:val="005A2C5B"/>
    <w:rsid w:val="005A2F7D"/>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857"/>
    <w:rsid w:val="005C396B"/>
    <w:rsid w:val="005C4104"/>
    <w:rsid w:val="005C4952"/>
    <w:rsid w:val="005C4B99"/>
    <w:rsid w:val="005C4BC4"/>
    <w:rsid w:val="005C4D70"/>
    <w:rsid w:val="005C5447"/>
    <w:rsid w:val="005C5532"/>
    <w:rsid w:val="005C5856"/>
    <w:rsid w:val="005C5C4C"/>
    <w:rsid w:val="005C65D3"/>
    <w:rsid w:val="005C6660"/>
    <w:rsid w:val="005D0742"/>
    <w:rsid w:val="005D0AE9"/>
    <w:rsid w:val="005D0DC7"/>
    <w:rsid w:val="005D19DA"/>
    <w:rsid w:val="005D26B9"/>
    <w:rsid w:val="005D3091"/>
    <w:rsid w:val="005D31C7"/>
    <w:rsid w:val="005D34CF"/>
    <w:rsid w:val="005D38E6"/>
    <w:rsid w:val="005D3D7F"/>
    <w:rsid w:val="005D4088"/>
    <w:rsid w:val="005D502F"/>
    <w:rsid w:val="005D5B4C"/>
    <w:rsid w:val="005D606B"/>
    <w:rsid w:val="005D681F"/>
    <w:rsid w:val="005D6C55"/>
    <w:rsid w:val="005D7180"/>
    <w:rsid w:val="005D724A"/>
    <w:rsid w:val="005D7B3E"/>
    <w:rsid w:val="005D7CB2"/>
    <w:rsid w:val="005E1094"/>
    <w:rsid w:val="005E112E"/>
    <w:rsid w:val="005E126F"/>
    <w:rsid w:val="005E1E8C"/>
    <w:rsid w:val="005E2175"/>
    <w:rsid w:val="005E2B59"/>
    <w:rsid w:val="005E2BB5"/>
    <w:rsid w:val="005E3540"/>
    <w:rsid w:val="005E4B7D"/>
    <w:rsid w:val="005E556B"/>
    <w:rsid w:val="005E55BF"/>
    <w:rsid w:val="005E5620"/>
    <w:rsid w:val="005E594B"/>
    <w:rsid w:val="005E6D2E"/>
    <w:rsid w:val="005E702D"/>
    <w:rsid w:val="005E702E"/>
    <w:rsid w:val="005F0230"/>
    <w:rsid w:val="005F0EA2"/>
    <w:rsid w:val="005F0F1A"/>
    <w:rsid w:val="005F16B3"/>
    <w:rsid w:val="005F16C8"/>
    <w:rsid w:val="005F184F"/>
    <w:rsid w:val="005F1979"/>
    <w:rsid w:val="005F19DD"/>
    <w:rsid w:val="005F19E2"/>
    <w:rsid w:val="005F1A9C"/>
    <w:rsid w:val="005F1E05"/>
    <w:rsid w:val="005F1FE1"/>
    <w:rsid w:val="005F477C"/>
    <w:rsid w:val="005F4913"/>
    <w:rsid w:val="005F4D7C"/>
    <w:rsid w:val="005F5369"/>
    <w:rsid w:val="005F54AD"/>
    <w:rsid w:val="005F5641"/>
    <w:rsid w:val="005F5B30"/>
    <w:rsid w:val="005F5C7F"/>
    <w:rsid w:val="005F67F9"/>
    <w:rsid w:val="005F6948"/>
    <w:rsid w:val="005F6D83"/>
    <w:rsid w:val="005F6E40"/>
    <w:rsid w:val="005F737A"/>
    <w:rsid w:val="005F7976"/>
    <w:rsid w:val="005F7B8B"/>
    <w:rsid w:val="00601348"/>
    <w:rsid w:val="0060186A"/>
    <w:rsid w:val="00601F30"/>
    <w:rsid w:val="006020C2"/>
    <w:rsid w:val="006035EC"/>
    <w:rsid w:val="00603FB8"/>
    <w:rsid w:val="006044DE"/>
    <w:rsid w:val="00604BBF"/>
    <w:rsid w:val="00604E7B"/>
    <w:rsid w:val="00604F2A"/>
    <w:rsid w:val="00605787"/>
    <w:rsid w:val="00605973"/>
    <w:rsid w:val="006060C8"/>
    <w:rsid w:val="00606BAE"/>
    <w:rsid w:val="00607437"/>
    <w:rsid w:val="006077EE"/>
    <w:rsid w:val="00607909"/>
    <w:rsid w:val="00610BE9"/>
    <w:rsid w:val="00611CB4"/>
    <w:rsid w:val="00612791"/>
    <w:rsid w:val="00613357"/>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90B"/>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8ED"/>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002"/>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4167"/>
    <w:rsid w:val="00655112"/>
    <w:rsid w:val="006551E6"/>
    <w:rsid w:val="0065565C"/>
    <w:rsid w:val="006559F1"/>
    <w:rsid w:val="00655D7D"/>
    <w:rsid w:val="00655E5E"/>
    <w:rsid w:val="006561C1"/>
    <w:rsid w:val="0065633F"/>
    <w:rsid w:val="00656A5F"/>
    <w:rsid w:val="00657539"/>
    <w:rsid w:val="00660615"/>
    <w:rsid w:val="00660821"/>
    <w:rsid w:val="00662EDA"/>
    <w:rsid w:val="006631E8"/>
    <w:rsid w:val="00663EFB"/>
    <w:rsid w:val="0066433B"/>
    <w:rsid w:val="00664FA3"/>
    <w:rsid w:val="006653D5"/>
    <w:rsid w:val="00665D56"/>
    <w:rsid w:val="00666117"/>
    <w:rsid w:val="0066644A"/>
    <w:rsid w:val="006664DE"/>
    <w:rsid w:val="00667228"/>
    <w:rsid w:val="006676F5"/>
    <w:rsid w:val="00667ED8"/>
    <w:rsid w:val="00667EDD"/>
    <w:rsid w:val="0067022B"/>
    <w:rsid w:val="0067035A"/>
    <w:rsid w:val="006703CA"/>
    <w:rsid w:val="00671360"/>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C37"/>
    <w:rsid w:val="00686E41"/>
    <w:rsid w:val="0068736F"/>
    <w:rsid w:val="00687378"/>
    <w:rsid w:val="00687F13"/>
    <w:rsid w:val="00690968"/>
    <w:rsid w:val="00690ABF"/>
    <w:rsid w:val="00690AEB"/>
    <w:rsid w:val="00690B28"/>
    <w:rsid w:val="00690DB1"/>
    <w:rsid w:val="006911AD"/>
    <w:rsid w:val="00691FA9"/>
    <w:rsid w:val="006922BC"/>
    <w:rsid w:val="0069286F"/>
    <w:rsid w:val="0069362B"/>
    <w:rsid w:val="006936ED"/>
    <w:rsid w:val="006945DC"/>
    <w:rsid w:val="00694E9A"/>
    <w:rsid w:val="00695073"/>
    <w:rsid w:val="00695641"/>
    <w:rsid w:val="00695956"/>
    <w:rsid w:val="00695DD2"/>
    <w:rsid w:val="006967FB"/>
    <w:rsid w:val="00696B58"/>
    <w:rsid w:val="00696BED"/>
    <w:rsid w:val="006970E3"/>
    <w:rsid w:val="00697508"/>
    <w:rsid w:val="0069798D"/>
    <w:rsid w:val="00697CA3"/>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1F"/>
    <w:rsid w:val="006B75D6"/>
    <w:rsid w:val="006B7BDF"/>
    <w:rsid w:val="006C02FD"/>
    <w:rsid w:val="006C0FC2"/>
    <w:rsid w:val="006C0FE4"/>
    <w:rsid w:val="006C16EF"/>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517"/>
    <w:rsid w:val="006D17CF"/>
    <w:rsid w:val="006D1972"/>
    <w:rsid w:val="006D1B46"/>
    <w:rsid w:val="006D30A8"/>
    <w:rsid w:val="006D3BB2"/>
    <w:rsid w:val="006D3D7E"/>
    <w:rsid w:val="006D3FB1"/>
    <w:rsid w:val="006D405F"/>
    <w:rsid w:val="006D43CA"/>
    <w:rsid w:val="006D4550"/>
    <w:rsid w:val="006D4CA4"/>
    <w:rsid w:val="006D4D0A"/>
    <w:rsid w:val="006D4D9B"/>
    <w:rsid w:val="006D5355"/>
    <w:rsid w:val="006D6670"/>
    <w:rsid w:val="006D6D93"/>
    <w:rsid w:val="006D777D"/>
    <w:rsid w:val="006E0828"/>
    <w:rsid w:val="006E09D8"/>
    <w:rsid w:val="006E0D8D"/>
    <w:rsid w:val="006E158D"/>
    <w:rsid w:val="006E15F7"/>
    <w:rsid w:val="006E2787"/>
    <w:rsid w:val="006E371A"/>
    <w:rsid w:val="006E43BE"/>
    <w:rsid w:val="006E48A5"/>
    <w:rsid w:val="006E4F51"/>
    <w:rsid w:val="006E5005"/>
    <w:rsid w:val="006E5852"/>
    <w:rsid w:val="006E60DF"/>
    <w:rsid w:val="006E6CEF"/>
    <w:rsid w:val="006E7C36"/>
    <w:rsid w:val="006F026F"/>
    <w:rsid w:val="006F1052"/>
    <w:rsid w:val="006F29FF"/>
    <w:rsid w:val="006F2C4A"/>
    <w:rsid w:val="006F2D6C"/>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18B"/>
    <w:rsid w:val="007007D1"/>
    <w:rsid w:val="00700948"/>
    <w:rsid w:val="00701133"/>
    <w:rsid w:val="007012BE"/>
    <w:rsid w:val="00701D38"/>
    <w:rsid w:val="007022B4"/>
    <w:rsid w:val="00702E71"/>
    <w:rsid w:val="00703105"/>
    <w:rsid w:val="00703AE1"/>
    <w:rsid w:val="00706442"/>
    <w:rsid w:val="00706542"/>
    <w:rsid w:val="00706AFC"/>
    <w:rsid w:val="007073BE"/>
    <w:rsid w:val="00710078"/>
    <w:rsid w:val="0071057E"/>
    <w:rsid w:val="007106F8"/>
    <w:rsid w:val="007108C6"/>
    <w:rsid w:val="0071126D"/>
    <w:rsid w:val="007116E0"/>
    <w:rsid w:val="00711F20"/>
    <w:rsid w:val="00712688"/>
    <w:rsid w:val="007127E1"/>
    <w:rsid w:val="0071464F"/>
    <w:rsid w:val="007146E2"/>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6A5"/>
    <w:rsid w:val="007278CE"/>
    <w:rsid w:val="00727B1E"/>
    <w:rsid w:val="00727B4C"/>
    <w:rsid w:val="00727CD9"/>
    <w:rsid w:val="0073032A"/>
    <w:rsid w:val="00730748"/>
    <w:rsid w:val="00730882"/>
    <w:rsid w:val="007319D5"/>
    <w:rsid w:val="00732FBF"/>
    <w:rsid w:val="00732FDD"/>
    <w:rsid w:val="00733875"/>
    <w:rsid w:val="00733D64"/>
    <w:rsid w:val="00733FA8"/>
    <w:rsid w:val="00734AB6"/>
    <w:rsid w:val="00734B19"/>
    <w:rsid w:val="00734BDF"/>
    <w:rsid w:val="00735BFE"/>
    <w:rsid w:val="00735DCF"/>
    <w:rsid w:val="00735F2A"/>
    <w:rsid w:val="00736129"/>
    <w:rsid w:val="00736333"/>
    <w:rsid w:val="00736FAC"/>
    <w:rsid w:val="0073706B"/>
    <w:rsid w:val="00737143"/>
    <w:rsid w:val="007401B3"/>
    <w:rsid w:val="007401F0"/>
    <w:rsid w:val="0074068A"/>
    <w:rsid w:val="007414A8"/>
    <w:rsid w:val="00741F96"/>
    <w:rsid w:val="00742E6F"/>
    <w:rsid w:val="0074376B"/>
    <w:rsid w:val="00744E6E"/>
    <w:rsid w:val="00745321"/>
    <w:rsid w:val="00745365"/>
    <w:rsid w:val="00745CF1"/>
    <w:rsid w:val="00746DFA"/>
    <w:rsid w:val="007471CE"/>
    <w:rsid w:val="0074746B"/>
    <w:rsid w:val="00747D11"/>
    <w:rsid w:val="00747EE0"/>
    <w:rsid w:val="00750474"/>
    <w:rsid w:val="00750D24"/>
    <w:rsid w:val="00750E8A"/>
    <w:rsid w:val="00750F91"/>
    <w:rsid w:val="0075132F"/>
    <w:rsid w:val="00751566"/>
    <w:rsid w:val="00751880"/>
    <w:rsid w:val="00751A95"/>
    <w:rsid w:val="00752F32"/>
    <w:rsid w:val="00753C76"/>
    <w:rsid w:val="007540FC"/>
    <w:rsid w:val="007559F1"/>
    <w:rsid w:val="0075669B"/>
    <w:rsid w:val="00757623"/>
    <w:rsid w:val="00757DFD"/>
    <w:rsid w:val="00761258"/>
    <w:rsid w:val="007618EA"/>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59"/>
    <w:rsid w:val="00771AD4"/>
    <w:rsid w:val="0077211B"/>
    <w:rsid w:val="007721AE"/>
    <w:rsid w:val="007723FE"/>
    <w:rsid w:val="00773506"/>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3250"/>
    <w:rsid w:val="007835A1"/>
    <w:rsid w:val="007838BE"/>
    <w:rsid w:val="007839D4"/>
    <w:rsid w:val="00783A4A"/>
    <w:rsid w:val="00784159"/>
    <w:rsid w:val="007842D0"/>
    <w:rsid w:val="007843B6"/>
    <w:rsid w:val="0078440F"/>
    <w:rsid w:val="00785108"/>
    <w:rsid w:val="007873A7"/>
    <w:rsid w:val="00787735"/>
    <w:rsid w:val="00787785"/>
    <w:rsid w:val="00790B7A"/>
    <w:rsid w:val="00790C54"/>
    <w:rsid w:val="00790E54"/>
    <w:rsid w:val="00791C79"/>
    <w:rsid w:val="00791C81"/>
    <w:rsid w:val="007924A6"/>
    <w:rsid w:val="00792C3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B30"/>
    <w:rsid w:val="007C0FC9"/>
    <w:rsid w:val="007C1386"/>
    <w:rsid w:val="007C1A0C"/>
    <w:rsid w:val="007C1AF4"/>
    <w:rsid w:val="007C1EE4"/>
    <w:rsid w:val="007C2220"/>
    <w:rsid w:val="007C2C7E"/>
    <w:rsid w:val="007C2E3B"/>
    <w:rsid w:val="007C6225"/>
    <w:rsid w:val="007C6242"/>
    <w:rsid w:val="007C6E61"/>
    <w:rsid w:val="007C73B1"/>
    <w:rsid w:val="007C7871"/>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0777"/>
    <w:rsid w:val="007E2D6B"/>
    <w:rsid w:val="007E2E3B"/>
    <w:rsid w:val="007E3C2C"/>
    <w:rsid w:val="007E3CAB"/>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37F6"/>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1E3F"/>
    <w:rsid w:val="008023DD"/>
    <w:rsid w:val="00803075"/>
    <w:rsid w:val="0080319B"/>
    <w:rsid w:val="00804626"/>
    <w:rsid w:val="008046A9"/>
    <w:rsid w:val="0080508B"/>
    <w:rsid w:val="008057A3"/>
    <w:rsid w:val="00805AD4"/>
    <w:rsid w:val="0080771F"/>
    <w:rsid w:val="00807E0F"/>
    <w:rsid w:val="00807E1F"/>
    <w:rsid w:val="008106A6"/>
    <w:rsid w:val="00810E9A"/>
    <w:rsid w:val="008121DD"/>
    <w:rsid w:val="0081270D"/>
    <w:rsid w:val="00813043"/>
    <w:rsid w:val="00814194"/>
    <w:rsid w:val="00815671"/>
    <w:rsid w:val="00815B12"/>
    <w:rsid w:val="00815F32"/>
    <w:rsid w:val="00816C5F"/>
    <w:rsid w:val="0081706A"/>
    <w:rsid w:val="0081768E"/>
    <w:rsid w:val="008201A9"/>
    <w:rsid w:val="00820453"/>
    <w:rsid w:val="00820FD4"/>
    <w:rsid w:val="008214AB"/>
    <w:rsid w:val="008221FB"/>
    <w:rsid w:val="008229A1"/>
    <w:rsid w:val="00823287"/>
    <w:rsid w:val="00824D9C"/>
    <w:rsid w:val="00824E5E"/>
    <w:rsid w:val="00824EC3"/>
    <w:rsid w:val="0082734E"/>
    <w:rsid w:val="008275EE"/>
    <w:rsid w:val="00827CA3"/>
    <w:rsid w:val="00830432"/>
    <w:rsid w:val="00830448"/>
    <w:rsid w:val="0083062E"/>
    <w:rsid w:val="0083082F"/>
    <w:rsid w:val="00830C79"/>
    <w:rsid w:val="00830D88"/>
    <w:rsid w:val="00830FF1"/>
    <w:rsid w:val="00831A9D"/>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136"/>
    <w:rsid w:val="008401A1"/>
    <w:rsid w:val="008404B0"/>
    <w:rsid w:val="00841544"/>
    <w:rsid w:val="008423AD"/>
    <w:rsid w:val="008424CD"/>
    <w:rsid w:val="00842593"/>
    <w:rsid w:val="0084263D"/>
    <w:rsid w:val="00842A03"/>
    <w:rsid w:val="00842BB9"/>
    <w:rsid w:val="00842BF2"/>
    <w:rsid w:val="008431B2"/>
    <w:rsid w:val="00843C94"/>
    <w:rsid w:val="00844333"/>
    <w:rsid w:val="0084440E"/>
    <w:rsid w:val="00844B1A"/>
    <w:rsid w:val="0084624C"/>
    <w:rsid w:val="00846359"/>
    <w:rsid w:val="00846A17"/>
    <w:rsid w:val="00846C95"/>
    <w:rsid w:val="008473CB"/>
    <w:rsid w:val="00847487"/>
    <w:rsid w:val="008475E4"/>
    <w:rsid w:val="0084764B"/>
    <w:rsid w:val="0085063C"/>
    <w:rsid w:val="00851642"/>
    <w:rsid w:val="00851F3E"/>
    <w:rsid w:val="00852352"/>
    <w:rsid w:val="00852457"/>
    <w:rsid w:val="00852DF9"/>
    <w:rsid w:val="00853B3F"/>
    <w:rsid w:val="00854235"/>
    <w:rsid w:val="00854371"/>
    <w:rsid w:val="00855145"/>
    <w:rsid w:val="00855329"/>
    <w:rsid w:val="00855390"/>
    <w:rsid w:val="0085604A"/>
    <w:rsid w:val="008563F6"/>
    <w:rsid w:val="00856459"/>
    <w:rsid w:val="00856E8D"/>
    <w:rsid w:val="00856E95"/>
    <w:rsid w:val="0085718C"/>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9A7"/>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081D"/>
    <w:rsid w:val="00882E6E"/>
    <w:rsid w:val="00883C52"/>
    <w:rsid w:val="00883FCC"/>
    <w:rsid w:val="00884D64"/>
    <w:rsid w:val="008853A4"/>
    <w:rsid w:val="0088560C"/>
    <w:rsid w:val="00885718"/>
    <w:rsid w:val="0088578E"/>
    <w:rsid w:val="0088595C"/>
    <w:rsid w:val="0088672A"/>
    <w:rsid w:val="008867A9"/>
    <w:rsid w:val="008867FF"/>
    <w:rsid w:val="00886FB6"/>
    <w:rsid w:val="00887F2A"/>
    <w:rsid w:val="00890A34"/>
    <w:rsid w:val="00890CCE"/>
    <w:rsid w:val="00891D75"/>
    <w:rsid w:val="00892392"/>
    <w:rsid w:val="00892643"/>
    <w:rsid w:val="00892854"/>
    <w:rsid w:val="00892B32"/>
    <w:rsid w:val="00892DD9"/>
    <w:rsid w:val="0089323E"/>
    <w:rsid w:val="008949B4"/>
    <w:rsid w:val="00894E0F"/>
    <w:rsid w:val="00894E81"/>
    <w:rsid w:val="008959B2"/>
    <w:rsid w:val="00895E63"/>
    <w:rsid w:val="008965DE"/>
    <w:rsid w:val="0089690C"/>
    <w:rsid w:val="00896A83"/>
    <w:rsid w:val="00897237"/>
    <w:rsid w:val="00897647"/>
    <w:rsid w:val="00897749"/>
    <w:rsid w:val="00897E93"/>
    <w:rsid w:val="008A0ACA"/>
    <w:rsid w:val="008A11AF"/>
    <w:rsid w:val="008A2515"/>
    <w:rsid w:val="008A2689"/>
    <w:rsid w:val="008A2CE4"/>
    <w:rsid w:val="008A342D"/>
    <w:rsid w:val="008A3D26"/>
    <w:rsid w:val="008A4309"/>
    <w:rsid w:val="008A4B2A"/>
    <w:rsid w:val="008A5EA2"/>
    <w:rsid w:val="008A5FB3"/>
    <w:rsid w:val="008A6180"/>
    <w:rsid w:val="008A6725"/>
    <w:rsid w:val="008A688A"/>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3DA6"/>
    <w:rsid w:val="008B48B6"/>
    <w:rsid w:val="008B4967"/>
    <w:rsid w:val="008B498C"/>
    <w:rsid w:val="008B5B4E"/>
    <w:rsid w:val="008B5E84"/>
    <w:rsid w:val="008B6126"/>
    <w:rsid w:val="008B666D"/>
    <w:rsid w:val="008B76F8"/>
    <w:rsid w:val="008B7CBA"/>
    <w:rsid w:val="008B7E30"/>
    <w:rsid w:val="008B7E47"/>
    <w:rsid w:val="008B7E71"/>
    <w:rsid w:val="008C0560"/>
    <w:rsid w:val="008C0A7E"/>
    <w:rsid w:val="008C1804"/>
    <w:rsid w:val="008C22B4"/>
    <w:rsid w:val="008C23E7"/>
    <w:rsid w:val="008C286A"/>
    <w:rsid w:val="008C3036"/>
    <w:rsid w:val="008C31DA"/>
    <w:rsid w:val="008C3E09"/>
    <w:rsid w:val="008C3EA2"/>
    <w:rsid w:val="008C3F5B"/>
    <w:rsid w:val="008C4294"/>
    <w:rsid w:val="008C451A"/>
    <w:rsid w:val="008C4600"/>
    <w:rsid w:val="008C534E"/>
    <w:rsid w:val="008C5C8F"/>
    <w:rsid w:val="008C7BE4"/>
    <w:rsid w:val="008D03EE"/>
    <w:rsid w:val="008D14D3"/>
    <w:rsid w:val="008D1992"/>
    <w:rsid w:val="008D1DE1"/>
    <w:rsid w:val="008D2148"/>
    <w:rsid w:val="008D2830"/>
    <w:rsid w:val="008D2A3B"/>
    <w:rsid w:val="008D2F0C"/>
    <w:rsid w:val="008D2F7C"/>
    <w:rsid w:val="008D33CF"/>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340"/>
    <w:rsid w:val="008E257B"/>
    <w:rsid w:val="008E3204"/>
    <w:rsid w:val="008E329F"/>
    <w:rsid w:val="008E3B42"/>
    <w:rsid w:val="008E3BA3"/>
    <w:rsid w:val="008E42C8"/>
    <w:rsid w:val="008E42E8"/>
    <w:rsid w:val="008E4BEB"/>
    <w:rsid w:val="008E4D2A"/>
    <w:rsid w:val="008E4F27"/>
    <w:rsid w:val="008E5264"/>
    <w:rsid w:val="008E5905"/>
    <w:rsid w:val="008E655A"/>
    <w:rsid w:val="008E6AF8"/>
    <w:rsid w:val="008E7339"/>
    <w:rsid w:val="008F0110"/>
    <w:rsid w:val="008F02FF"/>
    <w:rsid w:val="008F078F"/>
    <w:rsid w:val="008F1764"/>
    <w:rsid w:val="008F1896"/>
    <w:rsid w:val="008F1BB7"/>
    <w:rsid w:val="008F1E26"/>
    <w:rsid w:val="008F2AF2"/>
    <w:rsid w:val="008F2C53"/>
    <w:rsid w:val="008F2C5F"/>
    <w:rsid w:val="008F3E8C"/>
    <w:rsid w:val="008F492C"/>
    <w:rsid w:val="008F53AE"/>
    <w:rsid w:val="008F5717"/>
    <w:rsid w:val="008F5A85"/>
    <w:rsid w:val="008F5C96"/>
    <w:rsid w:val="008F64F8"/>
    <w:rsid w:val="008F6744"/>
    <w:rsid w:val="008F6C4D"/>
    <w:rsid w:val="008F7272"/>
    <w:rsid w:val="008F77A5"/>
    <w:rsid w:val="008F7C8C"/>
    <w:rsid w:val="009001DC"/>
    <w:rsid w:val="009009A2"/>
    <w:rsid w:val="00900F8E"/>
    <w:rsid w:val="00901852"/>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354"/>
    <w:rsid w:val="00907ED9"/>
    <w:rsid w:val="00910D82"/>
    <w:rsid w:val="00912228"/>
    <w:rsid w:val="00912E55"/>
    <w:rsid w:val="0091374B"/>
    <w:rsid w:val="009153F7"/>
    <w:rsid w:val="0091541D"/>
    <w:rsid w:val="00915705"/>
    <w:rsid w:val="00916826"/>
    <w:rsid w:val="00916855"/>
    <w:rsid w:val="00920394"/>
    <w:rsid w:val="0092081C"/>
    <w:rsid w:val="00920A5B"/>
    <w:rsid w:val="00921B6E"/>
    <w:rsid w:val="00921B8A"/>
    <w:rsid w:val="0092289C"/>
    <w:rsid w:val="00922C17"/>
    <w:rsid w:val="00923330"/>
    <w:rsid w:val="00924085"/>
    <w:rsid w:val="00924325"/>
    <w:rsid w:val="009249F8"/>
    <w:rsid w:val="00924D30"/>
    <w:rsid w:val="00925015"/>
    <w:rsid w:val="0092517B"/>
    <w:rsid w:val="0092525E"/>
    <w:rsid w:val="009257DA"/>
    <w:rsid w:val="00925C5A"/>
    <w:rsid w:val="00926957"/>
    <w:rsid w:val="00926A57"/>
    <w:rsid w:val="00926A96"/>
    <w:rsid w:val="00926FBB"/>
    <w:rsid w:val="00927E0B"/>
    <w:rsid w:val="00927FAC"/>
    <w:rsid w:val="00930814"/>
    <w:rsid w:val="00931C49"/>
    <w:rsid w:val="00932743"/>
    <w:rsid w:val="00933910"/>
    <w:rsid w:val="0093448E"/>
    <w:rsid w:val="0093472D"/>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2E6"/>
    <w:rsid w:val="0094746C"/>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F30"/>
    <w:rsid w:val="0096557D"/>
    <w:rsid w:val="0096600C"/>
    <w:rsid w:val="009661BD"/>
    <w:rsid w:val="00966CE1"/>
    <w:rsid w:val="00966EF6"/>
    <w:rsid w:val="00967054"/>
    <w:rsid w:val="00967BB3"/>
    <w:rsid w:val="00967E85"/>
    <w:rsid w:val="0097124B"/>
    <w:rsid w:val="009714DB"/>
    <w:rsid w:val="009716C8"/>
    <w:rsid w:val="0097186D"/>
    <w:rsid w:val="00971B5E"/>
    <w:rsid w:val="00972537"/>
    <w:rsid w:val="009727C7"/>
    <w:rsid w:val="009747CA"/>
    <w:rsid w:val="00975AC7"/>
    <w:rsid w:val="00976EFB"/>
    <w:rsid w:val="00976FB7"/>
    <w:rsid w:val="0097744D"/>
    <w:rsid w:val="00977AC2"/>
    <w:rsid w:val="00980478"/>
    <w:rsid w:val="00980B11"/>
    <w:rsid w:val="009812E8"/>
    <w:rsid w:val="00981C09"/>
    <w:rsid w:val="00982073"/>
    <w:rsid w:val="00983485"/>
    <w:rsid w:val="00983917"/>
    <w:rsid w:val="00983DAA"/>
    <w:rsid w:val="009857F1"/>
    <w:rsid w:val="00985F3F"/>
    <w:rsid w:val="0098629C"/>
    <w:rsid w:val="009878CB"/>
    <w:rsid w:val="00987D88"/>
    <w:rsid w:val="009901CB"/>
    <w:rsid w:val="00990D70"/>
    <w:rsid w:val="0099160F"/>
    <w:rsid w:val="00991C0C"/>
    <w:rsid w:val="00991D4D"/>
    <w:rsid w:val="00991E3B"/>
    <w:rsid w:val="0099312D"/>
    <w:rsid w:val="00993B37"/>
    <w:rsid w:val="0099443D"/>
    <w:rsid w:val="0099486B"/>
    <w:rsid w:val="00995651"/>
    <w:rsid w:val="009957C2"/>
    <w:rsid w:val="00995F45"/>
    <w:rsid w:val="00996275"/>
    <w:rsid w:val="00996780"/>
    <w:rsid w:val="00997D82"/>
    <w:rsid w:val="009A02C1"/>
    <w:rsid w:val="009A04A7"/>
    <w:rsid w:val="009A04D6"/>
    <w:rsid w:val="009A0A91"/>
    <w:rsid w:val="009A0B17"/>
    <w:rsid w:val="009A0E27"/>
    <w:rsid w:val="009A1341"/>
    <w:rsid w:val="009A232A"/>
    <w:rsid w:val="009A2480"/>
    <w:rsid w:val="009A2ACA"/>
    <w:rsid w:val="009A3053"/>
    <w:rsid w:val="009A3207"/>
    <w:rsid w:val="009A3631"/>
    <w:rsid w:val="009A480F"/>
    <w:rsid w:val="009A58D0"/>
    <w:rsid w:val="009A5A5F"/>
    <w:rsid w:val="009A5A91"/>
    <w:rsid w:val="009A5D4F"/>
    <w:rsid w:val="009A6E28"/>
    <w:rsid w:val="009A7203"/>
    <w:rsid w:val="009B0710"/>
    <w:rsid w:val="009B167C"/>
    <w:rsid w:val="009B1838"/>
    <w:rsid w:val="009B1C0C"/>
    <w:rsid w:val="009B212D"/>
    <w:rsid w:val="009B26ED"/>
    <w:rsid w:val="009B2C7F"/>
    <w:rsid w:val="009B362C"/>
    <w:rsid w:val="009B36C4"/>
    <w:rsid w:val="009B43BB"/>
    <w:rsid w:val="009B4621"/>
    <w:rsid w:val="009B66E0"/>
    <w:rsid w:val="009B6B72"/>
    <w:rsid w:val="009B735F"/>
    <w:rsid w:val="009B7798"/>
    <w:rsid w:val="009C0151"/>
    <w:rsid w:val="009C0B8C"/>
    <w:rsid w:val="009C1C75"/>
    <w:rsid w:val="009C2098"/>
    <w:rsid w:val="009C20F9"/>
    <w:rsid w:val="009C2212"/>
    <w:rsid w:val="009C223A"/>
    <w:rsid w:val="009C29F3"/>
    <w:rsid w:val="009C3B8F"/>
    <w:rsid w:val="009C44E8"/>
    <w:rsid w:val="009C5EF2"/>
    <w:rsid w:val="009C5F36"/>
    <w:rsid w:val="009C640B"/>
    <w:rsid w:val="009C65A6"/>
    <w:rsid w:val="009C6897"/>
    <w:rsid w:val="009C75C8"/>
    <w:rsid w:val="009D10B7"/>
    <w:rsid w:val="009D1BE7"/>
    <w:rsid w:val="009D29DA"/>
    <w:rsid w:val="009D2C23"/>
    <w:rsid w:val="009D326C"/>
    <w:rsid w:val="009D3B0B"/>
    <w:rsid w:val="009D3C8B"/>
    <w:rsid w:val="009D3DBE"/>
    <w:rsid w:val="009D3ECD"/>
    <w:rsid w:val="009D449C"/>
    <w:rsid w:val="009D46B2"/>
    <w:rsid w:val="009D492C"/>
    <w:rsid w:val="009D5186"/>
    <w:rsid w:val="009D6000"/>
    <w:rsid w:val="009D6048"/>
    <w:rsid w:val="009D68F2"/>
    <w:rsid w:val="009D6CDD"/>
    <w:rsid w:val="009D6F31"/>
    <w:rsid w:val="009E12C5"/>
    <w:rsid w:val="009E157A"/>
    <w:rsid w:val="009E19DA"/>
    <w:rsid w:val="009E1D04"/>
    <w:rsid w:val="009E1F8C"/>
    <w:rsid w:val="009E34AE"/>
    <w:rsid w:val="009E546D"/>
    <w:rsid w:val="009E572A"/>
    <w:rsid w:val="009E5A90"/>
    <w:rsid w:val="009E5ED0"/>
    <w:rsid w:val="009E6366"/>
    <w:rsid w:val="009E699F"/>
    <w:rsid w:val="009E6E8B"/>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4AC3"/>
    <w:rsid w:val="00A050A2"/>
    <w:rsid w:val="00A05AF1"/>
    <w:rsid w:val="00A05B7F"/>
    <w:rsid w:val="00A05C9B"/>
    <w:rsid w:val="00A05D9D"/>
    <w:rsid w:val="00A06896"/>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68D8"/>
    <w:rsid w:val="00A17E52"/>
    <w:rsid w:val="00A2341F"/>
    <w:rsid w:val="00A23470"/>
    <w:rsid w:val="00A24154"/>
    <w:rsid w:val="00A248A5"/>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06"/>
    <w:rsid w:val="00A4305F"/>
    <w:rsid w:val="00A43787"/>
    <w:rsid w:val="00A441C0"/>
    <w:rsid w:val="00A44248"/>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4EDE"/>
    <w:rsid w:val="00A5556A"/>
    <w:rsid w:val="00A5598F"/>
    <w:rsid w:val="00A561E2"/>
    <w:rsid w:val="00A5699E"/>
    <w:rsid w:val="00A56AFD"/>
    <w:rsid w:val="00A56B81"/>
    <w:rsid w:val="00A56CF4"/>
    <w:rsid w:val="00A56E19"/>
    <w:rsid w:val="00A56F88"/>
    <w:rsid w:val="00A570F6"/>
    <w:rsid w:val="00A57102"/>
    <w:rsid w:val="00A5794A"/>
    <w:rsid w:val="00A604DC"/>
    <w:rsid w:val="00A60AFE"/>
    <w:rsid w:val="00A62A7B"/>
    <w:rsid w:val="00A62B11"/>
    <w:rsid w:val="00A63434"/>
    <w:rsid w:val="00A64415"/>
    <w:rsid w:val="00A6592C"/>
    <w:rsid w:val="00A65A86"/>
    <w:rsid w:val="00A65C01"/>
    <w:rsid w:val="00A66513"/>
    <w:rsid w:val="00A667CF"/>
    <w:rsid w:val="00A673CE"/>
    <w:rsid w:val="00A679FC"/>
    <w:rsid w:val="00A67AFA"/>
    <w:rsid w:val="00A67D55"/>
    <w:rsid w:val="00A71047"/>
    <w:rsid w:val="00A710E3"/>
    <w:rsid w:val="00A71485"/>
    <w:rsid w:val="00A7163B"/>
    <w:rsid w:val="00A71E58"/>
    <w:rsid w:val="00A72022"/>
    <w:rsid w:val="00A72631"/>
    <w:rsid w:val="00A72B22"/>
    <w:rsid w:val="00A73644"/>
    <w:rsid w:val="00A73925"/>
    <w:rsid w:val="00A740EE"/>
    <w:rsid w:val="00A74529"/>
    <w:rsid w:val="00A74C01"/>
    <w:rsid w:val="00A758D6"/>
    <w:rsid w:val="00A758F8"/>
    <w:rsid w:val="00A75E81"/>
    <w:rsid w:val="00A76803"/>
    <w:rsid w:val="00A770CB"/>
    <w:rsid w:val="00A806E5"/>
    <w:rsid w:val="00A80BDF"/>
    <w:rsid w:val="00A825DD"/>
    <w:rsid w:val="00A82C0D"/>
    <w:rsid w:val="00A841CE"/>
    <w:rsid w:val="00A84C3C"/>
    <w:rsid w:val="00A86219"/>
    <w:rsid w:val="00A86720"/>
    <w:rsid w:val="00A86AA5"/>
    <w:rsid w:val="00A86B59"/>
    <w:rsid w:val="00A87142"/>
    <w:rsid w:val="00A91EA5"/>
    <w:rsid w:val="00A9278A"/>
    <w:rsid w:val="00A930CC"/>
    <w:rsid w:val="00A933CA"/>
    <w:rsid w:val="00A934D8"/>
    <w:rsid w:val="00A937A1"/>
    <w:rsid w:val="00A95094"/>
    <w:rsid w:val="00A9596D"/>
    <w:rsid w:val="00A95C22"/>
    <w:rsid w:val="00A9635C"/>
    <w:rsid w:val="00A96864"/>
    <w:rsid w:val="00A9736C"/>
    <w:rsid w:val="00A97EEC"/>
    <w:rsid w:val="00AA12DA"/>
    <w:rsid w:val="00AA15F4"/>
    <w:rsid w:val="00AA1B43"/>
    <w:rsid w:val="00AA25EF"/>
    <w:rsid w:val="00AA4CD9"/>
    <w:rsid w:val="00AA6FEE"/>
    <w:rsid w:val="00AA7305"/>
    <w:rsid w:val="00AB132D"/>
    <w:rsid w:val="00AB1C45"/>
    <w:rsid w:val="00AB25B0"/>
    <w:rsid w:val="00AB2FD1"/>
    <w:rsid w:val="00AB32B9"/>
    <w:rsid w:val="00AB32BE"/>
    <w:rsid w:val="00AB34AB"/>
    <w:rsid w:val="00AB3EFB"/>
    <w:rsid w:val="00AB51A2"/>
    <w:rsid w:val="00AB5A79"/>
    <w:rsid w:val="00AB646E"/>
    <w:rsid w:val="00AB7D00"/>
    <w:rsid w:val="00AC0F4B"/>
    <w:rsid w:val="00AC0FAA"/>
    <w:rsid w:val="00AC103B"/>
    <w:rsid w:val="00AC18A7"/>
    <w:rsid w:val="00AC2756"/>
    <w:rsid w:val="00AC2D09"/>
    <w:rsid w:val="00AC35D0"/>
    <w:rsid w:val="00AC3C8F"/>
    <w:rsid w:val="00AC402D"/>
    <w:rsid w:val="00AC4AC7"/>
    <w:rsid w:val="00AC6095"/>
    <w:rsid w:val="00AC6B42"/>
    <w:rsid w:val="00AC6CFA"/>
    <w:rsid w:val="00AC73C8"/>
    <w:rsid w:val="00AC7ACD"/>
    <w:rsid w:val="00AD0184"/>
    <w:rsid w:val="00AD1C20"/>
    <w:rsid w:val="00AD1F86"/>
    <w:rsid w:val="00AD2349"/>
    <w:rsid w:val="00AD25B4"/>
    <w:rsid w:val="00AD3075"/>
    <w:rsid w:val="00AD34C3"/>
    <w:rsid w:val="00AD42AE"/>
    <w:rsid w:val="00AD433E"/>
    <w:rsid w:val="00AD46B2"/>
    <w:rsid w:val="00AD4EAA"/>
    <w:rsid w:val="00AD6855"/>
    <w:rsid w:val="00AD6CAD"/>
    <w:rsid w:val="00AD73F8"/>
    <w:rsid w:val="00AD773F"/>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BE4"/>
    <w:rsid w:val="00AF2D2F"/>
    <w:rsid w:val="00AF2E96"/>
    <w:rsid w:val="00AF3528"/>
    <w:rsid w:val="00AF3909"/>
    <w:rsid w:val="00AF3D67"/>
    <w:rsid w:val="00AF4826"/>
    <w:rsid w:val="00AF5396"/>
    <w:rsid w:val="00AF5493"/>
    <w:rsid w:val="00AF54DA"/>
    <w:rsid w:val="00AF57F4"/>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985"/>
    <w:rsid w:val="00B06CCE"/>
    <w:rsid w:val="00B06FDB"/>
    <w:rsid w:val="00B07772"/>
    <w:rsid w:val="00B077FD"/>
    <w:rsid w:val="00B10187"/>
    <w:rsid w:val="00B10B16"/>
    <w:rsid w:val="00B10C66"/>
    <w:rsid w:val="00B118D4"/>
    <w:rsid w:val="00B12909"/>
    <w:rsid w:val="00B12D00"/>
    <w:rsid w:val="00B130D5"/>
    <w:rsid w:val="00B13211"/>
    <w:rsid w:val="00B1389C"/>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10DF"/>
    <w:rsid w:val="00B21BD4"/>
    <w:rsid w:val="00B2260D"/>
    <w:rsid w:val="00B22C2E"/>
    <w:rsid w:val="00B23259"/>
    <w:rsid w:val="00B23418"/>
    <w:rsid w:val="00B2393D"/>
    <w:rsid w:val="00B24693"/>
    <w:rsid w:val="00B246AA"/>
    <w:rsid w:val="00B246CE"/>
    <w:rsid w:val="00B24930"/>
    <w:rsid w:val="00B24D15"/>
    <w:rsid w:val="00B24EDE"/>
    <w:rsid w:val="00B25139"/>
    <w:rsid w:val="00B257AE"/>
    <w:rsid w:val="00B26400"/>
    <w:rsid w:val="00B265DA"/>
    <w:rsid w:val="00B27102"/>
    <w:rsid w:val="00B27FE0"/>
    <w:rsid w:val="00B30E47"/>
    <w:rsid w:val="00B30E73"/>
    <w:rsid w:val="00B310F5"/>
    <w:rsid w:val="00B31268"/>
    <w:rsid w:val="00B32186"/>
    <w:rsid w:val="00B33092"/>
    <w:rsid w:val="00B34875"/>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20"/>
    <w:rsid w:val="00B43DC6"/>
    <w:rsid w:val="00B43FE1"/>
    <w:rsid w:val="00B45023"/>
    <w:rsid w:val="00B45209"/>
    <w:rsid w:val="00B455D2"/>
    <w:rsid w:val="00B45AFA"/>
    <w:rsid w:val="00B45E60"/>
    <w:rsid w:val="00B45F79"/>
    <w:rsid w:val="00B46F34"/>
    <w:rsid w:val="00B47718"/>
    <w:rsid w:val="00B516CC"/>
    <w:rsid w:val="00B51AEA"/>
    <w:rsid w:val="00B51CCD"/>
    <w:rsid w:val="00B5317B"/>
    <w:rsid w:val="00B53810"/>
    <w:rsid w:val="00B54C7C"/>
    <w:rsid w:val="00B55121"/>
    <w:rsid w:val="00B56536"/>
    <w:rsid w:val="00B56D67"/>
    <w:rsid w:val="00B5736E"/>
    <w:rsid w:val="00B57419"/>
    <w:rsid w:val="00B57B43"/>
    <w:rsid w:val="00B57CB5"/>
    <w:rsid w:val="00B6024A"/>
    <w:rsid w:val="00B60B06"/>
    <w:rsid w:val="00B62011"/>
    <w:rsid w:val="00B625BD"/>
    <w:rsid w:val="00B62C89"/>
    <w:rsid w:val="00B62DD2"/>
    <w:rsid w:val="00B6340E"/>
    <w:rsid w:val="00B64396"/>
    <w:rsid w:val="00B6458A"/>
    <w:rsid w:val="00B64CB8"/>
    <w:rsid w:val="00B64CF8"/>
    <w:rsid w:val="00B64FDF"/>
    <w:rsid w:val="00B6564A"/>
    <w:rsid w:val="00B65D20"/>
    <w:rsid w:val="00B66A5B"/>
    <w:rsid w:val="00B67578"/>
    <w:rsid w:val="00B67BB3"/>
    <w:rsid w:val="00B67FF8"/>
    <w:rsid w:val="00B702F8"/>
    <w:rsid w:val="00B706D2"/>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58DB"/>
    <w:rsid w:val="00B86CEE"/>
    <w:rsid w:val="00B86D7E"/>
    <w:rsid w:val="00B86DAC"/>
    <w:rsid w:val="00B8726C"/>
    <w:rsid w:val="00B878D9"/>
    <w:rsid w:val="00B87EE5"/>
    <w:rsid w:val="00B90483"/>
    <w:rsid w:val="00B904D1"/>
    <w:rsid w:val="00B91EC3"/>
    <w:rsid w:val="00B921A0"/>
    <w:rsid w:val="00B92F6D"/>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3FA"/>
    <w:rsid w:val="00BA3541"/>
    <w:rsid w:val="00BA3C0C"/>
    <w:rsid w:val="00BA3C43"/>
    <w:rsid w:val="00BA3F28"/>
    <w:rsid w:val="00BA4438"/>
    <w:rsid w:val="00BA4D0B"/>
    <w:rsid w:val="00BA52AB"/>
    <w:rsid w:val="00BA5415"/>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6ACC"/>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85A"/>
    <w:rsid w:val="00BC6C5A"/>
    <w:rsid w:val="00BC6F71"/>
    <w:rsid w:val="00BC7B9A"/>
    <w:rsid w:val="00BC7CE6"/>
    <w:rsid w:val="00BD07E6"/>
    <w:rsid w:val="00BD0AAB"/>
    <w:rsid w:val="00BD0F29"/>
    <w:rsid w:val="00BD1726"/>
    <w:rsid w:val="00BD1860"/>
    <w:rsid w:val="00BD187F"/>
    <w:rsid w:val="00BD18B5"/>
    <w:rsid w:val="00BD3F3D"/>
    <w:rsid w:val="00BD4A31"/>
    <w:rsid w:val="00BD58E1"/>
    <w:rsid w:val="00BD6875"/>
    <w:rsid w:val="00BD7939"/>
    <w:rsid w:val="00BD7CB9"/>
    <w:rsid w:val="00BE0746"/>
    <w:rsid w:val="00BE0BE3"/>
    <w:rsid w:val="00BE0F2C"/>
    <w:rsid w:val="00BE0FDA"/>
    <w:rsid w:val="00BE1079"/>
    <w:rsid w:val="00BE1265"/>
    <w:rsid w:val="00BE1686"/>
    <w:rsid w:val="00BE2311"/>
    <w:rsid w:val="00BE24A7"/>
    <w:rsid w:val="00BE2B5B"/>
    <w:rsid w:val="00BE449D"/>
    <w:rsid w:val="00BE4742"/>
    <w:rsid w:val="00BE5C49"/>
    <w:rsid w:val="00BE6502"/>
    <w:rsid w:val="00BE6C4A"/>
    <w:rsid w:val="00BE72C6"/>
    <w:rsid w:val="00BE7BC5"/>
    <w:rsid w:val="00BF0431"/>
    <w:rsid w:val="00BF0536"/>
    <w:rsid w:val="00BF0757"/>
    <w:rsid w:val="00BF0907"/>
    <w:rsid w:val="00BF11A6"/>
    <w:rsid w:val="00BF1508"/>
    <w:rsid w:val="00BF2010"/>
    <w:rsid w:val="00BF3080"/>
    <w:rsid w:val="00BF3263"/>
    <w:rsid w:val="00BF4AB3"/>
    <w:rsid w:val="00BF58EE"/>
    <w:rsid w:val="00BF5D20"/>
    <w:rsid w:val="00BF5F78"/>
    <w:rsid w:val="00BF60E7"/>
    <w:rsid w:val="00BF661A"/>
    <w:rsid w:val="00BF7445"/>
    <w:rsid w:val="00BF7B55"/>
    <w:rsid w:val="00C00CD9"/>
    <w:rsid w:val="00C014A3"/>
    <w:rsid w:val="00C0201B"/>
    <w:rsid w:val="00C03B18"/>
    <w:rsid w:val="00C04577"/>
    <w:rsid w:val="00C054D5"/>
    <w:rsid w:val="00C05564"/>
    <w:rsid w:val="00C07317"/>
    <w:rsid w:val="00C0744D"/>
    <w:rsid w:val="00C075AF"/>
    <w:rsid w:val="00C07DFE"/>
    <w:rsid w:val="00C10D29"/>
    <w:rsid w:val="00C116D6"/>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3A2C"/>
    <w:rsid w:val="00C24220"/>
    <w:rsid w:val="00C25802"/>
    <w:rsid w:val="00C25EAF"/>
    <w:rsid w:val="00C26C60"/>
    <w:rsid w:val="00C270ED"/>
    <w:rsid w:val="00C27956"/>
    <w:rsid w:val="00C27C1E"/>
    <w:rsid w:val="00C27D18"/>
    <w:rsid w:val="00C3040C"/>
    <w:rsid w:val="00C30A43"/>
    <w:rsid w:val="00C30DA4"/>
    <w:rsid w:val="00C31036"/>
    <w:rsid w:val="00C310A5"/>
    <w:rsid w:val="00C313CC"/>
    <w:rsid w:val="00C31AFA"/>
    <w:rsid w:val="00C31D44"/>
    <w:rsid w:val="00C3314D"/>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C8D"/>
    <w:rsid w:val="00C41F46"/>
    <w:rsid w:val="00C42746"/>
    <w:rsid w:val="00C436B6"/>
    <w:rsid w:val="00C4463F"/>
    <w:rsid w:val="00C44DEC"/>
    <w:rsid w:val="00C45CC4"/>
    <w:rsid w:val="00C45D66"/>
    <w:rsid w:val="00C45E33"/>
    <w:rsid w:val="00C46E04"/>
    <w:rsid w:val="00C46EA3"/>
    <w:rsid w:val="00C472B4"/>
    <w:rsid w:val="00C47F60"/>
    <w:rsid w:val="00C5015C"/>
    <w:rsid w:val="00C501C1"/>
    <w:rsid w:val="00C506B8"/>
    <w:rsid w:val="00C50F18"/>
    <w:rsid w:val="00C50FFA"/>
    <w:rsid w:val="00C51020"/>
    <w:rsid w:val="00C51455"/>
    <w:rsid w:val="00C5180D"/>
    <w:rsid w:val="00C51816"/>
    <w:rsid w:val="00C51CC6"/>
    <w:rsid w:val="00C52059"/>
    <w:rsid w:val="00C52901"/>
    <w:rsid w:val="00C52958"/>
    <w:rsid w:val="00C532AA"/>
    <w:rsid w:val="00C5359B"/>
    <w:rsid w:val="00C5419C"/>
    <w:rsid w:val="00C541BA"/>
    <w:rsid w:val="00C544B4"/>
    <w:rsid w:val="00C54C5D"/>
    <w:rsid w:val="00C55443"/>
    <w:rsid w:val="00C55CB1"/>
    <w:rsid w:val="00C561E6"/>
    <w:rsid w:val="00C564EE"/>
    <w:rsid w:val="00C57509"/>
    <w:rsid w:val="00C57ADF"/>
    <w:rsid w:val="00C57F3A"/>
    <w:rsid w:val="00C605A3"/>
    <w:rsid w:val="00C60643"/>
    <w:rsid w:val="00C607A9"/>
    <w:rsid w:val="00C610DE"/>
    <w:rsid w:val="00C6365A"/>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1191"/>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93E"/>
    <w:rsid w:val="00C85ABB"/>
    <w:rsid w:val="00C863EF"/>
    <w:rsid w:val="00C865CF"/>
    <w:rsid w:val="00C8693C"/>
    <w:rsid w:val="00C870DB"/>
    <w:rsid w:val="00C877D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60"/>
    <w:rsid w:val="00CB5B71"/>
    <w:rsid w:val="00CB6058"/>
    <w:rsid w:val="00CB6C08"/>
    <w:rsid w:val="00CB6C80"/>
    <w:rsid w:val="00CB7028"/>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F17"/>
    <w:rsid w:val="00CD049C"/>
    <w:rsid w:val="00CD04FE"/>
    <w:rsid w:val="00CD0A73"/>
    <w:rsid w:val="00CD1126"/>
    <w:rsid w:val="00CD118C"/>
    <w:rsid w:val="00CD1284"/>
    <w:rsid w:val="00CD14F7"/>
    <w:rsid w:val="00CD23E4"/>
    <w:rsid w:val="00CD25A2"/>
    <w:rsid w:val="00CD3E76"/>
    <w:rsid w:val="00CD46DC"/>
    <w:rsid w:val="00CD6263"/>
    <w:rsid w:val="00CD6A5B"/>
    <w:rsid w:val="00CD6B9B"/>
    <w:rsid w:val="00CD70A9"/>
    <w:rsid w:val="00CE02C7"/>
    <w:rsid w:val="00CE0421"/>
    <w:rsid w:val="00CE047E"/>
    <w:rsid w:val="00CE06F4"/>
    <w:rsid w:val="00CE125D"/>
    <w:rsid w:val="00CE18C0"/>
    <w:rsid w:val="00CE1CAC"/>
    <w:rsid w:val="00CE203A"/>
    <w:rsid w:val="00CE2B6F"/>
    <w:rsid w:val="00CE33B1"/>
    <w:rsid w:val="00CE34D9"/>
    <w:rsid w:val="00CE3AE9"/>
    <w:rsid w:val="00CE3F23"/>
    <w:rsid w:val="00CE470B"/>
    <w:rsid w:val="00CE497D"/>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1E"/>
    <w:rsid w:val="00CF07A3"/>
    <w:rsid w:val="00CF0B51"/>
    <w:rsid w:val="00CF1304"/>
    <w:rsid w:val="00CF25C9"/>
    <w:rsid w:val="00CF26CA"/>
    <w:rsid w:val="00CF2C6B"/>
    <w:rsid w:val="00CF2FA6"/>
    <w:rsid w:val="00CF32B1"/>
    <w:rsid w:val="00CF3E80"/>
    <w:rsid w:val="00CF4F62"/>
    <w:rsid w:val="00CF517F"/>
    <w:rsid w:val="00CF5A19"/>
    <w:rsid w:val="00CF6320"/>
    <w:rsid w:val="00CF63BC"/>
    <w:rsid w:val="00CF647D"/>
    <w:rsid w:val="00CF6CBF"/>
    <w:rsid w:val="00CF7AD9"/>
    <w:rsid w:val="00D02C8F"/>
    <w:rsid w:val="00D02E2C"/>
    <w:rsid w:val="00D03433"/>
    <w:rsid w:val="00D03DFF"/>
    <w:rsid w:val="00D0466E"/>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1CC"/>
    <w:rsid w:val="00D21348"/>
    <w:rsid w:val="00D215F5"/>
    <w:rsid w:val="00D22071"/>
    <w:rsid w:val="00D227B3"/>
    <w:rsid w:val="00D229CD"/>
    <w:rsid w:val="00D22F58"/>
    <w:rsid w:val="00D23528"/>
    <w:rsid w:val="00D23724"/>
    <w:rsid w:val="00D23F90"/>
    <w:rsid w:val="00D24E64"/>
    <w:rsid w:val="00D25819"/>
    <w:rsid w:val="00D26C0B"/>
    <w:rsid w:val="00D27705"/>
    <w:rsid w:val="00D2774B"/>
    <w:rsid w:val="00D3032E"/>
    <w:rsid w:val="00D304B7"/>
    <w:rsid w:val="00D304CF"/>
    <w:rsid w:val="00D30A3F"/>
    <w:rsid w:val="00D31315"/>
    <w:rsid w:val="00D31362"/>
    <w:rsid w:val="00D31703"/>
    <w:rsid w:val="00D31708"/>
    <w:rsid w:val="00D31A67"/>
    <w:rsid w:val="00D31CFD"/>
    <w:rsid w:val="00D325B5"/>
    <w:rsid w:val="00D332FE"/>
    <w:rsid w:val="00D33FE3"/>
    <w:rsid w:val="00D34021"/>
    <w:rsid w:val="00D34285"/>
    <w:rsid w:val="00D3516B"/>
    <w:rsid w:val="00D35554"/>
    <w:rsid w:val="00D355E6"/>
    <w:rsid w:val="00D355F1"/>
    <w:rsid w:val="00D359EF"/>
    <w:rsid w:val="00D35F58"/>
    <w:rsid w:val="00D3691B"/>
    <w:rsid w:val="00D37641"/>
    <w:rsid w:val="00D3786E"/>
    <w:rsid w:val="00D378D5"/>
    <w:rsid w:val="00D37A3D"/>
    <w:rsid w:val="00D37E31"/>
    <w:rsid w:val="00D400E1"/>
    <w:rsid w:val="00D40AFA"/>
    <w:rsid w:val="00D40C16"/>
    <w:rsid w:val="00D412B6"/>
    <w:rsid w:val="00D429B8"/>
    <w:rsid w:val="00D42D11"/>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08B"/>
    <w:rsid w:val="00D558FD"/>
    <w:rsid w:val="00D55AF5"/>
    <w:rsid w:val="00D55E26"/>
    <w:rsid w:val="00D56386"/>
    <w:rsid w:val="00D56958"/>
    <w:rsid w:val="00D572C5"/>
    <w:rsid w:val="00D575F3"/>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457"/>
    <w:rsid w:val="00D85650"/>
    <w:rsid w:val="00D857BB"/>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0F1E"/>
    <w:rsid w:val="00DA1206"/>
    <w:rsid w:val="00DA1238"/>
    <w:rsid w:val="00DA13F6"/>
    <w:rsid w:val="00DA1F43"/>
    <w:rsid w:val="00DA2809"/>
    <w:rsid w:val="00DA28B9"/>
    <w:rsid w:val="00DA28C9"/>
    <w:rsid w:val="00DA3047"/>
    <w:rsid w:val="00DA319A"/>
    <w:rsid w:val="00DA34F8"/>
    <w:rsid w:val="00DA3BB7"/>
    <w:rsid w:val="00DA3D66"/>
    <w:rsid w:val="00DA4FBF"/>
    <w:rsid w:val="00DA52D5"/>
    <w:rsid w:val="00DA5505"/>
    <w:rsid w:val="00DA553F"/>
    <w:rsid w:val="00DA5ECB"/>
    <w:rsid w:val="00DA62CB"/>
    <w:rsid w:val="00DA6304"/>
    <w:rsid w:val="00DA691F"/>
    <w:rsid w:val="00DA696F"/>
    <w:rsid w:val="00DA6BF5"/>
    <w:rsid w:val="00DA74D9"/>
    <w:rsid w:val="00DA780D"/>
    <w:rsid w:val="00DB0C77"/>
    <w:rsid w:val="00DB1188"/>
    <w:rsid w:val="00DB1B4D"/>
    <w:rsid w:val="00DB1CFE"/>
    <w:rsid w:val="00DB1EE6"/>
    <w:rsid w:val="00DB26E8"/>
    <w:rsid w:val="00DB275B"/>
    <w:rsid w:val="00DB639F"/>
    <w:rsid w:val="00DB6599"/>
    <w:rsid w:val="00DB68E3"/>
    <w:rsid w:val="00DB7200"/>
    <w:rsid w:val="00DB7229"/>
    <w:rsid w:val="00DB7408"/>
    <w:rsid w:val="00DC06FC"/>
    <w:rsid w:val="00DC0EB0"/>
    <w:rsid w:val="00DC0F66"/>
    <w:rsid w:val="00DC1199"/>
    <w:rsid w:val="00DC14A7"/>
    <w:rsid w:val="00DC1724"/>
    <w:rsid w:val="00DC1DB6"/>
    <w:rsid w:val="00DC230F"/>
    <w:rsid w:val="00DC24B3"/>
    <w:rsid w:val="00DC252E"/>
    <w:rsid w:val="00DC2B4C"/>
    <w:rsid w:val="00DC2DC7"/>
    <w:rsid w:val="00DC49C8"/>
    <w:rsid w:val="00DC4AD8"/>
    <w:rsid w:val="00DC4F2D"/>
    <w:rsid w:val="00DC52EC"/>
    <w:rsid w:val="00DC5396"/>
    <w:rsid w:val="00DC5FA7"/>
    <w:rsid w:val="00DC6252"/>
    <w:rsid w:val="00DC64D4"/>
    <w:rsid w:val="00DC6EC0"/>
    <w:rsid w:val="00DC723B"/>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5ED9"/>
    <w:rsid w:val="00DD606E"/>
    <w:rsid w:val="00DD65B1"/>
    <w:rsid w:val="00DD6C08"/>
    <w:rsid w:val="00DE00F9"/>
    <w:rsid w:val="00DE0137"/>
    <w:rsid w:val="00DE02EA"/>
    <w:rsid w:val="00DE07A2"/>
    <w:rsid w:val="00DE07B5"/>
    <w:rsid w:val="00DE0819"/>
    <w:rsid w:val="00DE11E2"/>
    <w:rsid w:val="00DE1C42"/>
    <w:rsid w:val="00DE203D"/>
    <w:rsid w:val="00DE3F1C"/>
    <w:rsid w:val="00DE3FBF"/>
    <w:rsid w:val="00DE408B"/>
    <w:rsid w:val="00DE4251"/>
    <w:rsid w:val="00DE4418"/>
    <w:rsid w:val="00DE4976"/>
    <w:rsid w:val="00DE4C97"/>
    <w:rsid w:val="00DE519B"/>
    <w:rsid w:val="00DE52C3"/>
    <w:rsid w:val="00DE5753"/>
    <w:rsid w:val="00DE5AF1"/>
    <w:rsid w:val="00DE5E2E"/>
    <w:rsid w:val="00DE673D"/>
    <w:rsid w:val="00DE6F9F"/>
    <w:rsid w:val="00DE7D54"/>
    <w:rsid w:val="00DF0463"/>
    <w:rsid w:val="00DF0D43"/>
    <w:rsid w:val="00DF12A4"/>
    <w:rsid w:val="00DF1BFD"/>
    <w:rsid w:val="00DF1E9C"/>
    <w:rsid w:val="00DF2054"/>
    <w:rsid w:val="00DF24F5"/>
    <w:rsid w:val="00DF27A8"/>
    <w:rsid w:val="00DF32AB"/>
    <w:rsid w:val="00DF4446"/>
    <w:rsid w:val="00DF52F1"/>
    <w:rsid w:val="00DF598E"/>
    <w:rsid w:val="00DF6BE7"/>
    <w:rsid w:val="00DF6E9E"/>
    <w:rsid w:val="00DF7039"/>
    <w:rsid w:val="00DF7C81"/>
    <w:rsid w:val="00DF7F01"/>
    <w:rsid w:val="00E000CD"/>
    <w:rsid w:val="00E000FE"/>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5F63"/>
    <w:rsid w:val="00E0654F"/>
    <w:rsid w:val="00E06B08"/>
    <w:rsid w:val="00E106A1"/>
    <w:rsid w:val="00E11B06"/>
    <w:rsid w:val="00E13849"/>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202"/>
    <w:rsid w:val="00E226DE"/>
    <w:rsid w:val="00E229C5"/>
    <w:rsid w:val="00E231AD"/>
    <w:rsid w:val="00E2329C"/>
    <w:rsid w:val="00E242AE"/>
    <w:rsid w:val="00E25181"/>
    <w:rsid w:val="00E25E69"/>
    <w:rsid w:val="00E2609E"/>
    <w:rsid w:val="00E264A5"/>
    <w:rsid w:val="00E26752"/>
    <w:rsid w:val="00E26BF3"/>
    <w:rsid w:val="00E26E54"/>
    <w:rsid w:val="00E270FA"/>
    <w:rsid w:val="00E27E24"/>
    <w:rsid w:val="00E305B7"/>
    <w:rsid w:val="00E30795"/>
    <w:rsid w:val="00E31F52"/>
    <w:rsid w:val="00E326F0"/>
    <w:rsid w:val="00E329C7"/>
    <w:rsid w:val="00E32BF4"/>
    <w:rsid w:val="00E33C66"/>
    <w:rsid w:val="00E34F7C"/>
    <w:rsid w:val="00E35275"/>
    <w:rsid w:val="00E35C6D"/>
    <w:rsid w:val="00E35EEA"/>
    <w:rsid w:val="00E364DD"/>
    <w:rsid w:val="00E366FB"/>
    <w:rsid w:val="00E372C4"/>
    <w:rsid w:val="00E374F8"/>
    <w:rsid w:val="00E37FB8"/>
    <w:rsid w:val="00E4003A"/>
    <w:rsid w:val="00E41132"/>
    <w:rsid w:val="00E411E8"/>
    <w:rsid w:val="00E41644"/>
    <w:rsid w:val="00E41A9E"/>
    <w:rsid w:val="00E41DD8"/>
    <w:rsid w:val="00E41E13"/>
    <w:rsid w:val="00E428F1"/>
    <w:rsid w:val="00E42E47"/>
    <w:rsid w:val="00E42EE7"/>
    <w:rsid w:val="00E4325F"/>
    <w:rsid w:val="00E432BC"/>
    <w:rsid w:val="00E4361C"/>
    <w:rsid w:val="00E4419C"/>
    <w:rsid w:val="00E4462B"/>
    <w:rsid w:val="00E44E1E"/>
    <w:rsid w:val="00E452D0"/>
    <w:rsid w:val="00E45424"/>
    <w:rsid w:val="00E4594D"/>
    <w:rsid w:val="00E463CD"/>
    <w:rsid w:val="00E469B9"/>
    <w:rsid w:val="00E476C5"/>
    <w:rsid w:val="00E47C4F"/>
    <w:rsid w:val="00E5037A"/>
    <w:rsid w:val="00E50C32"/>
    <w:rsid w:val="00E513E7"/>
    <w:rsid w:val="00E52F27"/>
    <w:rsid w:val="00E52FD7"/>
    <w:rsid w:val="00E53560"/>
    <w:rsid w:val="00E537FA"/>
    <w:rsid w:val="00E53D7C"/>
    <w:rsid w:val="00E53F73"/>
    <w:rsid w:val="00E54C5C"/>
    <w:rsid w:val="00E54FD1"/>
    <w:rsid w:val="00E5500E"/>
    <w:rsid w:val="00E556C1"/>
    <w:rsid w:val="00E55C8F"/>
    <w:rsid w:val="00E55F23"/>
    <w:rsid w:val="00E56578"/>
    <w:rsid w:val="00E568DB"/>
    <w:rsid w:val="00E57752"/>
    <w:rsid w:val="00E5790E"/>
    <w:rsid w:val="00E60549"/>
    <w:rsid w:val="00E60DDA"/>
    <w:rsid w:val="00E61680"/>
    <w:rsid w:val="00E61ABC"/>
    <w:rsid w:val="00E61C86"/>
    <w:rsid w:val="00E62A6A"/>
    <w:rsid w:val="00E6305D"/>
    <w:rsid w:val="00E637DF"/>
    <w:rsid w:val="00E638D4"/>
    <w:rsid w:val="00E63E36"/>
    <w:rsid w:val="00E64C5E"/>
    <w:rsid w:val="00E659DB"/>
    <w:rsid w:val="00E668E8"/>
    <w:rsid w:val="00E674AE"/>
    <w:rsid w:val="00E67C6B"/>
    <w:rsid w:val="00E7009C"/>
    <w:rsid w:val="00E7069C"/>
    <w:rsid w:val="00E71376"/>
    <w:rsid w:val="00E7187C"/>
    <w:rsid w:val="00E71F45"/>
    <w:rsid w:val="00E72BBA"/>
    <w:rsid w:val="00E73950"/>
    <w:rsid w:val="00E73A90"/>
    <w:rsid w:val="00E73B20"/>
    <w:rsid w:val="00E7411E"/>
    <w:rsid w:val="00E74746"/>
    <w:rsid w:val="00E74748"/>
    <w:rsid w:val="00E74E4B"/>
    <w:rsid w:val="00E74FF4"/>
    <w:rsid w:val="00E7516F"/>
    <w:rsid w:val="00E751A3"/>
    <w:rsid w:val="00E75652"/>
    <w:rsid w:val="00E758FC"/>
    <w:rsid w:val="00E75E34"/>
    <w:rsid w:val="00E76869"/>
    <w:rsid w:val="00E76B71"/>
    <w:rsid w:val="00E76D9C"/>
    <w:rsid w:val="00E76E2B"/>
    <w:rsid w:val="00E7728A"/>
    <w:rsid w:val="00E77435"/>
    <w:rsid w:val="00E8152F"/>
    <w:rsid w:val="00E822C4"/>
    <w:rsid w:val="00E82C5C"/>
    <w:rsid w:val="00E83757"/>
    <w:rsid w:val="00E83B8E"/>
    <w:rsid w:val="00E84A7D"/>
    <w:rsid w:val="00E84ED0"/>
    <w:rsid w:val="00E852B9"/>
    <w:rsid w:val="00E857A0"/>
    <w:rsid w:val="00E85CB7"/>
    <w:rsid w:val="00E85E58"/>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4CDF"/>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C6A"/>
    <w:rsid w:val="00EC0001"/>
    <w:rsid w:val="00EC0255"/>
    <w:rsid w:val="00EC0436"/>
    <w:rsid w:val="00EC076B"/>
    <w:rsid w:val="00EC1497"/>
    <w:rsid w:val="00EC20D0"/>
    <w:rsid w:val="00EC2CE7"/>
    <w:rsid w:val="00EC312A"/>
    <w:rsid w:val="00EC3E9B"/>
    <w:rsid w:val="00EC4213"/>
    <w:rsid w:val="00EC45F6"/>
    <w:rsid w:val="00EC50B2"/>
    <w:rsid w:val="00EC50C9"/>
    <w:rsid w:val="00EC53D9"/>
    <w:rsid w:val="00EC5A4A"/>
    <w:rsid w:val="00EC620D"/>
    <w:rsid w:val="00EC7554"/>
    <w:rsid w:val="00EC7E66"/>
    <w:rsid w:val="00ED046C"/>
    <w:rsid w:val="00ED0B53"/>
    <w:rsid w:val="00ED1ABE"/>
    <w:rsid w:val="00ED2C2D"/>
    <w:rsid w:val="00ED4178"/>
    <w:rsid w:val="00ED4398"/>
    <w:rsid w:val="00ED4FE0"/>
    <w:rsid w:val="00ED50AE"/>
    <w:rsid w:val="00ED544A"/>
    <w:rsid w:val="00ED597E"/>
    <w:rsid w:val="00ED5EDC"/>
    <w:rsid w:val="00ED602A"/>
    <w:rsid w:val="00ED64DB"/>
    <w:rsid w:val="00ED662E"/>
    <w:rsid w:val="00ED6C2A"/>
    <w:rsid w:val="00ED737C"/>
    <w:rsid w:val="00ED7484"/>
    <w:rsid w:val="00ED78F3"/>
    <w:rsid w:val="00ED7A19"/>
    <w:rsid w:val="00EE0519"/>
    <w:rsid w:val="00EE0AD9"/>
    <w:rsid w:val="00EE0F62"/>
    <w:rsid w:val="00EE198E"/>
    <w:rsid w:val="00EE2244"/>
    <w:rsid w:val="00EE2A01"/>
    <w:rsid w:val="00EE30E2"/>
    <w:rsid w:val="00EE3637"/>
    <w:rsid w:val="00EE3D58"/>
    <w:rsid w:val="00EE4706"/>
    <w:rsid w:val="00EE48C7"/>
    <w:rsid w:val="00EE4C7A"/>
    <w:rsid w:val="00EE4E5A"/>
    <w:rsid w:val="00EE55E6"/>
    <w:rsid w:val="00EE5D17"/>
    <w:rsid w:val="00EE6E0A"/>
    <w:rsid w:val="00EE70F8"/>
    <w:rsid w:val="00EE7544"/>
    <w:rsid w:val="00EE784C"/>
    <w:rsid w:val="00EF0533"/>
    <w:rsid w:val="00EF094F"/>
    <w:rsid w:val="00EF0A99"/>
    <w:rsid w:val="00EF1043"/>
    <w:rsid w:val="00EF1484"/>
    <w:rsid w:val="00EF2A42"/>
    <w:rsid w:val="00EF2CCC"/>
    <w:rsid w:val="00EF2E1E"/>
    <w:rsid w:val="00EF4ECE"/>
    <w:rsid w:val="00EF4F87"/>
    <w:rsid w:val="00EF50AA"/>
    <w:rsid w:val="00EF513E"/>
    <w:rsid w:val="00EF60C5"/>
    <w:rsid w:val="00EF63FE"/>
    <w:rsid w:val="00EF650C"/>
    <w:rsid w:val="00EF7428"/>
    <w:rsid w:val="00F00137"/>
    <w:rsid w:val="00F00341"/>
    <w:rsid w:val="00F0097F"/>
    <w:rsid w:val="00F00E7D"/>
    <w:rsid w:val="00F0128D"/>
    <w:rsid w:val="00F01366"/>
    <w:rsid w:val="00F0150E"/>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8EE"/>
    <w:rsid w:val="00F07D69"/>
    <w:rsid w:val="00F101D6"/>
    <w:rsid w:val="00F10637"/>
    <w:rsid w:val="00F10656"/>
    <w:rsid w:val="00F107E1"/>
    <w:rsid w:val="00F12CD1"/>
    <w:rsid w:val="00F131B1"/>
    <w:rsid w:val="00F13C00"/>
    <w:rsid w:val="00F14145"/>
    <w:rsid w:val="00F14402"/>
    <w:rsid w:val="00F14BB3"/>
    <w:rsid w:val="00F14DA6"/>
    <w:rsid w:val="00F150DC"/>
    <w:rsid w:val="00F15A6A"/>
    <w:rsid w:val="00F15A80"/>
    <w:rsid w:val="00F160CA"/>
    <w:rsid w:val="00F17342"/>
    <w:rsid w:val="00F1792C"/>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824"/>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40009"/>
    <w:rsid w:val="00F40139"/>
    <w:rsid w:val="00F4047C"/>
    <w:rsid w:val="00F41A64"/>
    <w:rsid w:val="00F41B87"/>
    <w:rsid w:val="00F41D48"/>
    <w:rsid w:val="00F42460"/>
    <w:rsid w:val="00F42575"/>
    <w:rsid w:val="00F42853"/>
    <w:rsid w:val="00F42EA7"/>
    <w:rsid w:val="00F42F13"/>
    <w:rsid w:val="00F42F89"/>
    <w:rsid w:val="00F434A8"/>
    <w:rsid w:val="00F43A66"/>
    <w:rsid w:val="00F43BE4"/>
    <w:rsid w:val="00F43BFB"/>
    <w:rsid w:val="00F43EDE"/>
    <w:rsid w:val="00F444B4"/>
    <w:rsid w:val="00F44609"/>
    <w:rsid w:val="00F44810"/>
    <w:rsid w:val="00F44D9A"/>
    <w:rsid w:val="00F44E71"/>
    <w:rsid w:val="00F45067"/>
    <w:rsid w:val="00F45297"/>
    <w:rsid w:val="00F4618C"/>
    <w:rsid w:val="00F466B1"/>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BEC"/>
    <w:rsid w:val="00F57C3A"/>
    <w:rsid w:val="00F60ED9"/>
    <w:rsid w:val="00F61230"/>
    <w:rsid w:val="00F61560"/>
    <w:rsid w:val="00F6164D"/>
    <w:rsid w:val="00F616C4"/>
    <w:rsid w:val="00F628C6"/>
    <w:rsid w:val="00F63054"/>
    <w:rsid w:val="00F64446"/>
    <w:rsid w:val="00F6462B"/>
    <w:rsid w:val="00F64807"/>
    <w:rsid w:val="00F652E3"/>
    <w:rsid w:val="00F65937"/>
    <w:rsid w:val="00F65FED"/>
    <w:rsid w:val="00F6646E"/>
    <w:rsid w:val="00F66A79"/>
    <w:rsid w:val="00F66B9C"/>
    <w:rsid w:val="00F67C93"/>
    <w:rsid w:val="00F70476"/>
    <w:rsid w:val="00F7059D"/>
    <w:rsid w:val="00F709FB"/>
    <w:rsid w:val="00F70FA1"/>
    <w:rsid w:val="00F712DB"/>
    <w:rsid w:val="00F71C8A"/>
    <w:rsid w:val="00F722AB"/>
    <w:rsid w:val="00F73540"/>
    <w:rsid w:val="00F735AE"/>
    <w:rsid w:val="00F73D70"/>
    <w:rsid w:val="00F74236"/>
    <w:rsid w:val="00F74756"/>
    <w:rsid w:val="00F74F78"/>
    <w:rsid w:val="00F752E3"/>
    <w:rsid w:val="00F75BA7"/>
    <w:rsid w:val="00F7609D"/>
    <w:rsid w:val="00F77A33"/>
    <w:rsid w:val="00F8027C"/>
    <w:rsid w:val="00F806D9"/>
    <w:rsid w:val="00F808CB"/>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0FA0"/>
    <w:rsid w:val="00F91B3C"/>
    <w:rsid w:val="00F91BF2"/>
    <w:rsid w:val="00F92906"/>
    <w:rsid w:val="00F92A20"/>
    <w:rsid w:val="00F931DD"/>
    <w:rsid w:val="00F953B0"/>
    <w:rsid w:val="00F95D12"/>
    <w:rsid w:val="00F95D4F"/>
    <w:rsid w:val="00F9634D"/>
    <w:rsid w:val="00F96D37"/>
    <w:rsid w:val="00F96EB3"/>
    <w:rsid w:val="00F9732A"/>
    <w:rsid w:val="00F9748F"/>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21BE"/>
    <w:rsid w:val="00FC23A4"/>
    <w:rsid w:val="00FC2572"/>
    <w:rsid w:val="00FC2A6A"/>
    <w:rsid w:val="00FC2B79"/>
    <w:rsid w:val="00FC2D4E"/>
    <w:rsid w:val="00FC4620"/>
    <w:rsid w:val="00FC4A7C"/>
    <w:rsid w:val="00FC53E3"/>
    <w:rsid w:val="00FC5580"/>
    <w:rsid w:val="00FC5691"/>
    <w:rsid w:val="00FC63BD"/>
    <w:rsid w:val="00FC646E"/>
    <w:rsid w:val="00FC670B"/>
    <w:rsid w:val="00FC6726"/>
    <w:rsid w:val="00FC6DF3"/>
    <w:rsid w:val="00FC6F65"/>
    <w:rsid w:val="00FC72AD"/>
    <w:rsid w:val="00FC742D"/>
    <w:rsid w:val="00FC7CF9"/>
    <w:rsid w:val="00FD03E7"/>
    <w:rsid w:val="00FD06DA"/>
    <w:rsid w:val="00FD0D4F"/>
    <w:rsid w:val="00FD1522"/>
    <w:rsid w:val="00FD1D0D"/>
    <w:rsid w:val="00FD2A21"/>
    <w:rsid w:val="00FD2CEF"/>
    <w:rsid w:val="00FD345C"/>
    <w:rsid w:val="00FD3720"/>
    <w:rsid w:val="00FD4464"/>
    <w:rsid w:val="00FD45D5"/>
    <w:rsid w:val="00FD4748"/>
    <w:rsid w:val="00FD4974"/>
    <w:rsid w:val="00FD5FBC"/>
    <w:rsid w:val="00FD6584"/>
    <w:rsid w:val="00FD6EBC"/>
    <w:rsid w:val="00FD7649"/>
    <w:rsid w:val="00FE05F0"/>
    <w:rsid w:val="00FE0F5D"/>
    <w:rsid w:val="00FE10F0"/>
    <w:rsid w:val="00FE1658"/>
    <w:rsid w:val="00FE2243"/>
    <w:rsid w:val="00FE2248"/>
    <w:rsid w:val="00FE2AFA"/>
    <w:rsid w:val="00FE2C02"/>
    <w:rsid w:val="00FE2C4F"/>
    <w:rsid w:val="00FE4C57"/>
    <w:rsid w:val="00FE4EDC"/>
    <w:rsid w:val="00FE6457"/>
    <w:rsid w:val="00FE6695"/>
    <w:rsid w:val="00FE6790"/>
    <w:rsid w:val="00FE7520"/>
    <w:rsid w:val="00FE764F"/>
    <w:rsid w:val="00FE7AE5"/>
    <w:rsid w:val="00FE7E74"/>
    <w:rsid w:val="00FE7F2A"/>
    <w:rsid w:val="00FF00A6"/>
    <w:rsid w:val="00FF0C0F"/>
    <w:rsid w:val="00FF0D00"/>
    <w:rsid w:val="00FF0D4C"/>
    <w:rsid w:val="00FF23FF"/>
    <w:rsid w:val="00FF2488"/>
    <w:rsid w:val="00FF26F9"/>
    <w:rsid w:val="00FF2752"/>
    <w:rsid w:val="00FF28FC"/>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AFD5"/>
  <w15:docId w15:val="{93C470FB-EE56-4A27-9C75-A9BC92D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3)"/>
    <w:basedOn w:val="a7"/>
    <w:link w:val="3f2"/>
    <w:qFormat/>
    <w:rsid w:val="00052CFE"/>
    <w:pPr>
      <w:spacing w:line="520" w:lineRule="exact"/>
      <w:ind w:left="1276" w:hanging="482"/>
      <w:jc w:val="both"/>
    </w:pPr>
    <w:rPr>
      <w:rFonts w:ascii="標楷體" w:hAnsi="標楷體"/>
      <w:color w:val="000000" w:themeColor="text1"/>
      <w:kern w:val="2"/>
      <w:sz w:val="32"/>
      <w:szCs w:val="32"/>
    </w:rPr>
  </w:style>
  <w:style w:type="character" w:customStyle="1" w:styleId="3f2">
    <w:name w:val="(3) 字元"/>
    <w:basedOn w:val="a8"/>
    <w:link w:val="3f1"/>
    <w:rsid w:val="00052CFE"/>
    <w:rPr>
      <w:rFonts w:ascii="標楷體" w:eastAsia="標楷體" w:hAnsi="標楷體"/>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48310351">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187523196">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220819949">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5D48-0CC2-42F0-950B-2B07B913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9</Pages>
  <Words>1102</Words>
  <Characters>6287</Characters>
  <Application>Microsoft Office Word</Application>
  <DocSecurity>0</DocSecurity>
  <Lines>52</Lines>
  <Paragraphs>14</Paragraphs>
  <ScaleCrop>false</ScaleCrop>
  <Company>Microsoft</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徐偉誌</cp:lastModifiedBy>
  <cp:revision>37</cp:revision>
  <cp:lastPrinted>2026-06-25T09:09:00Z</cp:lastPrinted>
  <dcterms:created xsi:type="dcterms:W3CDTF">2026-06-29T01:04:00Z</dcterms:created>
  <dcterms:modified xsi:type="dcterms:W3CDTF">2026-08-27T02:42:00Z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1423573167</vt:i4>
  </property>
</Properties>
</file>