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D294B" w14:textId="77777777" w:rsidR="004D4F64" w:rsidRPr="00DF3828" w:rsidRDefault="004D4F64" w:rsidP="009625CF">
      <w:pPr>
        <w:widowControl/>
        <w:overflowPunct w:val="0"/>
        <w:adjustRightInd w:val="0"/>
        <w:ind w:firstLineChars="150" w:firstLine="480"/>
        <w:rPr>
          <w:rFonts w:ascii="標楷體" w:eastAsia="標楷體" w:hAnsi="標楷體"/>
          <w:b/>
          <w:snapToGrid w:val="0"/>
          <w:kern w:val="0"/>
        </w:rPr>
      </w:pPr>
      <w:r w:rsidRPr="00DF3828">
        <w:rPr>
          <w:rFonts w:ascii="標楷體" w:eastAsia="標楷體" w:hAnsi="標楷體" w:hint="eastAsia"/>
          <w:b/>
          <w:snapToGrid w:val="0"/>
          <w:kern w:val="0"/>
          <w:sz w:val="32"/>
          <w:szCs w:val="32"/>
        </w:rPr>
        <w:t>(二)有線廣播電視事業發展基金</w:t>
      </w:r>
    </w:p>
    <w:p w14:paraId="0195EAEE" w14:textId="7B211A65" w:rsidR="004D4F64" w:rsidRPr="00594485" w:rsidRDefault="001C6EBF" w:rsidP="00742924">
      <w:pPr>
        <w:adjustRightInd w:val="0"/>
        <w:snapToGrid w:val="0"/>
        <w:spacing w:line="580" w:lineRule="exact"/>
        <w:ind w:firstLineChars="200" w:firstLine="480"/>
        <w:jc w:val="both"/>
        <w:rPr>
          <w:rFonts w:ascii="標楷體" w:eastAsia="標楷體" w:hAnsi="標楷體"/>
          <w:snapToGrid w:val="0"/>
          <w:kern w:val="0"/>
        </w:rPr>
      </w:pPr>
      <w:r w:rsidRPr="001C6EBF">
        <w:rPr>
          <w:rFonts w:ascii="標楷體" w:eastAsia="標楷體" w:hAnsi="標楷體" w:hint="eastAsia"/>
          <w:snapToGrid w:val="0"/>
          <w:kern w:val="0"/>
        </w:rPr>
        <w:t>政府為促進有線廣播電視事業之發展，依據有線廣播電視法規定，設立有線廣播電視事業發展基金。該基金</w:t>
      </w:r>
      <w:proofErr w:type="gramStart"/>
      <w:r w:rsidRPr="001C6EBF">
        <w:rPr>
          <w:rFonts w:ascii="標楷體" w:eastAsia="標楷體" w:hAnsi="標楷體" w:hint="eastAsia"/>
          <w:snapToGrid w:val="0"/>
          <w:kern w:val="0"/>
        </w:rPr>
        <w:t>114</w:t>
      </w:r>
      <w:proofErr w:type="gramEnd"/>
      <w:r w:rsidRPr="001C6EBF">
        <w:rPr>
          <w:rFonts w:ascii="標楷體" w:eastAsia="標楷體" w:hAnsi="標楷體" w:hint="eastAsia"/>
          <w:snapToGrid w:val="0"/>
          <w:kern w:val="0"/>
        </w:rPr>
        <w:t>年度各項業務</w:t>
      </w:r>
      <w:r w:rsidRPr="00684310">
        <w:rPr>
          <w:rFonts w:ascii="標楷體" w:eastAsia="標楷體" w:hAnsi="標楷體" w:hint="eastAsia"/>
          <w:snapToGrid w:val="0"/>
          <w:spacing w:val="6"/>
          <w:kern w:val="0"/>
        </w:rPr>
        <w:t>計畫</w:t>
      </w:r>
      <w:r w:rsidRPr="001C6EBF">
        <w:rPr>
          <w:rFonts w:ascii="標楷體" w:eastAsia="標楷體" w:hAnsi="標楷體" w:hint="eastAsia"/>
          <w:snapToGrid w:val="0"/>
          <w:kern w:val="0"/>
        </w:rPr>
        <w:t>及預算之執行等，經予書面審核，並派員就地抽查，茲將查核結果說明如次：</w:t>
      </w:r>
    </w:p>
    <w:p w14:paraId="6F626747" w14:textId="77777777" w:rsidR="004D4F64" w:rsidRPr="00594485" w:rsidRDefault="004D4F64" w:rsidP="00742924">
      <w:pPr>
        <w:adjustRightInd w:val="0"/>
        <w:snapToGrid w:val="0"/>
        <w:spacing w:beforeLines="10" w:before="36" w:afterLines="10" w:after="36" w:line="580" w:lineRule="exact"/>
        <w:ind w:firstLineChars="450" w:firstLine="1261"/>
        <w:jc w:val="both"/>
        <w:outlineLvl w:val="0"/>
        <w:rPr>
          <w:rFonts w:ascii="標楷體" w:eastAsia="標楷體" w:hAnsi="標楷體"/>
          <w:b/>
          <w:snapToGrid w:val="0"/>
          <w:kern w:val="0"/>
          <w:sz w:val="28"/>
          <w:szCs w:val="28"/>
          <w:highlight w:val="yellow"/>
        </w:rPr>
      </w:pPr>
      <w:r w:rsidRPr="00594485">
        <w:rPr>
          <w:rFonts w:ascii="標楷體" w:eastAsia="標楷體" w:hAnsi="標楷體" w:hint="eastAsia"/>
          <w:b/>
          <w:snapToGrid w:val="0"/>
          <w:kern w:val="0"/>
          <w:sz w:val="28"/>
          <w:szCs w:val="28"/>
        </w:rPr>
        <w:t>1.　業務計畫實施情形之查核</w:t>
      </w:r>
    </w:p>
    <w:p w14:paraId="2D20FF30" w14:textId="6C41A4DF" w:rsidR="004D4F64" w:rsidRPr="003E7176" w:rsidRDefault="001C6EBF" w:rsidP="00742924">
      <w:pPr>
        <w:adjustRightInd w:val="0"/>
        <w:snapToGrid w:val="0"/>
        <w:spacing w:afterLines="20" w:after="72" w:line="580" w:lineRule="exact"/>
        <w:ind w:firstLineChars="200" w:firstLine="480"/>
        <w:jc w:val="both"/>
        <w:rPr>
          <w:rFonts w:ascii="標楷體" w:eastAsia="標楷體" w:hAnsi="標楷體"/>
          <w:snapToGrid w:val="0"/>
          <w:kern w:val="0"/>
        </w:rPr>
      </w:pPr>
      <w:r w:rsidRPr="003E7176">
        <w:rPr>
          <w:rFonts w:ascii="標楷體" w:eastAsia="標楷體" w:hAnsi="標楷體" w:hint="eastAsia"/>
          <w:snapToGrid w:val="0"/>
          <w:kern w:val="0"/>
        </w:rPr>
        <w:t>該基金主要業務係撥付地方政府從事與有線廣播電視法有關地方文化及公共建設，暨捐贈財團法人公共電視文化事業基金會，以推動有線廣播電視之普及發展。</w:t>
      </w:r>
      <w:proofErr w:type="gramStart"/>
      <w:r w:rsidRPr="003E7176">
        <w:rPr>
          <w:rFonts w:ascii="標楷體" w:eastAsia="標楷體" w:hAnsi="標楷體" w:hint="eastAsia"/>
          <w:snapToGrid w:val="0"/>
          <w:kern w:val="0"/>
        </w:rPr>
        <w:t>114</w:t>
      </w:r>
      <w:proofErr w:type="gramEnd"/>
      <w:r w:rsidRPr="003E7176">
        <w:rPr>
          <w:rFonts w:ascii="標楷體" w:eastAsia="標楷體" w:hAnsi="標楷體" w:hint="eastAsia"/>
          <w:snapToGrid w:val="0"/>
          <w:kern w:val="0"/>
        </w:rPr>
        <w:t>年度業務計畫3項，實施結果，實際</w:t>
      </w:r>
      <w:proofErr w:type="gramStart"/>
      <w:r w:rsidRPr="003E7176">
        <w:rPr>
          <w:rFonts w:ascii="標楷體" w:eastAsia="標楷體" w:hAnsi="標楷體" w:hint="eastAsia"/>
          <w:snapToGrid w:val="0"/>
          <w:kern w:val="0"/>
        </w:rPr>
        <w:t>數均較原</w:t>
      </w:r>
      <w:proofErr w:type="gramEnd"/>
      <w:r w:rsidRPr="003E7176">
        <w:rPr>
          <w:rFonts w:ascii="標楷體" w:eastAsia="標楷體" w:hAnsi="標楷體" w:hint="eastAsia"/>
          <w:snapToGrid w:val="0"/>
          <w:kern w:val="0"/>
        </w:rPr>
        <w:t>預計減少，其執行情形列表如次：</w:t>
      </w:r>
    </w:p>
    <w:tbl>
      <w:tblPr>
        <w:tblW w:w="10219" w:type="dxa"/>
        <w:tblLayout w:type="fixed"/>
        <w:tblCellMar>
          <w:left w:w="28" w:type="dxa"/>
          <w:right w:w="28" w:type="dxa"/>
        </w:tblCellMar>
        <w:tblLook w:val="0000" w:firstRow="0" w:lastRow="0" w:firstColumn="0" w:lastColumn="0" w:noHBand="0" w:noVBand="0"/>
      </w:tblPr>
      <w:tblGrid>
        <w:gridCol w:w="3135"/>
        <w:gridCol w:w="567"/>
        <w:gridCol w:w="1063"/>
        <w:gridCol w:w="1063"/>
        <w:gridCol w:w="1063"/>
        <w:gridCol w:w="1063"/>
        <w:gridCol w:w="2265"/>
      </w:tblGrid>
      <w:tr w:rsidR="004D4F64" w:rsidRPr="00594485" w14:paraId="786AD7E8" w14:textId="77777777" w:rsidTr="004E158C">
        <w:trPr>
          <w:cantSplit/>
          <w:trHeight w:val="397"/>
        </w:trPr>
        <w:tc>
          <w:tcPr>
            <w:tcW w:w="3135" w:type="dxa"/>
            <w:vMerge w:val="restart"/>
            <w:tcBorders>
              <w:top w:val="single" w:sz="8" w:space="0" w:color="auto"/>
              <w:right w:val="single" w:sz="4" w:space="0" w:color="auto"/>
            </w:tcBorders>
            <w:vAlign w:val="center"/>
          </w:tcPr>
          <w:p w14:paraId="65EAA522"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項目</w:t>
            </w:r>
          </w:p>
        </w:tc>
        <w:tc>
          <w:tcPr>
            <w:tcW w:w="567" w:type="dxa"/>
            <w:vMerge w:val="restart"/>
            <w:tcBorders>
              <w:top w:val="single" w:sz="8" w:space="0" w:color="auto"/>
              <w:left w:val="single" w:sz="4" w:space="0" w:color="auto"/>
              <w:right w:val="single" w:sz="4" w:space="0" w:color="auto"/>
            </w:tcBorders>
            <w:vAlign w:val="center"/>
          </w:tcPr>
          <w:p w14:paraId="75CDFB3D"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單位</w:t>
            </w:r>
          </w:p>
        </w:tc>
        <w:tc>
          <w:tcPr>
            <w:tcW w:w="1063" w:type="dxa"/>
            <w:vMerge w:val="restart"/>
            <w:tcBorders>
              <w:top w:val="single" w:sz="8" w:space="0" w:color="auto"/>
              <w:left w:val="single" w:sz="4" w:space="0" w:color="auto"/>
              <w:right w:val="single" w:sz="4" w:space="0" w:color="auto"/>
            </w:tcBorders>
            <w:vAlign w:val="center"/>
          </w:tcPr>
          <w:p w14:paraId="7A2C56F5"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預計數</w:t>
            </w:r>
          </w:p>
        </w:tc>
        <w:tc>
          <w:tcPr>
            <w:tcW w:w="1063" w:type="dxa"/>
            <w:vMerge w:val="restart"/>
            <w:tcBorders>
              <w:top w:val="single" w:sz="8" w:space="0" w:color="auto"/>
              <w:left w:val="single" w:sz="4" w:space="0" w:color="auto"/>
              <w:right w:val="single" w:sz="4" w:space="0" w:color="auto"/>
            </w:tcBorders>
            <w:vAlign w:val="center"/>
          </w:tcPr>
          <w:p w14:paraId="1210E254"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實際數</w:t>
            </w:r>
          </w:p>
        </w:tc>
        <w:tc>
          <w:tcPr>
            <w:tcW w:w="4391" w:type="dxa"/>
            <w:gridSpan w:val="3"/>
            <w:tcBorders>
              <w:top w:val="single" w:sz="8" w:space="0" w:color="auto"/>
              <w:left w:val="single" w:sz="4" w:space="0" w:color="auto"/>
              <w:bottom w:val="single" w:sz="4" w:space="0" w:color="auto"/>
            </w:tcBorders>
            <w:vAlign w:val="center"/>
          </w:tcPr>
          <w:p w14:paraId="2CC76498"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比較增減</w:t>
            </w:r>
          </w:p>
        </w:tc>
      </w:tr>
      <w:tr w:rsidR="004D4F64" w:rsidRPr="00594485" w14:paraId="64826BDC" w14:textId="77777777" w:rsidTr="004E158C">
        <w:trPr>
          <w:cantSplit/>
          <w:trHeight w:val="397"/>
        </w:trPr>
        <w:tc>
          <w:tcPr>
            <w:tcW w:w="3135" w:type="dxa"/>
            <w:vMerge/>
            <w:tcBorders>
              <w:bottom w:val="single" w:sz="8" w:space="0" w:color="auto"/>
              <w:right w:val="single" w:sz="4" w:space="0" w:color="auto"/>
            </w:tcBorders>
          </w:tcPr>
          <w:p w14:paraId="35E9E46E" w14:textId="77777777" w:rsidR="004D4F64" w:rsidRPr="00594485" w:rsidRDefault="004D4F64" w:rsidP="004D4F64">
            <w:pPr>
              <w:widowControl/>
              <w:overflowPunct w:val="0"/>
              <w:jc w:val="distribute"/>
              <w:rPr>
                <w:rFonts w:ascii="標楷體" w:eastAsia="標楷體" w:hAnsi="標楷體"/>
                <w:bCs/>
                <w:sz w:val="22"/>
                <w:szCs w:val="22"/>
              </w:rPr>
            </w:pPr>
          </w:p>
        </w:tc>
        <w:tc>
          <w:tcPr>
            <w:tcW w:w="567" w:type="dxa"/>
            <w:vMerge/>
            <w:tcBorders>
              <w:left w:val="single" w:sz="4" w:space="0" w:color="auto"/>
              <w:bottom w:val="single" w:sz="8" w:space="0" w:color="auto"/>
              <w:right w:val="single" w:sz="4" w:space="0" w:color="auto"/>
            </w:tcBorders>
          </w:tcPr>
          <w:p w14:paraId="68ED2142"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vMerge/>
            <w:tcBorders>
              <w:left w:val="single" w:sz="4" w:space="0" w:color="auto"/>
              <w:bottom w:val="single" w:sz="8" w:space="0" w:color="auto"/>
              <w:right w:val="single" w:sz="4" w:space="0" w:color="auto"/>
            </w:tcBorders>
          </w:tcPr>
          <w:p w14:paraId="6C21BDE3"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vMerge/>
            <w:tcBorders>
              <w:left w:val="single" w:sz="4" w:space="0" w:color="auto"/>
              <w:bottom w:val="single" w:sz="8" w:space="0" w:color="auto"/>
              <w:right w:val="single" w:sz="4" w:space="0" w:color="auto"/>
            </w:tcBorders>
          </w:tcPr>
          <w:p w14:paraId="657E904B" w14:textId="77777777" w:rsidR="004D4F64" w:rsidRPr="00594485" w:rsidRDefault="004D4F64" w:rsidP="004D4F64">
            <w:pPr>
              <w:widowControl/>
              <w:overflowPunct w:val="0"/>
              <w:jc w:val="distribute"/>
              <w:rPr>
                <w:rFonts w:ascii="標楷體" w:eastAsia="標楷體" w:hAnsi="標楷體"/>
                <w:bCs/>
                <w:sz w:val="22"/>
                <w:szCs w:val="22"/>
              </w:rPr>
            </w:pPr>
          </w:p>
        </w:tc>
        <w:tc>
          <w:tcPr>
            <w:tcW w:w="1063" w:type="dxa"/>
            <w:tcBorders>
              <w:top w:val="single" w:sz="4" w:space="0" w:color="auto"/>
              <w:left w:val="single" w:sz="4" w:space="0" w:color="auto"/>
              <w:bottom w:val="single" w:sz="8" w:space="0" w:color="auto"/>
              <w:right w:val="single" w:sz="4" w:space="0" w:color="auto"/>
            </w:tcBorders>
            <w:vAlign w:val="center"/>
          </w:tcPr>
          <w:p w14:paraId="43727D90"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增減數</w:t>
            </w:r>
          </w:p>
        </w:tc>
        <w:tc>
          <w:tcPr>
            <w:tcW w:w="1063" w:type="dxa"/>
            <w:tcBorders>
              <w:top w:val="single" w:sz="4" w:space="0" w:color="auto"/>
              <w:left w:val="single" w:sz="4" w:space="0" w:color="auto"/>
              <w:bottom w:val="single" w:sz="8" w:space="0" w:color="auto"/>
              <w:right w:val="single" w:sz="4" w:space="0" w:color="auto"/>
            </w:tcBorders>
            <w:vAlign w:val="center"/>
          </w:tcPr>
          <w:p w14:paraId="1A47E1DE"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w:t>
            </w:r>
          </w:p>
        </w:tc>
        <w:tc>
          <w:tcPr>
            <w:tcW w:w="2265" w:type="dxa"/>
            <w:tcBorders>
              <w:top w:val="single" w:sz="4" w:space="0" w:color="auto"/>
              <w:left w:val="single" w:sz="4" w:space="0" w:color="auto"/>
              <w:bottom w:val="single" w:sz="8" w:space="0" w:color="auto"/>
            </w:tcBorders>
            <w:vAlign w:val="center"/>
          </w:tcPr>
          <w:p w14:paraId="52B0D258" w14:textId="77777777" w:rsidR="004D4F64" w:rsidRPr="00594485" w:rsidRDefault="004D4F64" w:rsidP="004D4F64">
            <w:pPr>
              <w:widowControl/>
              <w:overflowPunct w:val="0"/>
              <w:jc w:val="distribute"/>
              <w:rPr>
                <w:rFonts w:ascii="標楷體" w:eastAsia="標楷體" w:hAnsi="標楷體"/>
                <w:bCs/>
                <w:sz w:val="22"/>
                <w:szCs w:val="22"/>
              </w:rPr>
            </w:pPr>
            <w:r w:rsidRPr="00594485">
              <w:rPr>
                <w:rFonts w:ascii="標楷體" w:eastAsia="標楷體" w:hAnsi="標楷體" w:hint="eastAsia"/>
                <w:bCs/>
                <w:sz w:val="22"/>
                <w:szCs w:val="22"/>
              </w:rPr>
              <w:t>原因</w:t>
            </w:r>
          </w:p>
        </w:tc>
      </w:tr>
      <w:tr w:rsidR="001C6EBF" w:rsidRPr="00594485" w14:paraId="1C6E0DAB" w14:textId="77777777" w:rsidTr="00742924">
        <w:trPr>
          <w:cantSplit/>
          <w:trHeight w:val="765"/>
        </w:trPr>
        <w:tc>
          <w:tcPr>
            <w:tcW w:w="3135" w:type="dxa"/>
            <w:tcBorders>
              <w:right w:val="single" w:sz="4" w:space="0" w:color="auto"/>
            </w:tcBorders>
          </w:tcPr>
          <w:p w14:paraId="7A70B45B" w14:textId="77777777" w:rsidR="001C6EBF" w:rsidRPr="00E179E8" w:rsidRDefault="001C6EBF" w:rsidP="00742924">
            <w:pPr>
              <w:widowControl/>
              <w:overflowPunct w:val="0"/>
              <w:spacing w:beforeLines="10" w:before="36" w:line="320" w:lineRule="exact"/>
              <w:jc w:val="distribute"/>
              <w:rPr>
                <w:rFonts w:ascii="標楷體" w:eastAsia="標楷體" w:hAnsi="標楷體"/>
                <w:sz w:val="22"/>
                <w:szCs w:val="22"/>
              </w:rPr>
            </w:pPr>
            <w:r w:rsidRPr="0074143B">
              <w:rPr>
                <w:rFonts w:ascii="標楷體" w:eastAsia="標楷體" w:hAnsi="標楷體" w:hint="eastAsia"/>
                <w:bCs/>
                <w:sz w:val="22"/>
                <w:szCs w:val="22"/>
              </w:rPr>
              <w:t>撥付地方政府及</w:t>
            </w:r>
          </w:p>
          <w:p w14:paraId="50C3F44E" w14:textId="77777777" w:rsidR="001C6EBF" w:rsidRPr="00E179E8" w:rsidRDefault="001C6EBF" w:rsidP="00742924">
            <w:pPr>
              <w:widowControl/>
              <w:overflowPunct w:val="0"/>
              <w:spacing w:line="260" w:lineRule="exact"/>
              <w:ind w:leftChars="-5" w:left="-12"/>
              <w:jc w:val="distribute"/>
              <w:rPr>
                <w:rFonts w:ascii="標楷體" w:eastAsia="標楷體" w:hAnsi="標楷體"/>
                <w:sz w:val="22"/>
                <w:szCs w:val="22"/>
              </w:rPr>
            </w:pPr>
            <w:r w:rsidRPr="0074143B">
              <w:rPr>
                <w:rFonts w:ascii="標楷體" w:eastAsia="標楷體" w:hAnsi="標楷體" w:hint="eastAsia"/>
                <w:bCs/>
                <w:sz w:val="22"/>
                <w:szCs w:val="22"/>
              </w:rPr>
              <w:t>捐贈公視計畫</w:t>
            </w:r>
          </w:p>
        </w:tc>
        <w:tc>
          <w:tcPr>
            <w:tcW w:w="567" w:type="dxa"/>
            <w:tcBorders>
              <w:left w:val="single" w:sz="4" w:space="0" w:color="auto"/>
              <w:right w:val="single" w:sz="4" w:space="0" w:color="auto"/>
            </w:tcBorders>
          </w:tcPr>
          <w:p w14:paraId="088027E2" w14:textId="77777777" w:rsidR="001C6EBF" w:rsidRPr="00CE2B32" w:rsidRDefault="001C6EBF" w:rsidP="00742924">
            <w:pPr>
              <w:widowControl/>
              <w:overflowPunct w:val="0"/>
              <w:spacing w:beforeLines="10" w:before="36" w:line="320" w:lineRule="exact"/>
              <w:jc w:val="center"/>
              <w:rPr>
                <w:rFonts w:ascii="標楷體" w:eastAsia="標楷體" w:hAnsi="標楷體"/>
                <w:sz w:val="22"/>
                <w:szCs w:val="22"/>
              </w:rPr>
            </w:pPr>
            <w:r w:rsidRPr="0074143B">
              <w:rPr>
                <w:rFonts w:ascii="標楷體" w:eastAsia="標楷體" w:hAnsi="標楷體" w:hint="eastAsia"/>
                <w:bCs/>
                <w:sz w:val="22"/>
                <w:szCs w:val="22"/>
              </w:rPr>
              <w:t>千元</w:t>
            </w:r>
          </w:p>
        </w:tc>
        <w:tc>
          <w:tcPr>
            <w:tcW w:w="1063" w:type="dxa"/>
            <w:tcBorders>
              <w:left w:val="single" w:sz="4" w:space="0" w:color="auto"/>
              <w:right w:val="single" w:sz="4" w:space="0" w:color="auto"/>
            </w:tcBorders>
          </w:tcPr>
          <w:p w14:paraId="3786D0E2" w14:textId="7041D5B9"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191,056</w:t>
            </w:r>
          </w:p>
        </w:tc>
        <w:tc>
          <w:tcPr>
            <w:tcW w:w="1063" w:type="dxa"/>
            <w:tcBorders>
              <w:left w:val="single" w:sz="4" w:space="0" w:color="auto"/>
              <w:right w:val="single" w:sz="4" w:space="0" w:color="auto"/>
            </w:tcBorders>
          </w:tcPr>
          <w:p w14:paraId="4A084864" w14:textId="6AAA36F4"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189,615</w:t>
            </w:r>
          </w:p>
        </w:tc>
        <w:tc>
          <w:tcPr>
            <w:tcW w:w="1063" w:type="dxa"/>
            <w:tcBorders>
              <w:left w:val="single" w:sz="4" w:space="0" w:color="auto"/>
              <w:right w:val="single" w:sz="4" w:space="0" w:color="auto"/>
            </w:tcBorders>
          </w:tcPr>
          <w:p w14:paraId="3ACDF973" w14:textId="3A2CF2CC"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- 1,440</w:t>
            </w:r>
          </w:p>
        </w:tc>
        <w:tc>
          <w:tcPr>
            <w:tcW w:w="1063" w:type="dxa"/>
            <w:tcBorders>
              <w:left w:val="single" w:sz="4" w:space="0" w:color="auto"/>
              <w:right w:val="single" w:sz="4" w:space="0" w:color="auto"/>
            </w:tcBorders>
          </w:tcPr>
          <w:p w14:paraId="0AE77172" w14:textId="71C8110E"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- 0.75</w:t>
            </w:r>
          </w:p>
        </w:tc>
        <w:tc>
          <w:tcPr>
            <w:tcW w:w="2265" w:type="dxa"/>
            <w:tcBorders>
              <w:left w:val="single" w:sz="4" w:space="0" w:color="auto"/>
            </w:tcBorders>
          </w:tcPr>
          <w:p w14:paraId="6BF7CC85" w14:textId="77777777" w:rsidR="001C6EBF" w:rsidRPr="00594485" w:rsidRDefault="001C6EBF" w:rsidP="00742924">
            <w:pPr>
              <w:suppressAutoHyphens/>
              <w:kinsoku w:val="0"/>
              <w:overflowPunct w:val="0"/>
              <w:topLinePunct/>
              <w:snapToGrid w:val="0"/>
              <w:spacing w:line="320" w:lineRule="exact"/>
              <w:jc w:val="both"/>
              <w:rPr>
                <w:rFonts w:ascii="標楷體" w:eastAsia="標楷體" w:hAnsi="標楷體"/>
                <w:sz w:val="22"/>
                <w:szCs w:val="22"/>
                <w:highlight w:val="yellow"/>
              </w:rPr>
            </w:pPr>
          </w:p>
        </w:tc>
      </w:tr>
      <w:tr w:rsidR="001C6EBF" w:rsidRPr="00594485" w14:paraId="59171847" w14:textId="77777777" w:rsidTr="00742924">
        <w:trPr>
          <w:cantSplit/>
          <w:trHeight w:val="765"/>
        </w:trPr>
        <w:tc>
          <w:tcPr>
            <w:tcW w:w="3135" w:type="dxa"/>
            <w:tcBorders>
              <w:right w:val="single" w:sz="4" w:space="0" w:color="auto"/>
            </w:tcBorders>
          </w:tcPr>
          <w:p w14:paraId="6FCA3F93" w14:textId="0C5DDEB4" w:rsidR="001C6EBF" w:rsidRPr="00E179E8" w:rsidRDefault="001C6EBF" w:rsidP="00742924">
            <w:pPr>
              <w:widowControl/>
              <w:overflowPunct w:val="0"/>
              <w:spacing w:beforeLines="10" w:before="36" w:line="320" w:lineRule="exact"/>
              <w:jc w:val="distribute"/>
              <w:rPr>
                <w:rFonts w:ascii="標楷體" w:eastAsia="標楷體" w:hAnsi="標楷體"/>
                <w:snapToGrid w:val="0"/>
                <w:kern w:val="0"/>
                <w:sz w:val="22"/>
                <w:szCs w:val="22"/>
              </w:rPr>
            </w:pPr>
            <w:r w:rsidRPr="0074143B">
              <w:rPr>
                <w:rFonts w:ascii="標楷體" w:eastAsia="標楷體" w:hAnsi="標楷體" w:hint="eastAsia"/>
                <w:bCs/>
                <w:sz w:val="22"/>
                <w:szCs w:val="22"/>
              </w:rPr>
              <w:t>有線電視普及發展</w:t>
            </w:r>
          </w:p>
          <w:p w14:paraId="3CF5EA9B" w14:textId="77777777" w:rsidR="001C6EBF" w:rsidRPr="00E179E8" w:rsidRDefault="001C6EBF" w:rsidP="00742924">
            <w:pPr>
              <w:widowControl/>
              <w:overflowPunct w:val="0"/>
              <w:spacing w:line="260" w:lineRule="exact"/>
              <w:jc w:val="distribute"/>
              <w:rPr>
                <w:rFonts w:ascii="標楷體" w:eastAsia="標楷體" w:hAnsi="標楷體"/>
                <w:snapToGrid w:val="0"/>
                <w:kern w:val="0"/>
                <w:sz w:val="22"/>
                <w:szCs w:val="22"/>
              </w:rPr>
            </w:pPr>
            <w:r w:rsidRPr="0074143B">
              <w:rPr>
                <w:rFonts w:ascii="標楷體" w:eastAsia="標楷體" w:hAnsi="標楷體" w:hint="eastAsia"/>
                <w:bCs/>
                <w:sz w:val="22"/>
                <w:szCs w:val="22"/>
              </w:rPr>
              <w:t>與災害復建補助計畫</w:t>
            </w:r>
          </w:p>
        </w:tc>
        <w:tc>
          <w:tcPr>
            <w:tcW w:w="567" w:type="dxa"/>
            <w:tcBorders>
              <w:left w:val="single" w:sz="4" w:space="0" w:color="auto"/>
              <w:right w:val="single" w:sz="4" w:space="0" w:color="auto"/>
            </w:tcBorders>
          </w:tcPr>
          <w:p w14:paraId="41360E0E" w14:textId="77777777" w:rsidR="001C6EBF" w:rsidRPr="00CE2B32" w:rsidRDefault="001C6EBF" w:rsidP="00742924">
            <w:pPr>
              <w:widowControl/>
              <w:overflowPunct w:val="0"/>
              <w:spacing w:beforeLines="10" w:before="36" w:line="320" w:lineRule="exact"/>
              <w:jc w:val="center"/>
              <w:rPr>
                <w:rFonts w:ascii="標楷體" w:eastAsia="標楷體" w:hAnsi="標楷體"/>
                <w:sz w:val="22"/>
                <w:szCs w:val="22"/>
              </w:rPr>
            </w:pPr>
            <w:r w:rsidRPr="0074143B">
              <w:rPr>
                <w:rFonts w:ascii="標楷體" w:eastAsia="標楷體" w:hAnsi="標楷體" w:hint="eastAsia"/>
                <w:bCs/>
                <w:sz w:val="22"/>
                <w:szCs w:val="22"/>
              </w:rPr>
              <w:t>千元</w:t>
            </w:r>
          </w:p>
        </w:tc>
        <w:tc>
          <w:tcPr>
            <w:tcW w:w="1063" w:type="dxa"/>
            <w:tcBorders>
              <w:left w:val="single" w:sz="4" w:space="0" w:color="auto"/>
              <w:right w:val="single" w:sz="4" w:space="0" w:color="auto"/>
            </w:tcBorders>
          </w:tcPr>
          <w:p w14:paraId="51C60F71" w14:textId="19EA1BF0"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74,888</w:t>
            </w:r>
          </w:p>
        </w:tc>
        <w:tc>
          <w:tcPr>
            <w:tcW w:w="1063" w:type="dxa"/>
            <w:tcBorders>
              <w:left w:val="single" w:sz="4" w:space="0" w:color="auto"/>
              <w:right w:val="single" w:sz="4" w:space="0" w:color="auto"/>
            </w:tcBorders>
          </w:tcPr>
          <w:p w14:paraId="364B5285" w14:textId="2079AA69"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65,921</w:t>
            </w:r>
          </w:p>
        </w:tc>
        <w:tc>
          <w:tcPr>
            <w:tcW w:w="1063" w:type="dxa"/>
            <w:tcBorders>
              <w:left w:val="single" w:sz="4" w:space="0" w:color="auto"/>
              <w:right w:val="single" w:sz="4" w:space="0" w:color="auto"/>
            </w:tcBorders>
          </w:tcPr>
          <w:p w14:paraId="02A98473" w14:textId="7029F64B"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- 8,966</w:t>
            </w:r>
          </w:p>
        </w:tc>
        <w:tc>
          <w:tcPr>
            <w:tcW w:w="1063" w:type="dxa"/>
            <w:tcBorders>
              <w:left w:val="single" w:sz="4" w:space="0" w:color="auto"/>
              <w:right w:val="single" w:sz="4" w:space="0" w:color="auto"/>
            </w:tcBorders>
          </w:tcPr>
          <w:p w14:paraId="3C4AD1DF" w14:textId="2F78D665"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- 11.97</w:t>
            </w:r>
          </w:p>
        </w:tc>
        <w:tc>
          <w:tcPr>
            <w:tcW w:w="2265" w:type="dxa"/>
            <w:tcBorders>
              <w:left w:val="single" w:sz="4" w:space="0" w:color="auto"/>
            </w:tcBorders>
          </w:tcPr>
          <w:p w14:paraId="1D62244B" w14:textId="39AC1126" w:rsidR="001C6EBF" w:rsidRPr="00DC4806" w:rsidRDefault="001C6EBF" w:rsidP="00742924">
            <w:pPr>
              <w:suppressAutoHyphens/>
              <w:kinsoku w:val="0"/>
              <w:overflowPunct w:val="0"/>
              <w:topLinePunct/>
              <w:snapToGrid w:val="0"/>
              <w:spacing w:line="320" w:lineRule="exact"/>
              <w:jc w:val="both"/>
              <w:rPr>
                <w:rFonts w:ascii="標楷體" w:eastAsia="標楷體" w:hAnsi="標楷體"/>
                <w:color w:val="000000"/>
                <w:sz w:val="22"/>
                <w:szCs w:val="22"/>
                <w:highlight w:val="yellow"/>
              </w:rPr>
            </w:pPr>
          </w:p>
        </w:tc>
      </w:tr>
      <w:tr w:rsidR="001C6EBF" w:rsidRPr="00594485" w14:paraId="3307FE36" w14:textId="77777777" w:rsidTr="00742924">
        <w:trPr>
          <w:cantSplit/>
          <w:trHeight w:val="765"/>
        </w:trPr>
        <w:tc>
          <w:tcPr>
            <w:tcW w:w="3135" w:type="dxa"/>
            <w:tcBorders>
              <w:bottom w:val="single" w:sz="8" w:space="0" w:color="auto"/>
              <w:right w:val="single" w:sz="4" w:space="0" w:color="auto"/>
            </w:tcBorders>
          </w:tcPr>
          <w:p w14:paraId="660B3D1F" w14:textId="77777777" w:rsidR="001C6EBF" w:rsidRPr="00E179E8" w:rsidRDefault="001C6EBF" w:rsidP="00742924">
            <w:pPr>
              <w:widowControl/>
              <w:overflowPunct w:val="0"/>
              <w:spacing w:beforeLines="10" w:before="36" w:line="320" w:lineRule="exact"/>
              <w:jc w:val="distribute"/>
              <w:rPr>
                <w:rFonts w:ascii="標楷體" w:eastAsia="標楷體" w:hAnsi="標楷體"/>
                <w:sz w:val="22"/>
                <w:szCs w:val="22"/>
              </w:rPr>
            </w:pPr>
            <w:r w:rsidRPr="0074143B">
              <w:rPr>
                <w:rFonts w:ascii="標楷體" w:eastAsia="標楷體" w:hAnsi="標楷體" w:hint="eastAsia"/>
                <w:bCs/>
                <w:sz w:val="22"/>
                <w:szCs w:val="22"/>
              </w:rPr>
              <w:t>有線廣播電視</w:t>
            </w:r>
          </w:p>
          <w:p w14:paraId="5834CC97" w14:textId="77777777" w:rsidR="001C6EBF" w:rsidRPr="00E179E8" w:rsidRDefault="001C6EBF" w:rsidP="00742924">
            <w:pPr>
              <w:widowControl/>
              <w:overflowPunct w:val="0"/>
              <w:spacing w:line="260" w:lineRule="exact"/>
              <w:jc w:val="distribute"/>
              <w:rPr>
                <w:rFonts w:ascii="標楷體" w:eastAsia="標楷體" w:hAnsi="標楷體"/>
                <w:sz w:val="22"/>
                <w:szCs w:val="22"/>
              </w:rPr>
            </w:pPr>
            <w:r w:rsidRPr="0074143B">
              <w:rPr>
                <w:rFonts w:ascii="標楷體" w:eastAsia="標楷體" w:hAnsi="標楷體" w:hint="eastAsia"/>
                <w:bCs/>
                <w:sz w:val="22"/>
                <w:szCs w:val="22"/>
              </w:rPr>
              <w:t>現況調查及</w:t>
            </w:r>
          </w:p>
          <w:p w14:paraId="7C99A022" w14:textId="77777777" w:rsidR="001C6EBF" w:rsidRPr="00E179E8" w:rsidRDefault="001C6EBF" w:rsidP="00742924">
            <w:pPr>
              <w:widowControl/>
              <w:overflowPunct w:val="0"/>
              <w:spacing w:afterLines="30" w:after="108" w:line="260" w:lineRule="exact"/>
              <w:jc w:val="distribute"/>
              <w:rPr>
                <w:rFonts w:ascii="標楷體" w:eastAsia="標楷體" w:hAnsi="標楷體"/>
                <w:sz w:val="22"/>
                <w:szCs w:val="22"/>
              </w:rPr>
            </w:pPr>
            <w:r w:rsidRPr="0074143B">
              <w:rPr>
                <w:rFonts w:ascii="標楷體" w:eastAsia="標楷體" w:hAnsi="標楷體" w:hint="eastAsia"/>
                <w:bCs/>
                <w:sz w:val="22"/>
                <w:szCs w:val="22"/>
              </w:rPr>
              <w:t>服務品質提升計畫</w:t>
            </w:r>
          </w:p>
        </w:tc>
        <w:tc>
          <w:tcPr>
            <w:tcW w:w="567" w:type="dxa"/>
            <w:tcBorders>
              <w:left w:val="single" w:sz="4" w:space="0" w:color="auto"/>
              <w:bottom w:val="single" w:sz="8" w:space="0" w:color="auto"/>
              <w:right w:val="single" w:sz="4" w:space="0" w:color="auto"/>
            </w:tcBorders>
          </w:tcPr>
          <w:p w14:paraId="2CA12C0B" w14:textId="77777777" w:rsidR="001C6EBF" w:rsidRPr="00CE2B32" w:rsidRDefault="001C6EBF" w:rsidP="00742924">
            <w:pPr>
              <w:widowControl/>
              <w:overflowPunct w:val="0"/>
              <w:spacing w:beforeLines="10" w:before="36" w:line="320" w:lineRule="exact"/>
              <w:jc w:val="right"/>
              <w:rPr>
                <w:rFonts w:ascii="標楷體" w:eastAsia="標楷體" w:hAnsi="標楷體"/>
                <w:sz w:val="22"/>
                <w:szCs w:val="22"/>
              </w:rPr>
            </w:pPr>
            <w:r w:rsidRPr="0074143B">
              <w:rPr>
                <w:rFonts w:ascii="標楷體" w:eastAsia="標楷體" w:hAnsi="標楷體" w:hint="eastAsia"/>
                <w:bCs/>
                <w:sz w:val="22"/>
                <w:szCs w:val="22"/>
              </w:rPr>
              <w:t>千元</w:t>
            </w:r>
          </w:p>
        </w:tc>
        <w:tc>
          <w:tcPr>
            <w:tcW w:w="1063" w:type="dxa"/>
            <w:tcBorders>
              <w:left w:val="single" w:sz="4" w:space="0" w:color="auto"/>
              <w:bottom w:val="single" w:sz="8" w:space="0" w:color="auto"/>
              <w:right w:val="single" w:sz="4" w:space="0" w:color="auto"/>
            </w:tcBorders>
          </w:tcPr>
          <w:p w14:paraId="3E2366DB" w14:textId="41E52154"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1,000</w:t>
            </w:r>
          </w:p>
        </w:tc>
        <w:tc>
          <w:tcPr>
            <w:tcW w:w="1063" w:type="dxa"/>
            <w:tcBorders>
              <w:left w:val="single" w:sz="4" w:space="0" w:color="auto"/>
              <w:bottom w:val="single" w:sz="8" w:space="0" w:color="auto"/>
              <w:right w:val="single" w:sz="4" w:space="0" w:color="auto"/>
            </w:tcBorders>
          </w:tcPr>
          <w:p w14:paraId="6F2DB69F" w14:textId="4CD97586"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821</w:t>
            </w:r>
          </w:p>
        </w:tc>
        <w:tc>
          <w:tcPr>
            <w:tcW w:w="1063" w:type="dxa"/>
            <w:tcBorders>
              <w:left w:val="single" w:sz="4" w:space="0" w:color="auto"/>
              <w:bottom w:val="single" w:sz="8" w:space="0" w:color="auto"/>
              <w:right w:val="single" w:sz="4" w:space="0" w:color="auto"/>
            </w:tcBorders>
          </w:tcPr>
          <w:p w14:paraId="47C3F483" w14:textId="6467ED08"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- 178</w:t>
            </w:r>
          </w:p>
        </w:tc>
        <w:tc>
          <w:tcPr>
            <w:tcW w:w="1063" w:type="dxa"/>
            <w:tcBorders>
              <w:left w:val="single" w:sz="4" w:space="0" w:color="auto"/>
              <w:bottom w:val="single" w:sz="8" w:space="0" w:color="auto"/>
              <w:right w:val="single" w:sz="4" w:space="0" w:color="auto"/>
            </w:tcBorders>
          </w:tcPr>
          <w:p w14:paraId="43881E15" w14:textId="7881E933" w:rsidR="001C6EBF" w:rsidRPr="001C6EBF" w:rsidRDefault="001C6EBF" w:rsidP="00742924">
            <w:pPr>
              <w:suppressAutoHyphens/>
              <w:kinsoku w:val="0"/>
              <w:overflowPunct w:val="0"/>
              <w:topLinePunct/>
              <w:snapToGrid w:val="0"/>
              <w:spacing w:beforeLines="10" w:before="36" w:line="320" w:lineRule="exact"/>
              <w:jc w:val="right"/>
              <w:rPr>
                <w:rFonts w:ascii="標楷體" w:eastAsia="標楷體" w:hAnsi="標楷體"/>
                <w:sz w:val="22"/>
                <w:szCs w:val="22"/>
              </w:rPr>
            </w:pPr>
            <w:r w:rsidRPr="001C6EBF">
              <w:rPr>
                <w:rFonts w:ascii="標楷體" w:eastAsia="標楷體" w:hAnsi="標楷體"/>
                <w:sz w:val="22"/>
                <w:szCs w:val="22"/>
              </w:rPr>
              <w:t>- 17.85</w:t>
            </w:r>
          </w:p>
        </w:tc>
        <w:tc>
          <w:tcPr>
            <w:tcW w:w="2265" w:type="dxa"/>
            <w:tcBorders>
              <w:left w:val="single" w:sz="4" w:space="0" w:color="auto"/>
              <w:bottom w:val="single" w:sz="8" w:space="0" w:color="auto"/>
            </w:tcBorders>
          </w:tcPr>
          <w:p w14:paraId="57F6D2F6" w14:textId="191AA22B" w:rsidR="001C6EBF" w:rsidRPr="00DC4806" w:rsidRDefault="001C6EBF" w:rsidP="00742924">
            <w:pPr>
              <w:suppressAutoHyphens/>
              <w:kinsoku w:val="0"/>
              <w:overflowPunct w:val="0"/>
              <w:topLinePunct/>
              <w:snapToGrid w:val="0"/>
              <w:spacing w:line="320" w:lineRule="exact"/>
              <w:jc w:val="both"/>
              <w:rPr>
                <w:rFonts w:ascii="標楷體" w:eastAsia="標楷體" w:hAnsi="標楷體"/>
                <w:color w:val="000000"/>
                <w:sz w:val="22"/>
                <w:szCs w:val="22"/>
                <w:highlight w:val="yellow"/>
              </w:rPr>
            </w:pPr>
          </w:p>
        </w:tc>
      </w:tr>
    </w:tbl>
    <w:p w14:paraId="54B02519" w14:textId="23D6ED67" w:rsidR="004D4F64" w:rsidRPr="00CE2B32" w:rsidRDefault="001C6EBF" w:rsidP="00742924">
      <w:pPr>
        <w:spacing w:line="240" w:lineRule="exact"/>
        <w:ind w:left="720" w:hangingChars="360" w:hanging="720"/>
        <w:rPr>
          <w:rFonts w:ascii="標楷體" w:eastAsia="標楷體" w:hAnsi="標楷體"/>
          <w:sz w:val="20"/>
        </w:rPr>
      </w:pPr>
      <w:proofErr w:type="gramStart"/>
      <w:r w:rsidRPr="001C6EBF">
        <w:rPr>
          <w:rFonts w:ascii="標楷體" w:eastAsia="標楷體" w:hAnsi="標楷體" w:hint="eastAsia"/>
          <w:sz w:val="20"/>
        </w:rPr>
        <w:t>註</w:t>
      </w:r>
      <w:proofErr w:type="gramEnd"/>
      <w:r w:rsidRPr="001C6EBF">
        <w:rPr>
          <w:rFonts w:ascii="標楷體" w:eastAsia="標楷體" w:hAnsi="標楷體" w:hint="eastAsia"/>
          <w:sz w:val="20"/>
        </w:rPr>
        <w:t>：</w:t>
      </w:r>
      <w:r w:rsidR="007C105E" w:rsidRPr="007C105E">
        <w:rPr>
          <w:rFonts w:ascii="標楷體" w:eastAsia="標楷體" w:hAnsi="標楷體" w:hint="eastAsia"/>
          <w:sz w:val="20"/>
        </w:rPr>
        <w:t>本表係就業務計畫實際數與預計數差異達20％或達3</w:t>
      </w:r>
      <w:proofErr w:type="gramStart"/>
      <w:r w:rsidR="007C105E" w:rsidRPr="007C105E">
        <w:rPr>
          <w:rFonts w:ascii="標楷體" w:eastAsia="標楷體" w:hAnsi="標楷體" w:hint="eastAsia"/>
          <w:sz w:val="20"/>
        </w:rPr>
        <w:t>千萬</w:t>
      </w:r>
      <w:proofErr w:type="gramEnd"/>
      <w:r w:rsidR="007C105E" w:rsidRPr="007C105E">
        <w:rPr>
          <w:rFonts w:ascii="標楷體" w:eastAsia="標楷體" w:hAnsi="標楷體" w:hint="eastAsia"/>
          <w:sz w:val="20"/>
        </w:rPr>
        <w:t>以上者，說明差異原因。</w:t>
      </w:r>
    </w:p>
    <w:p w14:paraId="048C14DD" w14:textId="704E35EB" w:rsidR="004D4F64" w:rsidRPr="00594485" w:rsidRDefault="004D4F64" w:rsidP="00742924">
      <w:pPr>
        <w:adjustRightInd w:val="0"/>
        <w:snapToGrid w:val="0"/>
        <w:spacing w:beforeLines="10" w:before="36" w:afterLines="10" w:after="36" w:line="580"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2.　預算執行情形之審核</w:t>
      </w:r>
    </w:p>
    <w:p w14:paraId="0D092187" w14:textId="26B32E0B" w:rsidR="004D4F64" w:rsidRPr="007B4813" w:rsidRDefault="001C6EBF" w:rsidP="00742924">
      <w:pPr>
        <w:adjustRightInd w:val="0"/>
        <w:snapToGrid w:val="0"/>
        <w:spacing w:line="580" w:lineRule="exact"/>
        <w:ind w:firstLineChars="200" w:firstLine="480"/>
        <w:jc w:val="both"/>
        <w:rPr>
          <w:rFonts w:ascii="標楷體" w:eastAsia="標楷體" w:hAnsi="標楷體"/>
          <w:snapToGrid w:val="0"/>
          <w:kern w:val="0"/>
          <w:highlight w:val="yellow"/>
        </w:rPr>
      </w:pPr>
      <w:proofErr w:type="gramStart"/>
      <w:r w:rsidRPr="007B4813">
        <w:rPr>
          <w:rFonts w:ascii="標楷體" w:eastAsia="標楷體" w:hAnsi="標楷體" w:hint="eastAsia"/>
          <w:snapToGrid w:val="0"/>
          <w:color w:val="000000"/>
          <w:kern w:val="0"/>
        </w:rPr>
        <w:t>114</w:t>
      </w:r>
      <w:proofErr w:type="gramEnd"/>
      <w:r w:rsidRPr="007B4813">
        <w:rPr>
          <w:rFonts w:ascii="標楷體" w:eastAsia="標楷體" w:hAnsi="標楷體" w:hint="eastAsia"/>
          <w:snapToGrid w:val="0"/>
          <w:color w:val="000000"/>
          <w:kern w:val="0"/>
        </w:rPr>
        <w:t>年度決算審核結果，審定本期賸餘1,676萬餘元，較預算賸餘618萬餘元，增加1,057萬餘元，約170.94％，主要係</w:t>
      </w:r>
      <w:r w:rsidR="008927AC" w:rsidRPr="007B4813">
        <w:rPr>
          <w:rFonts w:ascii="標楷體" w:eastAsia="標楷體" w:hAnsi="標楷體" w:hint="eastAsia"/>
          <w:snapToGrid w:val="0"/>
          <w:kern w:val="0"/>
        </w:rPr>
        <w:t>有線電視</w:t>
      </w:r>
      <w:r w:rsidR="008927AC" w:rsidRPr="007B4813">
        <w:rPr>
          <w:rFonts w:ascii="標楷體" w:eastAsia="標楷體" w:hAnsi="標楷體" w:hint="eastAsia"/>
          <w:snapToGrid w:val="0"/>
          <w:color w:val="000000"/>
          <w:kern w:val="0"/>
        </w:rPr>
        <w:t>普及發展與災害復建補助計畫</w:t>
      </w:r>
      <w:r w:rsidRPr="007B4813">
        <w:rPr>
          <w:rFonts w:ascii="標楷體" w:eastAsia="標楷體" w:hAnsi="標楷體" w:hint="eastAsia"/>
          <w:snapToGrid w:val="0"/>
          <w:color w:val="000000"/>
          <w:kern w:val="0"/>
        </w:rPr>
        <w:t>業者申請天然災害復建補助</w:t>
      </w:r>
      <w:r w:rsidR="008927AC" w:rsidRPr="007B4813">
        <w:rPr>
          <w:rFonts w:ascii="標楷體" w:eastAsia="標楷體" w:hAnsi="標楷體" w:hint="eastAsia"/>
          <w:snapToGrid w:val="0"/>
          <w:color w:val="000000"/>
          <w:kern w:val="0"/>
        </w:rPr>
        <w:t>款較預計減少</w:t>
      </w:r>
      <w:r w:rsidRPr="007B4813">
        <w:rPr>
          <w:rFonts w:ascii="標楷體" w:eastAsia="標楷體" w:hAnsi="標楷體" w:hint="eastAsia"/>
          <w:snapToGrid w:val="0"/>
          <w:color w:val="000000"/>
          <w:kern w:val="0"/>
        </w:rPr>
        <w:t>所致。</w:t>
      </w:r>
    </w:p>
    <w:p w14:paraId="3257F735" w14:textId="77777777" w:rsidR="004D4F64" w:rsidRPr="007B4813" w:rsidRDefault="004D4F64" w:rsidP="00742924">
      <w:pPr>
        <w:adjustRightInd w:val="0"/>
        <w:snapToGrid w:val="0"/>
        <w:spacing w:beforeLines="10" w:before="36" w:afterLines="10" w:after="36" w:line="580" w:lineRule="exact"/>
        <w:ind w:firstLineChars="450" w:firstLine="1261"/>
        <w:jc w:val="both"/>
        <w:outlineLvl w:val="0"/>
        <w:rPr>
          <w:rFonts w:ascii="標楷體" w:eastAsia="標楷體" w:hAnsi="標楷體"/>
          <w:b/>
          <w:snapToGrid w:val="0"/>
          <w:kern w:val="0"/>
          <w:sz w:val="28"/>
          <w:szCs w:val="28"/>
        </w:rPr>
      </w:pPr>
      <w:r w:rsidRPr="007B4813">
        <w:rPr>
          <w:rFonts w:ascii="標楷體" w:eastAsia="標楷體" w:hAnsi="標楷體" w:hint="eastAsia"/>
          <w:b/>
          <w:snapToGrid w:val="0"/>
          <w:kern w:val="0"/>
          <w:sz w:val="28"/>
          <w:szCs w:val="28"/>
        </w:rPr>
        <w:t>3.　餘</w:t>
      </w:r>
      <w:proofErr w:type="gramStart"/>
      <w:r w:rsidRPr="007B4813">
        <w:rPr>
          <w:rFonts w:ascii="標楷體" w:eastAsia="標楷體" w:hAnsi="標楷體" w:hint="eastAsia"/>
          <w:b/>
          <w:snapToGrid w:val="0"/>
          <w:kern w:val="0"/>
          <w:sz w:val="28"/>
          <w:szCs w:val="28"/>
        </w:rPr>
        <w:t>絀</w:t>
      </w:r>
      <w:proofErr w:type="gramEnd"/>
      <w:r w:rsidRPr="007B4813">
        <w:rPr>
          <w:rFonts w:ascii="標楷體" w:eastAsia="標楷體" w:hAnsi="標楷體" w:hint="eastAsia"/>
          <w:b/>
          <w:snapToGrid w:val="0"/>
          <w:kern w:val="0"/>
          <w:sz w:val="28"/>
          <w:szCs w:val="28"/>
        </w:rPr>
        <w:t>之審定</w:t>
      </w:r>
    </w:p>
    <w:p w14:paraId="73B38AD0" w14:textId="6E4EF045" w:rsidR="004D4F64" w:rsidRPr="007B4813" w:rsidRDefault="001C6EBF" w:rsidP="00742924">
      <w:pPr>
        <w:adjustRightInd w:val="0"/>
        <w:snapToGrid w:val="0"/>
        <w:spacing w:line="580" w:lineRule="exact"/>
        <w:ind w:firstLineChars="200" w:firstLine="480"/>
        <w:jc w:val="both"/>
        <w:rPr>
          <w:rFonts w:ascii="標楷體" w:eastAsia="標楷體" w:hAnsi="標楷體"/>
          <w:snapToGrid w:val="0"/>
          <w:kern w:val="0"/>
          <w:highlight w:val="yellow"/>
        </w:rPr>
      </w:pPr>
      <w:proofErr w:type="gramStart"/>
      <w:r w:rsidRPr="007B4813">
        <w:rPr>
          <w:rFonts w:ascii="標楷體" w:eastAsia="標楷體" w:hAnsi="標楷體" w:hint="eastAsia"/>
          <w:snapToGrid w:val="0"/>
          <w:kern w:val="0"/>
        </w:rPr>
        <w:t>114</w:t>
      </w:r>
      <w:proofErr w:type="gramEnd"/>
      <w:r w:rsidRPr="007B4813">
        <w:rPr>
          <w:rFonts w:ascii="標楷體" w:eastAsia="標楷體" w:hAnsi="標楷體" w:hint="eastAsia"/>
          <w:snapToGrid w:val="0"/>
          <w:kern w:val="0"/>
        </w:rPr>
        <w:t>年度決算經行政院核定賸餘16,763,167元，</w:t>
      </w:r>
      <w:proofErr w:type="gramStart"/>
      <w:r w:rsidRPr="007B4813">
        <w:rPr>
          <w:rFonts w:ascii="標楷體" w:eastAsia="標楷體" w:hAnsi="標楷體" w:hint="eastAsia"/>
          <w:snapToGrid w:val="0"/>
          <w:kern w:val="0"/>
        </w:rPr>
        <w:t>經核尚無</w:t>
      </w:r>
      <w:proofErr w:type="gramEnd"/>
      <w:r w:rsidRPr="007B4813">
        <w:rPr>
          <w:rFonts w:ascii="標楷體" w:eastAsia="標楷體" w:hAnsi="標楷體" w:hint="eastAsia"/>
          <w:snapToGrid w:val="0"/>
          <w:kern w:val="0"/>
        </w:rPr>
        <w:t>不合，予以照數審定。</w:t>
      </w:r>
    </w:p>
    <w:p w14:paraId="49E1303E" w14:textId="77777777" w:rsidR="004D4F64" w:rsidRPr="007B4813" w:rsidRDefault="004D4F64" w:rsidP="00742924">
      <w:pPr>
        <w:adjustRightInd w:val="0"/>
        <w:snapToGrid w:val="0"/>
        <w:spacing w:beforeLines="10" w:before="36" w:afterLines="10" w:after="36" w:line="580" w:lineRule="exact"/>
        <w:ind w:firstLineChars="450" w:firstLine="1261"/>
        <w:jc w:val="both"/>
        <w:outlineLvl w:val="0"/>
        <w:rPr>
          <w:rFonts w:ascii="標楷體" w:eastAsia="標楷體" w:hAnsi="標楷體"/>
          <w:b/>
          <w:snapToGrid w:val="0"/>
          <w:kern w:val="0"/>
          <w:sz w:val="28"/>
          <w:szCs w:val="28"/>
        </w:rPr>
      </w:pPr>
      <w:r w:rsidRPr="007B4813">
        <w:rPr>
          <w:rFonts w:ascii="標楷體" w:eastAsia="標楷體" w:hAnsi="標楷體" w:hint="eastAsia"/>
          <w:b/>
          <w:snapToGrid w:val="0"/>
          <w:kern w:val="0"/>
          <w:sz w:val="28"/>
          <w:szCs w:val="28"/>
        </w:rPr>
        <w:t>4.　現金流量之查核</w:t>
      </w:r>
    </w:p>
    <w:p w14:paraId="5F049CE7" w14:textId="7F031FEB" w:rsidR="004D4F64" w:rsidRPr="007B4813" w:rsidRDefault="001C6EBF" w:rsidP="00742924">
      <w:pPr>
        <w:adjustRightInd w:val="0"/>
        <w:snapToGrid w:val="0"/>
        <w:spacing w:line="580" w:lineRule="exact"/>
        <w:ind w:firstLineChars="200" w:firstLine="480"/>
        <w:jc w:val="both"/>
        <w:rPr>
          <w:rFonts w:ascii="標楷體" w:eastAsia="標楷體" w:hAnsi="標楷體"/>
          <w:snapToGrid w:val="0"/>
          <w:kern w:val="0"/>
          <w:highlight w:val="yellow"/>
        </w:rPr>
      </w:pPr>
      <w:proofErr w:type="gramStart"/>
      <w:r w:rsidRPr="007B4813">
        <w:rPr>
          <w:rFonts w:ascii="標楷體" w:eastAsia="標楷體" w:hAnsi="標楷體" w:hint="eastAsia"/>
          <w:snapToGrid w:val="0"/>
          <w:kern w:val="0"/>
        </w:rPr>
        <w:t>114</w:t>
      </w:r>
      <w:proofErr w:type="gramEnd"/>
      <w:r w:rsidRPr="007B4813">
        <w:rPr>
          <w:rFonts w:ascii="標楷體" w:eastAsia="標楷體" w:hAnsi="標楷體" w:hint="eastAsia"/>
          <w:snapToGrid w:val="0"/>
          <w:kern w:val="0"/>
        </w:rPr>
        <w:t>年度期初現金及約當現金4億2,743萬餘元，經業務及投資活動結果，現金及約當現金淨增2,587萬餘元，期末現金及約當現金為4億5,331萬餘元。</w:t>
      </w:r>
    </w:p>
    <w:p w14:paraId="4F0436B7" w14:textId="06CA7886" w:rsidR="004D4F64" w:rsidRPr="001C6EBF" w:rsidRDefault="004D4F64" w:rsidP="00742924">
      <w:pPr>
        <w:adjustRightInd w:val="0"/>
        <w:snapToGrid w:val="0"/>
        <w:spacing w:line="580" w:lineRule="exact"/>
        <w:ind w:firstLineChars="450" w:firstLine="1261"/>
        <w:jc w:val="both"/>
        <w:outlineLvl w:val="0"/>
        <w:rPr>
          <w:rFonts w:ascii="標楷體" w:eastAsia="標楷體" w:hAnsi="標楷體"/>
          <w:b/>
          <w:snapToGrid w:val="0"/>
          <w:kern w:val="0"/>
          <w:sz w:val="28"/>
          <w:szCs w:val="28"/>
          <w:highlight w:val="yellow"/>
        </w:rPr>
      </w:pPr>
      <w:r w:rsidRPr="00A5722A">
        <w:rPr>
          <w:rFonts w:ascii="標楷體" w:eastAsia="標楷體" w:hAnsi="標楷體" w:hint="eastAsia"/>
          <w:b/>
          <w:snapToGrid w:val="0"/>
          <w:kern w:val="0"/>
          <w:sz w:val="28"/>
          <w:szCs w:val="28"/>
        </w:rPr>
        <w:lastRenderedPageBreak/>
        <w:t>5.　重要審核意見</w:t>
      </w:r>
    </w:p>
    <w:p w14:paraId="13810B52" w14:textId="351A28EE" w:rsidR="00B24909" w:rsidRPr="001C6EBF" w:rsidRDefault="008927AC" w:rsidP="00742924">
      <w:pPr>
        <w:adjustRightInd w:val="0"/>
        <w:snapToGrid w:val="0"/>
        <w:spacing w:line="558" w:lineRule="exact"/>
        <w:ind w:firstLineChars="200" w:firstLine="561"/>
        <w:jc w:val="both"/>
        <w:rPr>
          <w:rFonts w:ascii="標楷體" w:eastAsia="標楷體" w:hAnsi="標楷體"/>
          <w:b/>
          <w:sz w:val="28"/>
          <w:szCs w:val="28"/>
          <w:highlight w:val="yellow"/>
        </w:rPr>
      </w:pPr>
      <w:r w:rsidRPr="008927AC">
        <w:rPr>
          <w:rFonts w:ascii="標楷體" w:eastAsia="標楷體" w:hAnsi="標楷體" w:hint="eastAsia"/>
          <w:b/>
          <w:sz w:val="28"/>
          <w:szCs w:val="28"/>
        </w:rPr>
        <w:t>為提升有線廣播電視產業監理品質及資通訊韌性，辦理營運評鑑，惟</w:t>
      </w:r>
      <w:r w:rsidR="001C384E">
        <w:rPr>
          <w:rFonts w:ascii="標楷體" w:eastAsia="標楷體" w:hAnsi="標楷體" w:hint="eastAsia"/>
          <w:b/>
          <w:sz w:val="28"/>
          <w:szCs w:val="28"/>
        </w:rPr>
        <w:t>評鑑抽測</w:t>
      </w:r>
      <w:r w:rsidR="00684310">
        <w:rPr>
          <w:rFonts w:ascii="標楷體" w:eastAsia="標楷體" w:hAnsi="標楷體" w:hint="eastAsia"/>
          <w:b/>
          <w:sz w:val="28"/>
          <w:szCs w:val="28"/>
        </w:rPr>
        <w:t>機制，未能與時俱進</w:t>
      </w:r>
      <w:r w:rsidRPr="008927AC">
        <w:rPr>
          <w:rFonts w:ascii="標楷體" w:eastAsia="標楷體" w:hAnsi="標楷體" w:hint="eastAsia"/>
          <w:b/>
          <w:sz w:val="28"/>
          <w:szCs w:val="28"/>
        </w:rPr>
        <w:t>，允宜</w:t>
      </w:r>
      <w:r w:rsidR="00684310">
        <w:rPr>
          <w:rFonts w:ascii="標楷體" w:eastAsia="標楷體" w:hAnsi="標楷體" w:hint="eastAsia"/>
          <w:b/>
          <w:sz w:val="28"/>
          <w:szCs w:val="28"/>
        </w:rPr>
        <w:t>檢討</w:t>
      </w:r>
      <w:r w:rsidRPr="008927AC">
        <w:rPr>
          <w:rFonts w:ascii="標楷體" w:eastAsia="標楷體" w:hAnsi="標楷體" w:hint="eastAsia"/>
          <w:b/>
          <w:sz w:val="28"/>
          <w:szCs w:val="28"/>
        </w:rPr>
        <w:t>調整</w:t>
      </w:r>
      <w:r w:rsidR="00684310">
        <w:rPr>
          <w:rFonts w:ascii="標楷體" w:eastAsia="標楷體" w:hAnsi="標楷體" w:hint="eastAsia"/>
          <w:b/>
          <w:sz w:val="28"/>
          <w:szCs w:val="28"/>
        </w:rPr>
        <w:t>修正</w:t>
      </w:r>
      <w:r w:rsidRPr="008927AC">
        <w:rPr>
          <w:rFonts w:ascii="標楷體" w:eastAsia="標楷體" w:hAnsi="標楷體" w:hint="eastAsia"/>
          <w:b/>
          <w:sz w:val="28"/>
          <w:szCs w:val="28"/>
        </w:rPr>
        <w:t>。</w:t>
      </w:r>
    </w:p>
    <w:p w14:paraId="61CF8088" w14:textId="679099E6" w:rsidR="004D4F64" w:rsidRPr="0010517B" w:rsidRDefault="008927AC" w:rsidP="00742924">
      <w:pPr>
        <w:adjustRightInd w:val="0"/>
        <w:snapToGrid w:val="0"/>
        <w:spacing w:line="558" w:lineRule="exact"/>
        <w:ind w:firstLineChars="200" w:firstLine="480"/>
        <w:jc w:val="both"/>
        <w:rPr>
          <w:rFonts w:ascii="標楷體" w:eastAsia="標楷體" w:hAnsi="標楷體"/>
        </w:rPr>
      </w:pPr>
      <w:r w:rsidRPr="0010517B">
        <w:rPr>
          <w:rFonts w:ascii="標楷體" w:eastAsia="標楷體" w:hAnsi="標楷體" w:hint="eastAsia"/>
          <w:color w:val="000000"/>
        </w:rPr>
        <w:t>國家通訊傳播委員會（下稱通傳會）為提升有線廣播電視產業監理品質、保障數位收視權益及強化資通訊韌性，依有線廣播電視法第11條、第21條、第30條及有線廣播電視營運計畫評鑑辦法第2條、第4條至第7條規定，就系統經營者所提營運計畫執行情形，每3年辦理評鑑1次，作為換發許可執照及輔導產業升級之重要依據。通傳會並訂定有線廣播電視系統經營者營運計畫評鑑須知，規範評鑑報告書格式及頻道、財務、客服、組織、工程等5項評分標準，</w:t>
      </w:r>
      <w:proofErr w:type="gramStart"/>
      <w:r w:rsidRPr="0010517B">
        <w:rPr>
          <w:rFonts w:ascii="標楷體" w:eastAsia="標楷體" w:hAnsi="標楷體" w:hint="eastAsia"/>
          <w:color w:val="000000"/>
        </w:rPr>
        <w:t>採</w:t>
      </w:r>
      <w:proofErr w:type="gramEnd"/>
      <w:r w:rsidRPr="0010517B">
        <w:rPr>
          <w:rFonts w:ascii="標楷體" w:eastAsia="標楷體" w:hAnsi="標楷體" w:hint="eastAsia"/>
          <w:color w:val="000000"/>
        </w:rPr>
        <w:t>兩階段審查及綜合評分方式辦理，現行評鑑作業除會同地方政府辦理實地查核外，並透過評鑑諮詢會議檢驗業者經營實績，以維護市場秩序、保障收視品質及引導通訊環境穩健發展。經查通傳會辦理營運評鑑情形，</w:t>
      </w:r>
      <w:r w:rsidR="006A274A" w:rsidRPr="0010517B">
        <w:rPr>
          <w:rFonts w:ascii="標楷體" w:eastAsia="標楷體" w:hAnsi="標楷體" w:hint="eastAsia"/>
          <w:color w:val="000000"/>
        </w:rPr>
        <w:t>評鑑須知部分附表之技術查驗規範與現行產業實務及技術發展趨勢已有落差，</w:t>
      </w:r>
      <w:proofErr w:type="gramStart"/>
      <w:r w:rsidR="006A274A" w:rsidRPr="0010517B">
        <w:rPr>
          <w:rFonts w:ascii="標楷體" w:eastAsia="標楷體" w:hAnsi="標楷體" w:hint="eastAsia"/>
          <w:color w:val="000000"/>
        </w:rPr>
        <w:t>舉如</w:t>
      </w:r>
      <w:proofErr w:type="gramEnd"/>
      <w:r w:rsidR="006A274A" w:rsidRPr="0010517B">
        <w:rPr>
          <w:rFonts w:ascii="標楷體" w:eastAsia="標楷體" w:hAnsi="標楷體" w:hint="eastAsia"/>
          <w:color w:val="000000"/>
        </w:rPr>
        <w:t>：附表</w:t>
      </w:r>
      <w:r w:rsidRPr="0010517B">
        <w:rPr>
          <w:rFonts w:ascii="標楷體" w:eastAsia="標楷體" w:hAnsi="標楷體" w:hint="eastAsia"/>
          <w:color w:val="000000"/>
        </w:rPr>
        <w:t>13「類比信號品質查驗表」及附表14「DVB-C數位信號品質查驗表」</w:t>
      </w:r>
      <w:r w:rsidR="006A274A" w:rsidRPr="0010517B">
        <w:rPr>
          <w:rFonts w:ascii="標楷體" w:eastAsia="標楷體" w:hAnsi="標楷體" w:hint="eastAsia"/>
          <w:color w:val="000000"/>
        </w:rPr>
        <w:t>查驗</w:t>
      </w:r>
      <w:r w:rsidRPr="0010517B">
        <w:rPr>
          <w:rFonts w:ascii="標楷體" w:eastAsia="標楷體" w:hAnsi="標楷體" w:hint="eastAsia"/>
          <w:color w:val="000000"/>
        </w:rPr>
        <w:t>類比及數位雙載系統</w:t>
      </w:r>
      <w:r w:rsidR="006A274A" w:rsidRPr="0010517B">
        <w:rPr>
          <w:rFonts w:ascii="標楷體" w:eastAsia="標楷體" w:hAnsi="標楷體" w:hint="eastAsia"/>
          <w:color w:val="000000"/>
        </w:rPr>
        <w:t>時</w:t>
      </w:r>
      <w:r w:rsidRPr="0010517B">
        <w:rPr>
          <w:rFonts w:ascii="標楷體" w:eastAsia="標楷體" w:hAnsi="標楷體" w:hint="eastAsia"/>
          <w:color w:val="000000"/>
        </w:rPr>
        <w:t>，</w:t>
      </w:r>
      <w:r w:rsidR="006A274A" w:rsidRPr="0010517B">
        <w:rPr>
          <w:rFonts w:ascii="標楷體" w:eastAsia="標楷體" w:hAnsi="標楷體" w:hint="eastAsia"/>
          <w:color w:val="000000"/>
        </w:rPr>
        <w:t>規定</w:t>
      </w:r>
      <w:r w:rsidRPr="0010517B">
        <w:rPr>
          <w:rFonts w:ascii="標楷體" w:eastAsia="標楷體" w:hAnsi="標楷體" w:hint="eastAsia"/>
          <w:color w:val="000000"/>
        </w:rPr>
        <w:t>每一抽測點量測2個類比頻道及1個數位頻道，惟</w:t>
      </w:r>
      <w:r w:rsidR="006A274A" w:rsidRPr="0010517B">
        <w:rPr>
          <w:rFonts w:ascii="標楷體" w:eastAsia="標楷體" w:hAnsi="標楷體" w:hint="eastAsia"/>
          <w:color w:val="000000"/>
        </w:rPr>
        <w:t>全國有線電視</w:t>
      </w:r>
      <w:r w:rsidR="00DD3FCC" w:rsidRPr="0010517B">
        <w:rPr>
          <w:rFonts w:ascii="標楷體" w:eastAsia="標楷體" w:hAnsi="標楷體" w:hint="eastAsia"/>
          <w:color w:val="000000"/>
        </w:rPr>
        <w:t>信號</w:t>
      </w:r>
      <w:r w:rsidR="006A274A" w:rsidRPr="0010517B">
        <w:rPr>
          <w:rFonts w:ascii="標楷體" w:eastAsia="標楷體" w:hAnsi="標楷體" w:hint="eastAsia"/>
          <w:color w:val="000000"/>
        </w:rPr>
        <w:t>已於112年底全數由類比</w:t>
      </w:r>
      <w:r w:rsidR="00DD3FCC" w:rsidRPr="0010517B">
        <w:rPr>
          <w:rFonts w:ascii="標楷體" w:eastAsia="標楷體" w:hAnsi="標楷體" w:hint="eastAsia"/>
          <w:color w:val="000000"/>
        </w:rPr>
        <w:t>信號</w:t>
      </w:r>
      <w:r w:rsidR="006A274A" w:rsidRPr="0010517B">
        <w:rPr>
          <w:rFonts w:ascii="標楷體" w:eastAsia="標楷體" w:hAnsi="標楷體" w:hint="eastAsia"/>
          <w:color w:val="000000"/>
        </w:rPr>
        <w:t>轉換為數位</w:t>
      </w:r>
      <w:r w:rsidR="00DD3FCC" w:rsidRPr="0010517B">
        <w:rPr>
          <w:rFonts w:ascii="標楷體" w:eastAsia="標楷體" w:hAnsi="標楷體" w:hint="eastAsia"/>
          <w:color w:val="000000"/>
        </w:rPr>
        <w:t>信號</w:t>
      </w:r>
      <w:r w:rsidR="006A274A" w:rsidRPr="0010517B">
        <w:rPr>
          <w:rFonts w:ascii="標楷體" w:eastAsia="標楷體" w:hAnsi="標楷體" w:hint="eastAsia"/>
          <w:color w:val="000000"/>
        </w:rPr>
        <w:t>，</w:t>
      </w:r>
      <w:r w:rsidRPr="0010517B">
        <w:rPr>
          <w:rFonts w:ascii="標楷體" w:eastAsia="標楷體" w:hAnsi="標楷體" w:hint="eastAsia"/>
          <w:color w:val="000000"/>
        </w:rPr>
        <w:t>經營區域已終止類比</w:t>
      </w:r>
      <w:r w:rsidR="00DD3FCC" w:rsidRPr="0010517B">
        <w:rPr>
          <w:rFonts w:ascii="標楷體" w:eastAsia="標楷體" w:hAnsi="標楷體" w:hint="eastAsia"/>
          <w:color w:val="000000"/>
        </w:rPr>
        <w:t>信號</w:t>
      </w:r>
      <w:r w:rsidRPr="0010517B">
        <w:rPr>
          <w:rFonts w:ascii="標楷體" w:eastAsia="標楷體" w:hAnsi="標楷體" w:hint="eastAsia"/>
          <w:color w:val="000000"/>
        </w:rPr>
        <w:t>播送，</w:t>
      </w:r>
      <w:r w:rsidR="00646C0C" w:rsidRPr="0010517B">
        <w:rPr>
          <w:rFonts w:ascii="標楷體" w:eastAsia="標楷體" w:hAnsi="標楷體" w:hint="eastAsia"/>
          <w:color w:val="000000"/>
        </w:rPr>
        <w:t>規定抽測頻道項目與實際狀況不符，</w:t>
      </w:r>
      <w:r w:rsidRPr="0010517B">
        <w:rPr>
          <w:rFonts w:ascii="標楷體" w:eastAsia="標楷體" w:hAnsi="標楷體" w:hint="eastAsia"/>
          <w:color w:val="000000"/>
        </w:rPr>
        <w:t>經函請</w:t>
      </w:r>
      <w:proofErr w:type="gramStart"/>
      <w:r w:rsidRPr="0010517B">
        <w:rPr>
          <w:rFonts w:ascii="標楷體" w:eastAsia="標楷體" w:hAnsi="標楷體" w:hint="eastAsia"/>
          <w:color w:val="000000"/>
        </w:rPr>
        <w:t>研</w:t>
      </w:r>
      <w:proofErr w:type="gramEnd"/>
      <w:r w:rsidRPr="0010517B">
        <w:rPr>
          <w:rFonts w:ascii="標楷體" w:eastAsia="標楷體" w:hAnsi="標楷體" w:hint="eastAsia"/>
          <w:color w:val="000000"/>
        </w:rPr>
        <w:t>謀改善。</w:t>
      </w:r>
      <w:r w:rsidR="00B24909" w:rsidRPr="0010517B">
        <w:rPr>
          <w:rFonts w:ascii="標楷體" w:eastAsia="標楷體" w:hAnsi="標楷體" w:hint="eastAsia"/>
          <w:color w:val="000000"/>
        </w:rPr>
        <w:t>據復：</w:t>
      </w:r>
      <w:r w:rsidR="006A274A" w:rsidRPr="0010517B">
        <w:rPr>
          <w:rFonts w:ascii="標楷體" w:eastAsia="標楷體" w:hAnsi="標楷體" w:hint="eastAsia"/>
          <w:color w:val="000000"/>
        </w:rPr>
        <w:t>已啟動有線廣播電視系統工程技術管理辦法、申請經營有線廣播電視服務規費收費標準及有線廣播電視系統查驗技術規範等法規</w:t>
      </w:r>
      <w:proofErr w:type="gramStart"/>
      <w:r w:rsidR="006A274A" w:rsidRPr="0010517B">
        <w:rPr>
          <w:rFonts w:ascii="標楷體" w:eastAsia="標楷體" w:hAnsi="標楷體" w:hint="eastAsia"/>
          <w:color w:val="000000"/>
        </w:rPr>
        <w:t>研</w:t>
      </w:r>
      <w:proofErr w:type="gramEnd"/>
      <w:r w:rsidR="006A274A" w:rsidRPr="0010517B">
        <w:rPr>
          <w:rFonts w:ascii="標楷體" w:eastAsia="標楷體" w:hAnsi="標楷體" w:hint="eastAsia"/>
          <w:color w:val="000000"/>
        </w:rPr>
        <w:t>修工作，規劃將類比</w:t>
      </w:r>
      <w:r w:rsidR="00DD3FCC" w:rsidRPr="0010517B">
        <w:rPr>
          <w:rFonts w:ascii="標楷體" w:eastAsia="標楷體" w:hAnsi="標楷體" w:hint="eastAsia"/>
          <w:color w:val="000000"/>
        </w:rPr>
        <w:t>信號</w:t>
      </w:r>
      <w:r w:rsidR="006A274A" w:rsidRPr="0010517B">
        <w:rPr>
          <w:rFonts w:ascii="標楷體" w:eastAsia="標楷體" w:hAnsi="標楷體" w:hint="eastAsia"/>
          <w:color w:val="000000"/>
        </w:rPr>
        <w:t>相關條文全數刪除，後續將配合上述法規</w:t>
      </w:r>
      <w:proofErr w:type="gramStart"/>
      <w:r w:rsidR="006A274A" w:rsidRPr="0010517B">
        <w:rPr>
          <w:rFonts w:ascii="標楷體" w:eastAsia="標楷體" w:hAnsi="標楷體" w:hint="eastAsia"/>
          <w:color w:val="000000"/>
        </w:rPr>
        <w:t>研</w:t>
      </w:r>
      <w:proofErr w:type="gramEnd"/>
      <w:r w:rsidR="006A274A" w:rsidRPr="0010517B">
        <w:rPr>
          <w:rFonts w:ascii="標楷體" w:eastAsia="標楷體" w:hAnsi="標楷體" w:hint="eastAsia"/>
          <w:color w:val="000000"/>
        </w:rPr>
        <w:t>修情形，</w:t>
      </w:r>
      <w:r w:rsidR="00DD3FCC" w:rsidRPr="0010517B">
        <w:rPr>
          <w:rFonts w:ascii="標楷體" w:eastAsia="標楷體" w:hAnsi="標楷體" w:hint="eastAsia"/>
          <w:color w:val="000000"/>
        </w:rPr>
        <w:t>適時</w:t>
      </w:r>
      <w:r w:rsidR="006A274A" w:rsidRPr="0010517B">
        <w:rPr>
          <w:rFonts w:ascii="標楷體" w:eastAsia="標楷體" w:hAnsi="標楷體" w:hint="eastAsia"/>
          <w:color w:val="000000"/>
        </w:rPr>
        <w:t>修正評鑑須知相關表件。</w:t>
      </w:r>
    </w:p>
    <w:p w14:paraId="7082C1D6" w14:textId="228524F6" w:rsidR="004D4F64" w:rsidRDefault="004D4F64" w:rsidP="00742924">
      <w:pPr>
        <w:adjustRightInd w:val="0"/>
        <w:snapToGrid w:val="0"/>
        <w:spacing w:line="558" w:lineRule="exact"/>
        <w:ind w:firstLineChars="450" w:firstLine="1261"/>
        <w:jc w:val="both"/>
        <w:outlineLvl w:val="0"/>
        <w:rPr>
          <w:rFonts w:ascii="標楷體" w:eastAsia="標楷體" w:hAnsi="標楷體"/>
          <w:b/>
          <w:snapToGrid w:val="0"/>
          <w:kern w:val="0"/>
          <w:sz w:val="28"/>
          <w:szCs w:val="28"/>
        </w:rPr>
      </w:pPr>
      <w:r w:rsidRPr="00594485">
        <w:rPr>
          <w:rFonts w:ascii="標楷體" w:eastAsia="標楷體" w:hAnsi="標楷體" w:hint="eastAsia"/>
          <w:b/>
          <w:snapToGrid w:val="0"/>
          <w:kern w:val="0"/>
          <w:sz w:val="28"/>
          <w:szCs w:val="28"/>
        </w:rPr>
        <w:t xml:space="preserve">6.　</w:t>
      </w:r>
      <w:proofErr w:type="gramStart"/>
      <w:r w:rsidRPr="00594485">
        <w:rPr>
          <w:rFonts w:ascii="標楷體" w:eastAsia="標楷體" w:hAnsi="標楷體" w:hint="eastAsia"/>
          <w:b/>
          <w:snapToGrid w:val="0"/>
          <w:kern w:val="0"/>
          <w:sz w:val="28"/>
          <w:szCs w:val="28"/>
        </w:rPr>
        <w:t>1</w:t>
      </w:r>
      <w:r w:rsidRPr="00594485">
        <w:rPr>
          <w:rFonts w:ascii="標楷體" w:eastAsia="標楷體" w:hAnsi="標楷體"/>
          <w:b/>
          <w:snapToGrid w:val="0"/>
          <w:kern w:val="0"/>
          <w:sz w:val="28"/>
          <w:szCs w:val="28"/>
        </w:rPr>
        <w:t>1</w:t>
      </w:r>
      <w:r w:rsidR="001C6EBF">
        <w:rPr>
          <w:rFonts w:ascii="標楷體" w:eastAsia="標楷體" w:hAnsi="標楷體" w:hint="eastAsia"/>
          <w:b/>
          <w:snapToGrid w:val="0"/>
          <w:kern w:val="0"/>
          <w:sz w:val="28"/>
          <w:szCs w:val="28"/>
        </w:rPr>
        <w:t>3</w:t>
      </w:r>
      <w:proofErr w:type="gramEnd"/>
      <w:r w:rsidRPr="00594485">
        <w:rPr>
          <w:rFonts w:ascii="標楷體" w:eastAsia="標楷體" w:hAnsi="標楷體" w:hint="eastAsia"/>
          <w:b/>
          <w:snapToGrid w:val="0"/>
          <w:kern w:val="0"/>
          <w:sz w:val="28"/>
          <w:szCs w:val="28"/>
        </w:rPr>
        <w:t>年度重要</w:t>
      </w:r>
      <w:r w:rsidRPr="00594485">
        <w:rPr>
          <w:rFonts w:ascii="標楷體" w:eastAsia="標楷體" w:hAnsi="標楷體" w:hint="eastAsia"/>
          <w:b/>
          <w:sz w:val="28"/>
          <w:szCs w:val="28"/>
        </w:rPr>
        <w:t>審核</w:t>
      </w:r>
      <w:r w:rsidRPr="00594485">
        <w:rPr>
          <w:rFonts w:ascii="標楷體" w:eastAsia="標楷體" w:hAnsi="標楷體" w:hint="eastAsia"/>
          <w:b/>
          <w:snapToGrid w:val="0"/>
          <w:kern w:val="0"/>
          <w:sz w:val="28"/>
          <w:szCs w:val="28"/>
        </w:rPr>
        <w:t>意見追蹤查核情形</w:t>
      </w:r>
    </w:p>
    <w:p w14:paraId="6353262D" w14:textId="6A2AB34A" w:rsidR="004D4F64" w:rsidRPr="001A20D3" w:rsidRDefault="001C6EBF" w:rsidP="00742924">
      <w:pPr>
        <w:adjustRightInd w:val="0"/>
        <w:snapToGrid w:val="0"/>
        <w:spacing w:line="558" w:lineRule="exact"/>
        <w:ind w:firstLineChars="200" w:firstLine="480"/>
        <w:jc w:val="both"/>
        <w:rPr>
          <w:rFonts w:ascii="標楷體" w:eastAsia="標楷體" w:hAnsi="標楷體"/>
        </w:rPr>
      </w:pPr>
      <w:r w:rsidRPr="001A20D3">
        <w:rPr>
          <w:rFonts w:ascii="標楷體" w:eastAsia="標楷體" w:hAnsi="標楷體" w:hint="eastAsia"/>
        </w:rPr>
        <w:t>本部於</w:t>
      </w:r>
      <w:proofErr w:type="gramStart"/>
      <w:r w:rsidRPr="001A20D3">
        <w:rPr>
          <w:rFonts w:ascii="標楷體" w:eastAsia="標楷體" w:hAnsi="標楷體" w:hint="eastAsia"/>
        </w:rPr>
        <w:t>113</w:t>
      </w:r>
      <w:proofErr w:type="gramEnd"/>
      <w:r w:rsidRPr="001A20D3">
        <w:rPr>
          <w:rFonts w:ascii="標楷體" w:eastAsia="標楷體" w:hAnsi="標楷體" w:hint="eastAsia"/>
        </w:rPr>
        <w:t>年度審核報告非營業部分內列重要審核意見，計有為促進有線電視系統經營者健全發展，已建立評鑑及財務稽核機制，惟財務檢核所訂指標偏重靜態財務結構，不利掌握營運趨勢與市場風險，允宜強化</w:t>
      </w:r>
      <w:r w:rsidRPr="001A20D3">
        <w:rPr>
          <w:rFonts w:ascii="標楷體" w:eastAsia="標楷體" w:hAnsi="標楷體" w:hint="eastAsia"/>
          <w:snapToGrid w:val="0"/>
          <w:kern w:val="0"/>
        </w:rPr>
        <w:t>檢核</w:t>
      </w:r>
      <w:r w:rsidRPr="001A20D3">
        <w:rPr>
          <w:rFonts w:ascii="標楷體" w:eastAsia="標楷體" w:hAnsi="標楷體" w:hint="eastAsia"/>
        </w:rPr>
        <w:t>指標之設計，以提升預警功能1項，經</w:t>
      </w:r>
      <w:proofErr w:type="gramStart"/>
      <w:r w:rsidRPr="001A20D3">
        <w:rPr>
          <w:rFonts w:ascii="標楷體" w:eastAsia="標楷體" w:hAnsi="標楷體" w:hint="eastAsia"/>
        </w:rPr>
        <w:t>賡</w:t>
      </w:r>
      <w:proofErr w:type="gramEnd"/>
      <w:r w:rsidRPr="001A20D3">
        <w:rPr>
          <w:rFonts w:ascii="標楷體" w:eastAsia="標楷體" w:hAnsi="標楷體" w:hint="eastAsia"/>
        </w:rPr>
        <w:t>續追蹤查核實際辦理結果，已依改善措施持續辦理。</w:t>
      </w:r>
    </w:p>
    <w:p w14:paraId="618B8A7D" w14:textId="06B0AD71" w:rsidR="004D4F64" w:rsidRPr="004D4F64" w:rsidRDefault="004D4F64" w:rsidP="00742924">
      <w:pPr>
        <w:adjustRightInd w:val="0"/>
        <w:snapToGrid w:val="0"/>
        <w:spacing w:line="558" w:lineRule="exact"/>
        <w:ind w:firstLineChars="200" w:firstLine="504"/>
        <w:jc w:val="both"/>
        <w:rPr>
          <w:rFonts w:ascii="標楷體" w:eastAsia="標楷體" w:hAnsi="標楷體"/>
        </w:rPr>
      </w:pPr>
      <w:r w:rsidRPr="004D4F64">
        <w:rPr>
          <w:rFonts w:ascii="標楷體" w:eastAsia="標楷體" w:hAnsi="標楷體" w:hint="eastAsia"/>
          <w:snapToGrid w:val="0"/>
          <w:spacing w:val="6"/>
          <w:kern w:val="0"/>
        </w:rPr>
        <w:t>該基金來源用途及餘</w:t>
      </w:r>
      <w:proofErr w:type="gramStart"/>
      <w:r w:rsidRPr="004D4F64">
        <w:rPr>
          <w:rFonts w:ascii="標楷體" w:eastAsia="標楷體" w:hAnsi="標楷體" w:hint="eastAsia"/>
          <w:snapToGrid w:val="0"/>
          <w:spacing w:val="6"/>
          <w:kern w:val="0"/>
        </w:rPr>
        <w:t>絀</w:t>
      </w:r>
      <w:proofErr w:type="gramEnd"/>
      <w:r w:rsidRPr="004D4F64">
        <w:rPr>
          <w:rFonts w:ascii="標楷體" w:eastAsia="標楷體" w:hAnsi="標楷體" w:hint="eastAsia"/>
          <w:snapToGrid w:val="0"/>
          <w:spacing w:val="6"/>
          <w:kern w:val="0"/>
        </w:rPr>
        <w:t>之審定，暨餘</w:t>
      </w:r>
      <w:proofErr w:type="gramStart"/>
      <w:r w:rsidRPr="004D4F64">
        <w:rPr>
          <w:rFonts w:ascii="標楷體" w:eastAsia="標楷體" w:hAnsi="標楷體" w:hint="eastAsia"/>
          <w:snapToGrid w:val="0"/>
          <w:spacing w:val="6"/>
          <w:kern w:val="0"/>
        </w:rPr>
        <w:t>絀</w:t>
      </w:r>
      <w:proofErr w:type="gramEnd"/>
      <w:r w:rsidRPr="004D4F64">
        <w:rPr>
          <w:rFonts w:ascii="標楷體" w:eastAsia="標楷體" w:hAnsi="標楷體" w:hint="eastAsia"/>
          <w:snapToGrid w:val="0"/>
          <w:spacing w:val="6"/>
          <w:kern w:val="0"/>
        </w:rPr>
        <w:t>審定後現金流量及資產負債狀況，</w:t>
      </w:r>
      <w:proofErr w:type="gramStart"/>
      <w:r w:rsidRPr="004D4F64">
        <w:rPr>
          <w:rFonts w:ascii="標楷體" w:eastAsia="標楷體" w:hAnsi="標楷體" w:hint="eastAsia"/>
          <w:snapToGrid w:val="0"/>
          <w:spacing w:val="6"/>
          <w:kern w:val="0"/>
        </w:rPr>
        <w:t>詳戊</w:t>
      </w:r>
      <w:proofErr w:type="gramEnd"/>
      <w:r w:rsidRPr="004D4F64">
        <w:rPr>
          <w:rFonts w:ascii="標楷體" w:eastAsia="標楷體" w:hAnsi="標楷體" w:hint="eastAsia"/>
          <w:snapToGrid w:val="0"/>
          <w:spacing w:val="6"/>
          <w:kern w:val="0"/>
        </w:rPr>
        <w:t>、附表、壹</w:t>
      </w:r>
      <w:r w:rsidRPr="00594485">
        <w:rPr>
          <w:rFonts w:ascii="標楷體" w:eastAsia="標楷體" w:hAnsi="標楷體" w:hint="eastAsia"/>
          <w:snapToGrid w:val="0"/>
          <w:kern w:val="0"/>
        </w:rPr>
        <w:t>、各基</w:t>
      </w:r>
      <w:r w:rsidRPr="00594485">
        <w:rPr>
          <w:rFonts w:ascii="標楷體" w:eastAsia="標楷體" w:hAnsi="標楷體" w:hint="eastAsia"/>
          <w:snapToGrid w:val="0"/>
          <w:spacing w:val="-4"/>
          <w:kern w:val="0"/>
        </w:rPr>
        <w:t>金附表</w:t>
      </w:r>
      <w:proofErr w:type="gramStart"/>
      <w:r w:rsidRPr="00594485">
        <w:rPr>
          <w:rFonts w:ascii="標楷體" w:eastAsia="標楷體" w:hAnsi="標楷體" w:hint="eastAsia"/>
          <w:snapToGrid w:val="0"/>
          <w:spacing w:val="-4"/>
          <w:kern w:val="0"/>
        </w:rPr>
        <w:t>〔</w:t>
      </w:r>
      <w:proofErr w:type="gramEnd"/>
      <w:r w:rsidRPr="00594485">
        <w:rPr>
          <w:rFonts w:ascii="標楷體" w:eastAsia="標楷體" w:hAnsi="標楷體" w:hint="eastAsia"/>
          <w:snapToGrid w:val="0"/>
          <w:spacing w:val="-4"/>
          <w:kern w:val="0"/>
        </w:rPr>
        <w:t>請至審計部全球</w:t>
      </w:r>
      <w:r w:rsidRPr="007B2D92">
        <w:rPr>
          <w:rFonts w:ascii="標楷體" w:eastAsia="標楷體" w:hAnsi="標楷體" w:hint="eastAsia"/>
          <w:snapToGrid w:val="0"/>
          <w:kern w:val="0"/>
        </w:rPr>
        <w:t>資訊網</w:t>
      </w:r>
      <w:r w:rsidRPr="00594485">
        <w:rPr>
          <w:rFonts w:ascii="標楷體" w:eastAsia="標楷體" w:hAnsi="標楷體" w:hint="eastAsia"/>
          <w:snapToGrid w:val="0"/>
          <w:spacing w:val="-4"/>
          <w:kern w:val="0"/>
        </w:rPr>
        <w:t>之總決算審核報告查詢平台</w:t>
      </w:r>
      <w:r w:rsidRPr="00594485">
        <w:rPr>
          <w:rFonts w:ascii="標楷體" w:eastAsia="標楷體" w:hAnsi="標楷體" w:hint="eastAsia"/>
          <w:w w:val="90"/>
          <w:szCs w:val="28"/>
        </w:rPr>
        <w:t>(https://auditreport.audit.gov.tw/)</w:t>
      </w:r>
      <w:r w:rsidRPr="00594485">
        <w:rPr>
          <w:rFonts w:ascii="標楷體" w:eastAsia="標楷體" w:hAnsi="標楷體" w:hint="eastAsia"/>
          <w:snapToGrid w:val="0"/>
          <w:kern w:val="0"/>
        </w:rPr>
        <w:t>查閱</w:t>
      </w:r>
      <w:proofErr w:type="gramStart"/>
      <w:r w:rsidRPr="00594485">
        <w:rPr>
          <w:rFonts w:ascii="標楷體" w:eastAsia="標楷體" w:hAnsi="標楷體" w:hint="eastAsia"/>
          <w:snapToGrid w:val="0"/>
          <w:kern w:val="0"/>
        </w:rPr>
        <w:t>〕</w:t>
      </w:r>
      <w:proofErr w:type="gramEnd"/>
      <w:r w:rsidRPr="00594485">
        <w:rPr>
          <w:rFonts w:ascii="標楷體" w:eastAsia="標楷體" w:hAnsi="標楷體" w:hint="eastAsia"/>
          <w:snapToGrid w:val="0"/>
          <w:kern w:val="0"/>
        </w:rPr>
        <w:t>。</w:t>
      </w:r>
    </w:p>
    <w:sectPr w:rsidR="004D4F64" w:rsidRPr="004D4F64" w:rsidSect="00823A25">
      <w:footerReference w:type="even" r:id="rId8"/>
      <w:footerReference w:type="default" r:id="rId9"/>
      <w:pgSz w:w="11906" w:h="16838" w:code="9"/>
      <w:pgMar w:top="1418" w:right="851" w:bottom="1418" w:left="851" w:header="1021" w:footer="737" w:gutter="0"/>
      <w:pgNumType w:start="34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A8C8" w14:textId="77777777" w:rsidR="00AA23A9" w:rsidRDefault="00AA23A9" w:rsidP="00A11CE0">
      <w:r>
        <w:separator/>
      </w:r>
    </w:p>
  </w:endnote>
  <w:endnote w:type="continuationSeparator" w:id="0">
    <w:p w14:paraId="07FA58AD" w14:textId="77777777" w:rsidR="00AA23A9" w:rsidRDefault="00AA23A9" w:rsidP="00A1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00000000" w:usb1="08080000" w:usb2="00000010" w:usb3="00000000" w:csb0="00100000" w:csb1="00000000"/>
  </w:font>
  <w:font w:name="華康楷書體W5">
    <w:altName w:val="全字庫正楷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61003"/>
      <w:docPartObj>
        <w:docPartGallery w:val="Page Numbers (Bottom of Page)"/>
        <w:docPartUnique/>
      </w:docPartObj>
    </w:sdtPr>
    <w:sdtEndPr>
      <w:rPr>
        <w:rFonts w:ascii="標楷體" w:eastAsia="標楷體" w:hAnsi="標楷體"/>
      </w:rPr>
    </w:sdtEndPr>
    <w:sdtContent>
      <w:p w14:paraId="35C829A5" w14:textId="608B4BD1" w:rsidR="005D410B" w:rsidRPr="00311165" w:rsidRDefault="005D410B" w:rsidP="005D410B">
        <w:pPr>
          <w:pStyle w:val="ac"/>
          <w:jc w:val="center"/>
          <w:rPr>
            <w:rFonts w:ascii="標楷體" w:eastAsia="標楷體" w:hAnsi="標楷體"/>
          </w:rPr>
        </w:pPr>
        <w:r w:rsidRPr="00311165">
          <w:rPr>
            <w:rFonts w:ascii="標楷體" w:eastAsia="標楷體" w:hAnsi="標楷體" w:hint="eastAsia"/>
          </w:rPr>
          <w:t>乙-</w:t>
        </w:r>
        <w:r w:rsidR="009625CF" w:rsidRPr="009625CF">
          <w:rPr>
            <w:rFonts w:ascii="標楷體" w:eastAsia="標楷體" w:hAnsi="標楷體"/>
          </w:rPr>
          <w:fldChar w:fldCharType="begin"/>
        </w:r>
        <w:r w:rsidR="009625CF" w:rsidRPr="009625CF">
          <w:rPr>
            <w:rFonts w:ascii="標楷體" w:eastAsia="標楷體" w:hAnsi="標楷體"/>
          </w:rPr>
          <w:instrText>PAGE   \* MERGEFORMAT</w:instrText>
        </w:r>
        <w:r w:rsidR="009625CF" w:rsidRPr="009625CF">
          <w:rPr>
            <w:rFonts w:ascii="標楷體" w:eastAsia="標楷體" w:hAnsi="標楷體"/>
          </w:rPr>
          <w:fldChar w:fldCharType="separate"/>
        </w:r>
        <w:r w:rsidR="009625CF" w:rsidRPr="009625CF">
          <w:rPr>
            <w:rFonts w:ascii="標楷體" w:eastAsia="標楷體" w:hAnsi="標楷體"/>
            <w:lang w:val="zh-TW"/>
          </w:rPr>
          <w:t>1</w:t>
        </w:r>
        <w:r w:rsidR="009625CF" w:rsidRPr="009625CF">
          <w:rPr>
            <w:rFonts w:ascii="標楷體" w:eastAsia="標楷體" w:hAnsi="標楷體"/>
          </w:rPr>
          <w:fldChar w:fldCharType="end"/>
        </w:r>
      </w:p>
      <w:p w14:paraId="5AF2630D" w14:textId="77777777" w:rsidR="005D410B" w:rsidRPr="00311165" w:rsidRDefault="00742924" w:rsidP="005D410B">
        <w:pPr>
          <w:pStyle w:val="ac"/>
          <w:jc w:val="center"/>
          <w:rPr>
            <w:rFonts w:ascii="標楷體" w:eastAsia="標楷體" w:hAnsi="標楷體"/>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048979"/>
      <w:docPartObj>
        <w:docPartGallery w:val="Page Numbers (Bottom of Page)"/>
        <w:docPartUnique/>
      </w:docPartObj>
    </w:sdtPr>
    <w:sdtEndPr>
      <w:rPr>
        <w:rFonts w:ascii="標楷體" w:eastAsia="標楷體" w:hAnsi="標楷體"/>
      </w:rPr>
    </w:sdtEndPr>
    <w:sdtContent>
      <w:p w14:paraId="66649BD4" w14:textId="3B59AD69" w:rsidR="005D410B" w:rsidRPr="005D410B" w:rsidRDefault="005D410B" w:rsidP="00311165">
        <w:pPr>
          <w:pStyle w:val="ac"/>
          <w:snapToGrid/>
          <w:jc w:val="center"/>
          <w:rPr>
            <w:rFonts w:ascii="標楷體" w:eastAsia="標楷體" w:hAnsi="標楷體"/>
          </w:rPr>
        </w:pPr>
        <w:r w:rsidRPr="005D410B">
          <w:rPr>
            <w:rFonts w:ascii="標楷體" w:eastAsia="標楷體" w:hAnsi="標楷體" w:hint="eastAsia"/>
          </w:rPr>
          <w:t>乙-</w:t>
        </w:r>
        <w:r w:rsidR="009625CF" w:rsidRPr="009625CF">
          <w:rPr>
            <w:rFonts w:ascii="標楷體" w:eastAsia="標楷體" w:hAnsi="標楷體"/>
          </w:rPr>
          <w:fldChar w:fldCharType="begin"/>
        </w:r>
        <w:r w:rsidR="009625CF" w:rsidRPr="009625CF">
          <w:rPr>
            <w:rFonts w:ascii="標楷體" w:eastAsia="標楷體" w:hAnsi="標楷體"/>
          </w:rPr>
          <w:instrText>PAGE   \* MERGEFORMAT</w:instrText>
        </w:r>
        <w:r w:rsidR="009625CF" w:rsidRPr="009625CF">
          <w:rPr>
            <w:rFonts w:ascii="標楷體" w:eastAsia="標楷體" w:hAnsi="標楷體"/>
          </w:rPr>
          <w:fldChar w:fldCharType="separate"/>
        </w:r>
        <w:r w:rsidR="009625CF" w:rsidRPr="009625CF">
          <w:rPr>
            <w:rFonts w:ascii="標楷體" w:eastAsia="標楷體" w:hAnsi="標楷體"/>
            <w:lang w:val="zh-TW"/>
          </w:rPr>
          <w:t>1</w:t>
        </w:r>
        <w:r w:rsidR="009625CF" w:rsidRPr="009625CF">
          <w:rPr>
            <w:rFonts w:ascii="標楷體" w:eastAsia="標楷體" w:hAnsi="標楷體"/>
          </w:rPr>
          <w:fldChar w:fldCharType="end"/>
        </w:r>
      </w:p>
      <w:p w14:paraId="70493244" w14:textId="6AC51669" w:rsidR="00AA23A9" w:rsidRPr="005D410B" w:rsidRDefault="00742924" w:rsidP="00311165">
        <w:pPr>
          <w:pStyle w:val="ac"/>
          <w:snapToGrid/>
          <w:jc w:val="center"/>
          <w:rPr>
            <w:rFonts w:ascii="標楷體" w:eastAsia="標楷體" w:hAnsi="標楷體"/>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26A7" w14:textId="77777777" w:rsidR="00AA23A9" w:rsidRDefault="00AA23A9" w:rsidP="00A11CE0">
      <w:r>
        <w:separator/>
      </w:r>
    </w:p>
  </w:footnote>
  <w:footnote w:type="continuationSeparator" w:id="0">
    <w:p w14:paraId="46EA8A24" w14:textId="77777777" w:rsidR="00AA23A9" w:rsidRDefault="00AA23A9" w:rsidP="00A11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C687C"/>
    <w:multiLevelType w:val="hybridMultilevel"/>
    <w:tmpl w:val="4676A0E6"/>
    <w:lvl w:ilvl="0" w:tplc="C134771C">
      <w:start w:val="1"/>
      <w:numFmt w:val="decimal"/>
      <w:lvlText w:val="(%1)"/>
      <w:lvlJc w:val="left"/>
      <w:pPr>
        <w:ind w:left="1120" w:hanging="480"/>
      </w:pPr>
      <w:rPr>
        <w:rFonts w:hint="default"/>
        <w:sz w:val="32"/>
        <w:u w:val="none"/>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3"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6"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7"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8"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9"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0"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1"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2"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3"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4"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5"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6"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7"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8"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5"/>
  </w:num>
  <w:num w:numId="3">
    <w:abstractNumId w:val="16"/>
  </w:num>
  <w:num w:numId="4">
    <w:abstractNumId w:val="19"/>
  </w:num>
  <w:num w:numId="5">
    <w:abstractNumId w:val="6"/>
  </w:num>
  <w:num w:numId="6">
    <w:abstractNumId w:val="13"/>
  </w:num>
  <w:num w:numId="7">
    <w:abstractNumId w:val="18"/>
  </w:num>
  <w:num w:numId="8">
    <w:abstractNumId w:val="11"/>
  </w:num>
  <w:num w:numId="9">
    <w:abstractNumId w:val="2"/>
  </w:num>
  <w:num w:numId="10">
    <w:abstractNumId w:val="0"/>
  </w:num>
  <w:num w:numId="11">
    <w:abstractNumId w:val="8"/>
  </w:num>
  <w:num w:numId="12">
    <w:abstractNumId w:val="9"/>
  </w:num>
  <w:num w:numId="13">
    <w:abstractNumId w:val="10"/>
  </w:num>
  <w:num w:numId="14">
    <w:abstractNumId w:val="14"/>
  </w:num>
  <w:num w:numId="15">
    <w:abstractNumId w:val="4"/>
  </w:num>
  <w:num w:numId="16">
    <w:abstractNumId w:val="15"/>
  </w:num>
  <w:num w:numId="17">
    <w:abstractNumId w:val="7"/>
  </w:num>
  <w:num w:numId="18">
    <w:abstractNumId w:val="12"/>
  </w:num>
  <w:num w:numId="19">
    <w:abstractNumId w:val="20"/>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isplayBackgroundShape/>
  <w:mirrorMargins/>
  <w:bordersDoNotSurroundHeader/>
  <w:bordersDoNotSurroundFooter/>
  <w:proofState w:spelling="clean" w:grammar="clean"/>
  <w:attachedTemplate r:id="rId1"/>
  <w:mailMerge>
    <w:mainDocumentType w:val="catalog"/>
    <w:dataType w:val="textFile"/>
    <w:activeRecord w:val="-1"/>
  </w:mailMerge>
  <w:defaultTabStop w:val="2834"/>
  <w:evenAndOddHeaders/>
  <w:drawingGridHorizontalSpacing w:val="120"/>
  <w:displayHorizontalDrawingGridEvery w:val="0"/>
  <w:displayVerticalDrawingGridEvery w:val="2"/>
  <w:characterSpacingControl w:val="compressPunctuation"/>
  <w:hdrShapeDefaults>
    <o:shapedefaults v:ext="edit" spidmax="227329">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4FB"/>
    <w:rsid w:val="00002C8A"/>
    <w:rsid w:val="00002D13"/>
    <w:rsid w:val="00002ECE"/>
    <w:rsid w:val="00003085"/>
    <w:rsid w:val="000120AB"/>
    <w:rsid w:val="0001516A"/>
    <w:rsid w:val="00017A21"/>
    <w:rsid w:val="00020419"/>
    <w:rsid w:val="00022C47"/>
    <w:rsid w:val="00023399"/>
    <w:rsid w:val="00023C66"/>
    <w:rsid w:val="00034A5F"/>
    <w:rsid w:val="00041003"/>
    <w:rsid w:val="00046121"/>
    <w:rsid w:val="000476C5"/>
    <w:rsid w:val="000523C1"/>
    <w:rsid w:val="000574E2"/>
    <w:rsid w:val="00057C14"/>
    <w:rsid w:val="00072CDE"/>
    <w:rsid w:val="000735C7"/>
    <w:rsid w:val="00081EDD"/>
    <w:rsid w:val="000862F7"/>
    <w:rsid w:val="000911A1"/>
    <w:rsid w:val="00095626"/>
    <w:rsid w:val="000971F7"/>
    <w:rsid w:val="000A1F4C"/>
    <w:rsid w:val="000A34C2"/>
    <w:rsid w:val="000A5F36"/>
    <w:rsid w:val="000A7ABF"/>
    <w:rsid w:val="000B3758"/>
    <w:rsid w:val="000B62F0"/>
    <w:rsid w:val="000B67BF"/>
    <w:rsid w:val="000C3142"/>
    <w:rsid w:val="000C607B"/>
    <w:rsid w:val="000E3E1B"/>
    <w:rsid w:val="000E45C6"/>
    <w:rsid w:val="000F6A36"/>
    <w:rsid w:val="001029FF"/>
    <w:rsid w:val="00102C8E"/>
    <w:rsid w:val="0010517B"/>
    <w:rsid w:val="00106BCD"/>
    <w:rsid w:val="0011269C"/>
    <w:rsid w:val="00112C14"/>
    <w:rsid w:val="0012265D"/>
    <w:rsid w:val="00125ACF"/>
    <w:rsid w:val="00131487"/>
    <w:rsid w:val="0013244B"/>
    <w:rsid w:val="00141384"/>
    <w:rsid w:val="00146EF7"/>
    <w:rsid w:val="00147790"/>
    <w:rsid w:val="00153CCB"/>
    <w:rsid w:val="001653AD"/>
    <w:rsid w:val="001669DB"/>
    <w:rsid w:val="00177EAF"/>
    <w:rsid w:val="00187643"/>
    <w:rsid w:val="001943DE"/>
    <w:rsid w:val="0019498B"/>
    <w:rsid w:val="001A1430"/>
    <w:rsid w:val="001A20D3"/>
    <w:rsid w:val="001A2316"/>
    <w:rsid w:val="001A4D58"/>
    <w:rsid w:val="001B0DBD"/>
    <w:rsid w:val="001B4267"/>
    <w:rsid w:val="001B63D5"/>
    <w:rsid w:val="001C2CC4"/>
    <w:rsid w:val="001C384E"/>
    <w:rsid w:val="001C6EBF"/>
    <w:rsid w:val="001D0689"/>
    <w:rsid w:val="001D366F"/>
    <w:rsid w:val="001D4ADC"/>
    <w:rsid w:val="001D65D1"/>
    <w:rsid w:val="001D7B3F"/>
    <w:rsid w:val="001D7BF1"/>
    <w:rsid w:val="001F02E3"/>
    <w:rsid w:val="001F101B"/>
    <w:rsid w:val="001F61FB"/>
    <w:rsid w:val="00216EE8"/>
    <w:rsid w:val="00220AD7"/>
    <w:rsid w:val="0023167C"/>
    <w:rsid w:val="002326DD"/>
    <w:rsid w:val="00233791"/>
    <w:rsid w:val="002337BA"/>
    <w:rsid w:val="00236CF4"/>
    <w:rsid w:val="00240FF8"/>
    <w:rsid w:val="00243D85"/>
    <w:rsid w:val="00260877"/>
    <w:rsid w:val="00262248"/>
    <w:rsid w:val="002752F6"/>
    <w:rsid w:val="002826CC"/>
    <w:rsid w:val="002A3EFB"/>
    <w:rsid w:val="002B0321"/>
    <w:rsid w:val="002B14C7"/>
    <w:rsid w:val="002B5522"/>
    <w:rsid w:val="002B6EA3"/>
    <w:rsid w:val="002D0EB3"/>
    <w:rsid w:val="002E75DA"/>
    <w:rsid w:val="002F0565"/>
    <w:rsid w:val="002F1D10"/>
    <w:rsid w:val="00301683"/>
    <w:rsid w:val="00303B4F"/>
    <w:rsid w:val="00305B04"/>
    <w:rsid w:val="003078A9"/>
    <w:rsid w:val="00311165"/>
    <w:rsid w:val="003155FD"/>
    <w:rsid w:val="003220F6"/>
    <w:rsid w:val="003224C4"/>
    <w:rsid w:val="003241DB"/>
    <w:rsid w:val="00324CA1"/>
    <w:rsid w:val="0032502C"/>
    <w:rsid w:val="0033001A"/>
    <w:rsid w:val="0033627F"/>
    <w:rsid w:val="00336D6E"/>
    <w:rsid w:val="00353B0A"/>
    <w:rsid w:val="003543DE"/>
    <w:rsid w:val="00360048"/>
    <w:rsid w:val="00360E64"/>
    <w:rsid w:val="0036300C"/>
    <w:rsid w:val="00364BC0"/>
    <w:rsid w:val="0036688C"/>
    <w:rsid w:val="00372AB2"/>
    <w:rsid w:val="00373A3F"/>
    <w:rsid w:val="00376A89"/>
    <w:rsid w:val="0038105D"/>
    <w:rsid w:val="00386A28"/>
    <w:rsid w:val="00393658"/>
    <w:rsid w:val="003A1F2F"/>
    <w:rsid w:val="003B0C4D"/>
    <w:rsid w:val="003B661B"/>
    <w:rsid w:val="003B7FAB"/>
    <w:rsid w:val="003C1720"/>
    <w:rsid w:val="003C1C76"/>
    <w:rsid w:val="003C6417"/>
    <w:rsid w:val="003D1DC4"/>
    <w:rsid w:val="003D6171"/>
    <w:rsid w:val="003E1DB9"/>
    <w:rsid w:val="003E7176"/>
    <w:rsid w:val="003F5192"/>
    <w:rsid w:val="003F680E"/>
    <w:rsid w:val="00404C3E"/>
    <w:rsid w:val="004121FF"/>
    <w:rsid w:val="00416D7E"/>
    <w:rsid w:val="004215BF"/>
    <w:rsid w:val="00426166"/>
    <w:rsid w:val="00427D34"/>
    <w:rsid w:val="00431772"/>
    <w:rsid w:val="00450233"/>
    <w:rsid w:val="00466FAE"/>
    <w:rsid w:val="00467AE4"/>
    <w:rsid w:val="00470BA1"/>
    <w:rsid w:val="004746D3"/>
    <w:rsid w:val="00482537"/>
    <w:rsid w:val="00487526"/>
    <w:rsid w:val="00491C63"/>
    <w:rsid w:val="004A1510"/>
    <w:rsid w:val="004A47BE"/>
    <w:rsid w:val="004A577B"/>
    <w:rsid w:val="004B1E49"/>
    <w:rsid w:val="004B431B"/>
    <w:rsid w:val="004B7C9F"/>
    <w:rsid w:val="004C3C45"/>
    <w:rsid w:val="004D4F64"/>
    <w:rsid w:val="004E0780"/>
    <w:rsid w:val="004E13B7"/>
    <w:rsid w:val="004E158C"/>
    <w:rsid w:val="0050290F"/>
    <w:rsid w:val="00513C87"/>
    <w:rsid w:val="00525AE0"/>
    <w:rsid w:val="00527B47"/>
    <w:rsid w:val="00531F09"/>
    <w:rsid w:val="00535276"/>
    <w:rsid w:val="0054095A"/>
    <w:rsid w:val="005431E2"/>
    <w:rsid w:val="00544799"/>
    <w:rsid w:val="00544A65"/>
    <w:rsid w:val="00550740"/>
    <w:rsid w:val="00561CEF"/>
    <w:rsid w:val="00566FAC"/>
    <w:rsid w:val="005702BB"/>
    <w:rsid w:val="0057038F"/>
    <w:rsid w:val="00571258"/>
    <w:rsid w:val="00571E09"/>
    <w:rsid w:val="00572D0C"/>
    <w:rsid w:val="00573ABB"/>
    <w:rsid w:val="00573BB6"/>
    <w:rsid w:val="0057616B"/>
    <w:rsid w:val="00576CED"/>
    <w:rsid w:val="005867E0"/>
    <w:rsid w:val="00587478"/>
    <w:rsid w:val="00594143"/>
    <w:rsid w:val="005979C2"/>
    <w:rsid w:val="005B043C"/>
    <w:rsid w:val="005B1EFE"/>
    <w:rsid w:val="005B3891"/>
    <w:rsid w:val="005C3C59"/>
    <w:rsid w:val="005C5E72"/>
    <w:rsid w:val="005D410B"/>
    <w:rsid w:val="005D4C74"/>
    <w:rsid w:val="005D606D"/>
    <w:rsid w:val="005F2389"/>
    <w:rsid w:val="006071C3"/>
    <w:rsid w:val="00613F5F"/>
    <w:rsid w:val="0061714C"/>
    <w:rsid w:val="00621D9A"/>
    <w:rsid w:val="00622130"/>
    <w:rsid w:val="00623F3C"/>
    <w:rsid w:val="006300AB"/>
    <w:rsid w:val="0063092B"/>
    <w:rsid w:val="00633277"/>
    <w:rsid w:val="0063580A"/>
    <w:rsid w:val="00636787"/>
    <w:rsid w:val="00646C0C"/>
    <w:rsid w:val="00647E19"/>
    <w:rsid w:val="006520EC"/>
    <w:rsid w:val="00660BAD"/>
    <w:rsid w:val="0066679E"/>
    <w:rsid w:val="00671029"/>
    <w:rsid w:val="006710F0"/>
    <w:rsid w:val="00672651"/>
    <w:rsid w:val="00674BCE"/>
    <w:rsid w:val="00681C18"/>
    <w:rsid w:val="00684310"/>
    <w:rsid w:val="006969EE"/>
    <w:rsid w:val="006A1C41"/>
    <w:rsid w:val="006A274A"/>
    <w:rsid w:val="006B57B4"/>
    <w:rsid w:val="006C4B18"/>
    <w:rsid w:val="006C5C41"/>
    <w:rsid w:val="006C60E5"/>
    <w:rsid w:val="006C6C26"/>
    <w:rsid w:val="006D0B1F"/>
    <w:rsid w:val="006D1095"/>
    <w:rsid w:val="006D2C7B"/>
    <w:rsid w:val="006D6077"/>
    <w:rsid w:val="006D78C3"/>
    <w:rsid w:val="006E7037"/>
    <w:rsid w:val="006F0A91"/>
    <w:rsid w:val="006F2B69"/>
    <w:rsid w:val="006F497D"/>
    <w:rsid w:val="007051CC"/>
    <w:rsid w:val="00720B5E"/>
    <w:rsid w:val="00723B0E"/>
    <w:rsid w:val="00723B56"/>
    <w:rsid w:val="00723DCA"/>
    <w:rsid w:val="00724EAF"/>
    <w:rsid w:val="007315C6"/>
    <w:rsid w:val="007347BB"/>
    <w:rsid w:val="00737ADD"/>
    <w:rsid w:val="0074143B"/>
    <w:rsid w:val="00741B65"/>
    <w:rsid w:val="00742924"/>
    <w:rsid w:val="007441AB"/>
    <w:rsid w:val="00747DA8"/>
    <w:rsid w:val="0075727E"/>
    <w:rsid w:val="00764360"/>
    <w:rsid w:val="00765DE1"/>
    <w:rsid w:val="007812FF"/>
    <w:rsid w:val="00786AE0"/>
    <w:rsid w:val="00790ACB"/>
    <w:rsid w:val="007961BB"/>
    <w:rsid w:val="007A2506"/>
    <w:rsid w:val="007A2E2A"/>
    <w:rsid w:val="007A507A"/>
    <w:rsid w:val="007A5974"/>
    <w:rsid w:val="007A7765"/>
    <w:rsid w:val="007B0C0E"/>
    <w:rsid w:val="007B1D3D"/>
    <w:rsid w:val="007B4813"/>
    <w:rsid w:val="007B4A7D"/>
    <w:rsid w:val="007B58C3"/>
    <w:rsid w:val="007C0F98"/>
    <w:rsid w:val="007C105E"/>
    <w:rsid w:val="007C6E71"/>
    <w:rsid w:val="007D100F"/>
    <w:rsid w:val="007D6E80"/>
    <w:rsid w:val="007E62FC"/>
    <w:rsid w:val="007E6FDC"/>
    <w:rsid w:val="007E747A"/>
    <w:rsid w:val="007F0BB4"/>
    <w:rsid w:val="007F18DD"/>
    <w:rsid w:val="007F2F87"/>
    <w:rsid w:val="007F609B"/>
    <w:rsid w:val="00802B36"/>
    <w:rsid w:val="00807382"/>
    <w:rsid w:val="0081039F"/>
    <w:rsid w:val="00814B60"/>
    <w:rsid w:val="008200EC"/>
    <w:rsid w:val="00823A25"/>
    <w:rsid w:val="008251A2"/>
    <w:rsid w:val="0082721A"/>
    <w:rsid w:val="0083027C"/>
    <w:rsid w:val="008334E3"/>
    <w:rsid w:val="00836173"/>
    <w:rsid w:val="0084163B"/>
    <w:rsid w:val="008516FC"/>
    <w:rsid w:val="00865BDE"/>
    <w:rsid w:val="008750AA"/>
    <w:rsid w:val="00876C88"/>
    <w:rsid w:val="008927AC"/>
    <w:rsid w:val="00893AEB"/>
    <w:rsid w:val="008B52F7"/>
    <w:rsid w:val="008D352D"/>
    <w:rsid w:val="008E19B4"/>
    <w:rsid w:val="008E26B7"/>
    <w:rsid w:val="008E2C10"/>
    <w:rsid w:val="008E77F2"/>
    <w:rsid w:val="008F0801"/>
    <w:rsid w:val="008F4441"/>
    <w:rsid w:val="008F70CC"/>
    <w:rsid w:val="009024C3"/>
    <w:rsid w:val="009034E4"/>
    <w:rsid w:val="00911357"/>
    <w:rsid w:val="00916449"/>
    <w:rsid w:val="00917461"/>
    <w:rsid w:val="00922731"/>
    <w:rsid w:val="00923C77"/>
    <w:rsid w:val="0092789D"/>
    <w:rsid w:val="00932726"/>
    <w:rsid w:val="00934451"/>
    <w:rsid w:val="00937EBB"/>
    <w:rsid w:val="00946BA9"/>
    <w:rsid w:val="00953C0F"/>
    <w:rsid w:val="009607E7"/>
    <w:rsid w:val="00961511"/>
    <w:rsid w:val="009625CF"/>
    <w:rsid w:val="009645CA"/>
    <w:rsid w:val="0096786F"/>
    <w:rsid w:val="00982F44"/>
    <w:rsid w:val="00983539"/>
    <w:rsid w:val="00984112"/>
    <w:rsid w:val="0099063E"/>
    <w:rsid w:val="009A107F"/>
    <w:rsid w:val="009A37E6"/>
    <w:rsid w:val="009B2046"/>
    <w:rsid w:val="009C076C"/>
    <w:rsid w:val="009C1488"/>
    <w:rsid w:val="009D4F74"/>
    <w:rsid w:val="009E334C"/>
    <w:rsid w:val="009E5AF7"/>
    <w:rsid w:val="009E5CF3"/>
    <w:rsid w:val="009E7949"/>
    <w:rsid w:val="009F030D"/>
    <w:rsid w:val="009F0672"/>
    <w:rsid w:val="009F4960"/>
    <w:rsid w:val="00A03BBF"/>
    <w:rsid w:val="00A06B49"/>
    <w:rsid w:val="00A11CE0"/>
    <w:rsid w:val="00A15AD4"/>
    <w:rsid w:val="00A16B38"/>
    <w:rsid w:val="00A2431F"/>
    <w:rsid w:val="00A33DA6"/>
    <w:rsid w:val="00A46E88"/>
    <w:rsid w:val="00A5216F"/>
    <w:rsid w:val="00A5722A"/>
    <w:rsid w:val="00A60E5C"/>
    <w:rsid w:val="00A636FC"/>
    <w:rsid w:val="00A637A2"/>
    <w:rsid w:val="00A71991"/>
    <w:rsid w:val="00A97D1E"/>
    <w:rsid w:val="00AA1FF6"/>
    <w:rsid w:val="00AA23A9"/>
    <w:rsid w:val="00AA3826"/>
    <w:rsid w:val="00AB1DBD"/>
    <w:rsid w:val="00AB3DB4"/>
    <w:rsid w:val="00AB5AED"/>
    <w:rsid w:val="00AB7611"/>
    <w:rsid w:val="00AB7BC6"/>
    <w:rsid w:val="00AC03AC"/>
    <w:rsid w:val="00AC329B"/>
    <w:rsid w:val="00AD1DAD"/>
    <w:rsid w:val="00AE22FB"/>
    <w:rsid w:val="00AF3D20"/>
    <w:rsid w:val="00AF4F42"/>
    <w:rsid w:val="00AF5EB3"/>
    <w:rsid w:val="00AF6C26"/>
    <w:rsid w:val="00B10231"/>
    <w:rsid w:val="00B10369"/>
    <w:rsid w:val="00B11A72"/>
    <w:rsid w:val="00B2231F"/>
    <w:rsid w:val="00B22871"/>
    <w:rsid w:val="00B22E70"/>
    <w:rsid w:val="00B24909"/>
    <w:rsid w:val="00B5208B"/>
    <w:rsid w:val="00B540F7"/>
    <w:rsid w:val="00B61344"/>
    <w:rsid w:val="00B65AEF"/>
    <w:rsid w:val="00B669EE"/>
    <w:rsid w:val="00B739B8"/>
    <w:rsid w:val="00B8195C"/>
    <w:rsid w:val="00B84145"/>
    <w:rsid w:val="00B85730"/>
    <w:rsid w:val="00B9401D"/>
    <w:rsid w:val="00B95069"/>
    <w:rsid w:val="00BA7EA5"/>
    <w:rsid w:val="00BB1170"/>
    <w:rsid w:val="00BB321B"/>
    <w:rsid w:val="00BB5708"/>
    <w:rsid w:val="00BB5DC7"/>
    <w:rsid w:val="00BB711D"/>
    <w:rsid w:val="00BC18DD"/>
    <w:rsid w:val="00BC1A04"/>
    <w:rsid w:val="00BC1D99"/>
    <w:rsid w:val="00BC4A79"/>
    <w:rsid w:val="00BD331B"/>
    <w:rsid w:val="00BF3A0D"/>
    <w:rsid w:val="00C2713A"/>
    <w:rsid w:val="00C30046"/>
    <w:rsid w:val="00C318A6"/>
    <w:rsid w:val="00C32B8F"/>
    <w:rsid w:val="00C4560B"/>
    <w:rsid w:val="00C45A74"/>
    <w:rsid w:val="00C50BFF"/>
    <w:rsid w:val="00C567D0"/>
    <w:rsid w:val="00C61307"/>
    <w:rsid w:val="00C6585C"/>
    <w:rsid w:val="00C70BC3"/>
    <w:rsid w:val="00C75230"/>
    <w:rsid w:val="00C85D78"/>
    <w:rsid w:val="00C92DEE"/>
    <w:rsid w:val="00C95870"/>
    <w:rsid w:val="00CB0480"/>
    <w:rsid w:val="00CD15C9"/>
    <w:rsid w:val="00CD47D8"/>
    <w:rsid w:val="00CE1A03"/>
    <w:rsid w:val="00CE477C"/>
    <w:rsid w:val="00CE7374"/>
    <w:rsid w:val="00CF7612"/>
    <w:rsid w:val="00D00D51"/>
    <w:rsid w:val="00D051E0"/>
    <w:rsid w:val="00D05333"/>
    <w:rsid w:val="00D112AE"/>
    <w:rsid w:val="00D20BB1"/>
    <w:rsid w:val="00D241DE"/>
    <w:rsid w:val="00D33041"/>
    <w:rsid w:val="00D365F4"/>
    <w:rsid w:val="00D37013"/>
    <w:rsid w:val="00D414FB"/>
    <w:rsid w:val="00D50639"/>
    <w:rsid w:val="00D612E3"/>
    <w:rsid w:val="00D61FBB"/>
    <w:rsid w:val="00D73591"/>
    <w:rsid w:val="00D779F6"/>
    <w:rsid w:val="00D82CEF"/>
    <w:rsid w:val="00D864F3"/>
    <w:rsid w:val="00D9144A"/>
    <w:rsid w:val="00D97E11"/>
    <w:rsid w:val="00DA3287"/>
    <w:rsid w:val="00DB0144"/>
    <w:rsid w:val="00DB19A3"/>
    <w:rsid w:val="00DB2522"/>
    <w:rsid w:val="00DB3429"/>
    <w:rsid w:val="00DB3A7A"/>
    <w:rsid w:val="00DB4EFE"/>
    <w:rsid w:val="00DB6A58"/>
    <w:rsid w:val="00DC121B"/>
    <w:rsid w:val="00DC2373"/>
    <w:rsid w:val="00DC3D7C"/>
    <w:rsid w:val="00DD0B88"/>
    <w:rsid w:val="00DD3FCC"/>
    <w:rsid w:val="00DD5E35"/>
    <w:rsid w:val="00DE5F53"/>
    <w:rsid w:val="00DF2DBF"/>
    <w:rsid w:val="00E003B7"/>
    <w:rsid w:val="00E1342D"/>
    <w:rsid w:val="00E17483"/>
    <w:rsid w:val="00E33AD2"/>
    <w:rsid w:val="00E36D58"/>
    <w:rsid w:val="00E40F99"/>
    <w:rsid w:val="00E41A6F"/>
    <w:rsid w:val="00E41E6B"/>
    <w:rsid w:val="00E51F47"/>
    <w:rsid w:val="00E5239E"/>
    <w:rsid w:val="00E5628D"/>
    <w:rsid w:val="00E61DE0"/>
    <w:rsid w:val="00E664FB"/>
    <w:rsid w:val="00E704A6"/>
    <w:rsid w:val="00E73FE2"/>
    <w:rsid w:val="00E74DDF"/>
    <w:rsid w:val="00E75170"/>
    <w:rsid w:val="00E755DB"/>
    <w:rsid w:val="00E8398C"/>
    <w:rsid w:val="00E932D4"/>
    <w:rsid w:val="00E942FA"/>
    <w:rsid w:val="00E947F2"/>
    <w:rsid w:val="00E97D5C"/>
    <w:rsid w:val="00EA25BA"/>
    <w:rsid w:val="00EC0F05"/>
    <w:rsid w:val="00EC348A"/>
    <w:rsid w:val="00EC4F7B"/>
    <w:rsid w:val="00EC64ED"/>
    <w:rsid w:val="00EC6573"/>
    <w:rsid w:val="00ED35A6"/>
    <w:rsid w:val="00EE1333"/>
    <w:rsid w:val="00EE72D1"/>
    <w:rsid w:val="00EF03BD"/>
    <w:rsid w:val="00EF21CE"/>
    <w:rsid w:val="00EF4F92"/>
    <w:rsid w:val="00EF61E0"/>
    <w:rsid w:val="00EF7F08"/>
    <w:rsid w:val="00EF7FFD"/>
    <w:rsid w:val="00F0669E"/>
    <w:rsid w:val="00F23588"/>
    <w:rsid w:val="00F279B6"/>
    <w:rsid w:val="00F31E9F"/>
    <w:rsid w:val="00F339B5"/>
    <w:rsid w:val="00F36CF4"/>
    <w:rsid w:val="00F40AB1"/>
    <w:rsid w:val="00F431E0"/>
    <w:rsid w:val="00F4497A"/>
    <w:rsid w:val="00F44D68"/>
    <w:rsid w:val="00F46244"/>
    <w:rsid w:val="00F464EA"/>
    <w:rsid w:val="00F465DA"/>
    <w:rsid w:val="00F56C4D"/>
    <w:rsid w:val="00F63B95"/>
    <w:rsid w:val="00F6700C"/>
    <w:rsid w:val="00F67497"/>
    <w:rsid w:val="00F72062"/>
    <w:rsid w:val="00F740FC"/>
    <w:rsid w:val="00F7442B"/>
    <w:rsid w:val="00F7515E"/>
    <w:rsid w:val="00F83558"/>
    <w:rsid w:val="00F85CB0"/>
    <w:rsid w:val="00F87DD5"/>
    <w:rsid w:val="00F92E24"/>
    <w:rsid w:val="00F93E4F"/>
    <w:rsid w:val="00F969F6"/>
    <w:rsid w:val="00FA2F94"/>
    <w:rsid w:val="00FA7E24"/>
    <w:rsid w:val="00FB4E2A"/>
    <w:rsid w:val="00FB51D2"/>
    <w:rsid w:val="00FC21C7"/>
    <w:rsid w:val="00FC5525"/>
    <w:rsid w:val="00FE0DD2"/>
    <w:rsid w:val="00FF51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colormru v:ext="edit" colors="#cce8dc"/>
      <o:colormenu v:ext="edit" fillcolor="none"/>
    </o:shapedefaults>
    <o:shapelayout v:ext="edit">
      <o:idmap v:ext="edit" data="1"/>
    </o:shapelayout>
  </w:shapeDefaults>
  <w:decimalSymbol w:val="."/>
  <w:listSeparator w:val=","/>
  <w14:docId w14:val="6BB55F41"/>
  <w15:docId w15:val="{79F70303-34EC-464D-AC16-B4F797E5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link w:val="ab"/>
    <w:uiPriority w:val="99"/>
    <w:unhideWhenUsed/>
    <w:rsid w:val="00431772"/>
    <w:pPr>
      <w:tabs>
        <w:tab w:val="center" w:pos="4153"/>
        <w:tab w:val="right" w:pos="8306"/>
      </w:tabs>
      <w:snapToGrid w:val="0"/>
    </w:pPr>
    <w:rPr>
      <w:sz w:val="20"/>
    </w:rPr>
  </w:style>
  <w:style w:type="character" w:customStyle="1" w:styleId="ab">
    <w:name w:val="頁首 字元"/>
    <w:basedOn w:val="a0"/>
    <w:link w:val="aa"/>
    <w:uiPriority w:val="99"/>
    <w:rsid w:val="00431772"/>
    <w:rPr>
      <w:kern w:val="2"/>
    </w:rPr>
  </w:style>
  <w:style w:type="paragraph" w:styleId="ac">
    <w:name w:val="footer"/>
    <w:basedOn w:val="a"/>
    <w:link w:val="ad"/>
    <w:uiPriority w:val="99"/>
    <w:unhideWhenUsed/>
    <w:qFormat/>
    <w:rsid w:val="00431772"/>
    <w:pPr>
      <w:tabs>
        <w:tab w:val="center" w:pos="4153"/>
        <w:tab w:val="right" w:pos="8306"/>
      </w:tabs>
      <w:snapToGrid w:val="0"/>
    </w:pPr>
    <w:rPr>
      <w:sz w:val="20"/>
    </w:rPr>
  </w:style>
  <w:style w:type="character" w:customStyle="1" w:styleId="ad">
    <w:name w:val="頁尾 字元"/>
    <w:basedOn w:val="a0"/>
    <w:link w:val="ac"/>
    <w:uiPriority w:val="99"/>
    <w:qFormat/>
    <w:rsid w:val="00431772"/>
    <w:rPr>
      <w:kern w:val="2"/>
    </w:rPr>
  </w:style>
  <w:style w:type="paragraph" w:customStyle="1" w:styleId="1232">
    <w:name w:val="內文123"/>
    <w:qFormat/>
    <w:rsid w:val="000C607B"/>
    <w:pPr>
      <w:overflowPunct w:val="0"/>
      <w:ind w:firstLineChars="450" w:firstLine="450"/>
      <w:jc w:val="both"/>
    </w:pPr>
    <w:rPr>
      <w:rFonts w:ascii="標楷體" w:eastAsia="標楷體" w:hAnsi="標楷體" w:cs="標楷體"/>
      <w:b/>
      <w:kern w:val="2"/>
      <w:sz w:val="24"/>
      <w:szCs w:val="24"/>
    </w:rPr>
  </w:style>
  <w:style w:type="paragraph" w:styleId="ae">
    <w:name w:val="Balloon Text"/>
    <w:basedOn w:val="a"/>
    <w:link w:val="af"/>
    <w:uiPriority w:val="99"/>
    <w:semiHidden/>
    <w:unhideWhenUsed/>
    <w:rsid w:val="00D97E11"/>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97E11"/>
    <w:rPr>
      <w:rFonts w:asciiTheme="majorHAnsi" w:eastAsiaTheme="majorEastAsia" w:hAnsiTheme="majorHAnsi" w:cstheme="majorBidi"/>
      <w:kern w:val="2"/>
      <w:sz w:val="18"/>
      <w:szCs w:val="18"/>
    </w:rPr>
  </w:style>
  <w:style w:type="paragraph" w:styleId="af0">
    <w:name w:val="List Paragraph"/>
    <w:basedOn w:val="a"/>
    <w:uiPriority w:val="34"/>
    <w:qFormat/>
    <w:rsid w:val="006A1C41"/>
    <w:pPr>
      <w:ind w:leftChars="200" w:left="480"/>
    </w:pPr>
  </w:style>
  <w:style w:type="table" w:styleId="af1">
    <w:name w:val="Table Grid"/>
    <w:basedOn w:val="a1"/>
    <w:uiPriority w:val="59"/>
    <w:rsid w:val="00DD0B88"/>
    <w:pPr>
      <w:widowControl w:val="0"/>
      <w:adjustRightInd w:val="0"/>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圖表資料來源"/>
    <w:basedOn w:val="a"/>
    <w:link w:val="af3"/>
    <w:qFormat/>
    <w:rsid w:val="0099063E"/>
    <w:pPr>
      <w:adjustRightInd w:val="0"/>
      <w:spacing w:line="240" w:lineRule="exact"/>
      <w:ind w:left="180" w:hanging="180"/>
      <w:jc w:val="both"/>
      <w:textAlignment w:val="baseline"/>
    </w:pPr>
    <w:rPr>
      <w:rFonts w:ascii="標楷體" w:eastAsia="標楷體" w:hAnsi="標楷體"/>
      <w:kern w:val="0"/>
      <w:sz w:val="18"/>
      <w:szCs w:val="18"/>
    </w:rPr>
  </w:style>
  <w:style w:type="character" w:customStyle="1" w:styleId="af3">
    <w:name w:val="圖表資料來源 字元"/>
    <w:link w:val="af2"/>
    <w:rsid w:val="0099063E"/>
    <w:rPr>
      <w:rFonts w:ascii="標楷體" w:eastAsia="標楷體" w:hAnsi="標楷體"/>
      <w:sz w:val="18"/>
      <w:szCs w:val="18"/>
    </w:rPr>
  </w:style>
  <w:style w:type="paragraph" w:customStyle="1" w:styleId="-">
    <w:name w:val="圖表內容-文字"/>
    <w:basedOn w:val="a"/>
    <w:qFormat/>
    <w:rsid w:val="0099063E"/>
    <w:pPr>
      <w:overflowPunct w:val="0"/>
      <w:snapToGrid w:val="0"/>
      <w:spacing w:line="240" w:lineRule="exact"/>
      <w:jc w:val="center"/>
    </w:pPr>
    <w:rPr>
      <w:rFonts w:ascii="標楷體" w:eastAsia="標楷體" w:hAnsi="新細明體" w:cs="標楷體"/>
      <w:color w:val="000000" w:themeColor="text1"/>
      <w:sz w:val="20"/>
      <w:szCs w:val="24"/>
    </w:rPr>
  </w:style>
  <w:style w:type="paragraph" w:customStyle="1" w:styleId="--">
    <w:name w:val="圖表內容-文字-表上項目(置中)"/>
    <w:basedOn w:val="a"/>
    <w:autoRedefine/>
    <w:qFormat/>
    <w:rsid w:val="0099063E"/>
    <w:pPr>
      <w:overflowPunct w:val="0"/>
      <w:snapToGrid w:val="0"/>
      <w:spacing w:line="240" w:lineRule="exact"/>
      <w:jc w:val="center"/>
    </w:pPr>
    <w:rPr>
      <w:rFonts w:ascii="標楷體" w:eastAsia="標楷體" w:hAnsi="標楷體" w:cs="標楷體"/>
      <w:b/>
      <w:bCs/>
      <w:color w:val="000000" w:themeColor="text1"/>
      <w:kern w:val="0"/>
      <w:sz w:val="20"/>
    </w:rPr>
  </w:style>
  <w:style w:type="paragraph" w:customStyle="1" w:styleId="--0">
    <w:name w:val="圖表內容-文字-表左項目(置中)"/>
    <w:basedOn w:val="a"/>
    <w:qFormat/>
    <w:rsid w:val="0099063E"/>
    <w:pPr>
      <w:adjustRightInd w:val="0"/>
      <w:spacing w:line="240" w:lineRule="exact"/>
      <w:jc w:val="center"/>
      <w:textAlignment w:val="baseline"/>
    </w:pPr>
    <w:rPr>
      <w:rFonts w:ascii="標楷體" w:eastAsia="標楷體" w:hAnsi="標楷體"/>
      <w:color w:val="000000" w:themeColor="text1"/>
      <w:sz w:val="20"/>
    </w:rPr>
  </w:style>
  <w:style w:type="paragraph" w:customStyle="1" w:styleId="-0">
    <w:name w:val="圖表名稱-雙行"/>
    <w:basedOn w:val="a"/>
    <w:qFormat/>
    <w:rsid w:val="0099063E"/>
    <w:pPr>
      <w:kinsoku w:val="0"/>
      <w:overflowPunct w:val="0"/>
      <w:adjustRightInd w:val="0"/>
      <w:snapToGrid w:val="0"/>
      <w:spacing w:after="60" w:line="320" w:lineRule="exact"/>
      <w:ind w:left="300" w:hangingChars="300" w:hanging="300"/>
      <w:jc w:val="both"/>
      <w:textAlignment w:val="baseline"/>
    </w:pPr>
    <w:rPr>
      <w:rFonts w:ascii="標楷體" w:eastAsia="標楷體" w:hAnsi="標楷體"/>
      <w:b/>
      <w:kern w:val="0"/>
      <w:szCs w:val="28"/>
    </w:rPr>
  </w:style>
  <w:style w:type="paragraph" w:customStyle="1" w:styleId="af4">
    <w:name w:val="圖表單位"/>
    <w:basedOn w:val="a"/>
    <w:qFormat/>
    <w:rsid w:val="0099063E"/>
    <w:pPr>
      <w:wordWrap w:val="0"/>
      <w:adjustRightInd w:val="0"/>
      <w:spacing w:line="340" w:lineRule="exact"/>
      <w:jc w:val="right"/>
      <w:textAlignment w:val="baseline"/>
    </w:pPr>
    <w:rPr>
      <w:rFonts w:ascii="標楷體" w:eastAsia="標楷體" w:hAnsi="標楷體"/>
      <w:noProof/>
      <w:color w:val="000000" w:themeColor="text1"/>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pei\AppData\Local\Temp\2f9SASCJbP8sVz&#21443;&#32771;&#36039;&#26009;-&#25910;&#25903;&#39192;&#32064;&#23529;&#23450;&#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FA85F-6B23-4C03-B0F9-38340B535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2f9SASCJbP8sVz參考資料-收支餘絀審定表</Template>
  <TotalTime>28</TotalTime>
  <Pages>2</Pages>
  <Words>1411</Words>
  <Characters>222</Characters>
  <Application>Microsoft Office Word</Application>
  <DocSecurity>0</DocSecurity>
  <Lines>1</Lines>
  <Paragraphs>3</Paragraphs>
  <ScaleCrop>false</ScaleCrop>
  <Company>審計部</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creator>吳怡霈</dc:creator>
  <cp:lastModifiedBy>吳怡霈</cp:lastModifiedBy>
  <cp:revision>25</cp:revision>
  <cp:lastPrinted>2026-07-07T06:29:00Z</cp:lastPrinted>
  <dcterms:created xsi:type="dcterms:W3CDTF">2026-07-01T06:19:00Z</dcterms:created>
  <dcterms:modified xsi:type="dcterms:W3CDTF">2026-07-08T01:56:00Z</dcterms:modified>
</cp:coreProperties>
</file>