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14FD" w14:textId="031AB9BD" w:rsidR="004B4192" w:rsidRPr="00A75BE1" w:rsidRDefault="004B4192" w:rsidP="0080716A">
      <w:pPr>
        <w:overflowPunct w:val="0"/>
        <w:spacing w:line="520" w:lineRule="exact"/>
        <w:rPr>
          <w:rFonts w:ascii="標楷體" w:eastAsia="標楷體" w:hAnsi="標楷體" w:cs="Times New Roman"/>
          <w:b/>
          <w:sz w:val="32"/>
          <w:szCs w:val="40"/>
        </w:rPr>
      </w:pPr>
      <w:bookmarkStart w:id="0" w:name="_Toc12786070"/>
      <w:bookmarkStart w:id="1" w:name="八、原子能委員會主管"/>
      <w:r w:rsidRPr="00A75BE1">
        <w:rPr>
          <w:rFonts w:ascii="標楷體" w:eastAsia="標楷體" w:hAnsi="標楷體" w:cs="Times New Roman" w:hint="eastAsia"/>
          <w:b/>
          <w:sz w:val="32"/>
          <w:szCs w:val="40"/>
        </w:rPr>
        <w:t>八、核能安全委員會主管</w:t>
      </w:r>
      <w:bookmarkEnd w:id="0"/>
    </w:p>
    <w:p w14:paraId="36B0E223" w14:textId="77777777" w:rsidR="004B4192" w:rsidRPr="00A75BE1" w:rsidRDefault="004B4192" w:rsidP="00227CFB">
      <w:pPr>
        <w:overflowPunct w:val="0"/>
        <w:spacing w:line="540" w:lineRule="exact"/>
        <w:ind w:firstLineChars="150" w:firstLine="480"/>
        <w:rPr>
          <w:rFonts w:ascii="標楷體" w:eastAsia="標楷體" w:hAnsi="標楷體" w:cs="Times New Roman"/>
          <w:b/>
          <w:sz w:val="32"/>
          <w:szCs w:val="40"/>
        </w:rPr>
      </w:pPr>
      <w:bookmarkStart w:id="2" w:name="_Toc12786071"/>
      <w:bookmarkEnd w:id="1"/>
      <w:r w:rsidRPr="00A75BE1">
        <w:rPr>
          <w:rFonts w:ascii="標楷體" w:eastAsia="標楷體" w:hAnsi="標楷體" w:cs="Times New Roman" w:hint="eastAsia"/>
          <w:b/>
          <w:sz w:val="32"/>
          <w:szCs w:val="40"/>
        </w:rPr>
        <w:t>核子事故緊急應變基金</w:t>
      </w:r>
      <w:bookmarkEnd w:id="2"/>
    </w:p>
    <w:p w14:paraId="3AE02358" w14:textId="054AB882" w:rsidR="004B4192" w:rsidRPr="004B1DCA" w:rsidRDefault="004B4192" w:rsidP="00DF5FB1">
      <w:pPr>
        <w:overflowPunct w:val="0"/>
        <w:spacing w:line="540" w:lineRule="exact"/>
        <w:ind w:firstLineChars="200" w:firstLine="480"/>
        <w:jc w:val="both"/>
        <w:rPr>
          <w:rFonts w:ascii="標楷體" w:eastAsia="標楷體" w:hAnsi="標楷體" w:cs="Times New Roman"/>
          <w:szCs w:val="32"/>
        </w:rPr>
      </w:pPr>
      <w:r w:rsidRPr="00A75BE1">
        <w:rPr>
          <w:rFonts w:ascii="標楷體" w:eastAsia="標楷體" w:hAnsi="標楷體" w:cs="Times New Roman" w:hint="eastAsia"/>
          <w:szCs w:val="32"/>
        </w:rPr>
        <w:t>政府為落實核子事故緊急</w:t>
      </w:r>
      <w:r w:rsidRPr="004B1DCA">
        <w:rPr>
          <w:rFonts w:ascii="標楷體" w:eastAsia="標楷體" w:hAnsi="標楷體" w:cs="Times New Roman" w:hint="eastAsia"/>
          <w:szCs w:val="32"/>
        </w:rPr>
        <w:t>應變整備措施及因應緊急應變作業之需要，依據核子事故緊急應變法規定，設立核子事故緊急應變基金。該基金11</w:t>
      </w:r>
      <w:r w:rsidR="00A75BE1" w:rsidRPr="004B1DCA">
        <w:rPr>
          <w:rFonts w:ascii="標楷體" w:eastAsia="標楷體" w:hAnsi="標楷體" w:cs="Times New Roman"/>
          <w:szCs w:val="32"/>
        </w:rPr>
        <w:t>4</w:t>
      </w:r>
      <w:r w:rsidRPr="004B1DCA">
        <w:rPr>
          <w:rFonts w:ascii="標楷體" w:eastAsia="標楷體" w:hAnsi="標楷體" w:cs="Times New Roman" w:hint="eastAsia"/>
          <w:szCs w:val="32"/>
        </w:rPr>
        <w:t>年度各項業務計畫及預算之執行等，經予書面審核，並</w:t>
      </w:r>
      <w:r w:rsidR="00A75BE1" w:rsidRPr="004B1DCA">
        <w:rPr>
          <w:rFonts w:ascii="標楷體" w:eastAsia="標楷體" w:hAnsi="標楷體" w:cs="Times New Roman" w:hint="eastAsia"/>
          <w:szCs w:val="32"/>
        </w:rPr>
        <w:t>於期中</w:t>
      </w:r>
      <w:r w:rsidRPr="004B1DCA">
        <w:rPr>
          <w:rFonts w:ascii="標楷體" w:eastAsia="標楷體" w:hAnsi="標楷體" w:cs="Times New Roman" w:hint="eastAsia"/>
          <w:szCs w:val="32"/>
        </w:rPr>
        <w:t>派員就地抽查，茲將查核結果說明如次：</w:t>
      </w:r>
    </w:p>
    <w:p w14:paraId="43B8BD83" w14:textId="77777777" w:rsidR="004B4192" w:rsidRPr="004B1DCA" w:rsidRDefault="004B4192" w:rsidP="00DF5FB1">
      <w:pPr>
        <w:widowControl/>
        <w:overflowPunct w:val="0"/>
        <w:spacing w:line="540" w:lineRule="exact"/>
        <w:ind w:firstLineChars="450" w:firstLine="1261"/>
        <w:jc w:val="both"/>
        <w:rPr>
          <w:rFonts w:ascii="標楷體" w:eastAsia="標楷體" w:hAnsi="標楷體" w:cs="標楷體"/>
          <w:b/>
          <w:sz w:val="28"/>
          <w:szCs w:val="28"/>
        </w:rPr>
      </w:pPr>
      <w:r w:rsidRPr="004B1DCA">
        <w:rPr>
          <w:rFonts w:ascii="標楷體" w:eastAsia="標楷體" w:hAnsi="標楷體" w:cs="標楷體" w:hint="eastAsia"/>
          <w:b/>
          <w:sz w:val="28"/>
          <w:szCs w:val="28"/>
        </w:rPr>
        <w:t>1.　業務計畫實施情形之查核</w:t>
      </w:r>
    </w:p>
    <w:p w14:paraId="214B1C90" w14:textId="38F92473" w:rsidR="004B4192" w:rsidRPr="004B1DCA" w:rsidRDefault="004B4192" w:rsidP="00DF5FB1">
      <w:pPr>
        <w:overflowPunct w:val="0"/>
        <w:spacing w:afterLines="20" w:after="72" w:line="540" w:lineRule="exact"/>
        <w:ind w:firstLineChars="200" w:firstLine="480"/>
        <w:jc w:val="both"/>
        <w:rPr>
          <w:rFonts w:ascii="標楷體" w:eastAsia="標楷體" w:hAnsi="標楷體" w:cs="Times New Roman"/>
          <w:szCs w:val="32"/>
        </w:rPr>
      </w:pPr>
      <w:r w:rsidRPr="004B1DCA">
        <w:rPr>
          <w:rFonts w:ascii="標楷體" w:eastAsia="標楷體" w:hAnsi="標楷體" w:cs="Times New Roman" w:hint="eastAsia"/>
          <w:szCs w:val="32"/>
        </w:rPr>
        <w:t>該基金主要業務係辦理核子事故中央災害應變工作、核子事故輻射監測工作、核子事故支援工作、核子事故地方災害應變工作等。11</w:t>
      </w:r>
      <w:r w:rsidR="00A75BE1" w:rsidRPr="004B1DCA">
        <w:rPr>
          <w:rFonts w:ascii="標楷體" w:eastAsia="標楷體" w:hAnsi="標楷體" w:cs="Times New Roman"/>
          <w:szCs w:val="32"/>
        </w:rPr>
        <w:t>4</w:t>
      </w:r>
      <w:r w:rsidRPr="004B1DCA">
        <w:rPr>
          <w:rFonts w:ascii="標楷體" w:eastAsia="標楷體" w:hAnsi="標楷體" w:cs="Times New Roman" w:hint="eastAsia"/>
          <w:szCs w:val="32"/>
        </w:rPr>
        <w:t>年度業務計畫4項，實施結果，實際數</w:t>
      </w:r>
      <w:r w:rsidR="0043646D" w:rsidRPr="004B1DCA">
        <w:rPr>
          <w:rFonts w:ascii="標楷體" w:eastAsia="標楷體" w:hAnsi="標楷體" w:cs="Times New Roman" w:hint="eastAsia"/>
          <w:szCs w:val="32"/>
        </w:rPr>
        <w:t>均</w:t>
      </w:r>
      <w:r w:rsidRPr="004B1DCA">
        <w:rPr>
          <w:rFonts w:ascii="標楷體" w:eastAsia="標楷體" w:hAnsi="標楷體" w:cs="Times New Roman" w:hint="eastAsia"/>
          <w:szCs w:val="32"/>
        </w:rPr>
        <w:t>較原預計減少</w:t>
      </w:r>
      <w:r w:rsidR="00753C6F" w:rsidRPr="004B1DCA">
        <w:rPr>
          <w:rFonts w:ascii="標楷體" w:eastAsia="標楷體" w:hAnsi="標楷體" w:cs="Times New Roman" w:hint="eastAsia"/>
          <w:szCs w:val="32"/>
        </w:rPr>
        <w:t>，</w:t>
      </w:r>
      <w:r w:rsidRPr="004B1DCA">
        <w:rPr>
          <w:rFonts w:ascii="標楷體" w:eastAsia="標楷體" w:hAnsi="標楷體" w:cs="Times New Roman" w:hint="eastAsia"/>
          <w:szCs w:val="32"/>
        </w:rPr>
        <w:t>其執行情形列表如次：</w:t>
      </w:r>
    </w:p>
    <w:tbl>
      <w:tblPr>
        <w:tblW w:w="4970" w:type="pct"/>
        <w:jc w:val="center"/>
        <w:tblCellMar>
          <w:left w:w="28" w:type="dxa"/>
          <w:right w:w="57" w:type="dxa"/>
        </w:tblCellMar>
        <w:tblLook w:val="0000" w:firstRow="0" w:lastRow="0" w:firstColumn="0" w:lastColumn="0" w:noHBand="0" w:noVBand="0"/>
      </w:tblPr>
      <w:tblGrid>
        <w:gridCol w:w="2027"/>
        <w:gridCol w:w="791"/>
        <w:gridCol w:w="1189"/>
        <w:gridCol w:w="1152"/>
        <w:gridCol w:w="1067"/>
        <w:gridCol w:w="864"/>
        <w:gridCol w:w="3053"/>
      </w:tblGrid>
      <w:tr w:rsidR="001468F2" w:rsidRPr="00C75452" w14:paraId="136626C6" w14:textId="77777777" w:rsidTr="003414A8">
        <w:trPr>
          <w:cantSplit/>
          <w:trHeight w:val="340"/>
          <w:jc w:val="center"/>
        </w:trPr>
        <w:tc>
          <w:tcPr>
            <w:tcW w:w="999" w:type="pct"/>
            <w:vMerge w:val="restart"/>
            <w:tcBorders>
              <w:top w:val="single" w:sz="8" w:space="0" w:color="auto"/>
              <w:right w:val="single" w:sz="4" w:space="0" w:color="auto"/>
            </w:tcBorders>
            <w:vAlign w:val="center"/>
          </w:tcPr>
          <w:p w14:paraId="59938F36"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r w:rsidRPr="00C75452">
              <w:rPr>
                <w:rFonts w:ascii="標楷體" w:eastAsia="標楷體" w:hAnsi="標楷體" w:cs="Times New Roman" w:hint="eastAsia"/>
                <w:bCs/>
                <w:sz w:val="22"/>
                <w:szCs w:val="24"/>
              </w:rPr>
              <w:t>項目</w:t>
            </w:r>
          </w:p>
        </w:tc>
        <w:tc>
          <w:tcPr>
            <w:tcW w:w="390" w:type="pct"/>
            <w:vMerge w:val="restart"/>
            <w:tcBorders>
              <w:top w:val="single" w:sz="8" w:space="0" w:color="auto"/>
              <w:left w:val="single" w:sz="4" w:space="0" w:color="auto"/>
              <w:right w:val="single" w:sz="4" w:space="0" w:color="auto"/>
            </w:tcBorders>
            <w:vAlign w:val="center"/>
          </w:tcPr>
          <w:p w14:paraId="0CE9EEBA"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r w:rsidRPr="00C75452">
              <w:rPr>
                <w:rFonts w:ascii="標楷體" w:eastAsia="標楷體" w:hAnsi="標楷體" w:cs="Times New Roman" w:hint="eastAsia"/>
                <w:bCs/>
                <w:sz w:val="22"/>
                <w:szCs w:val="24"/>
              </w:rPr>
              <w:t>單位</w:t>
            </w:r>
          </w:p>
        </w:tc>
        <w:tc>
          <w:tcPr>
            <w:tcW w:w="586" w:type="pct"/>
            <w:vMerge w:val="restart"/>
            <w:tcBorders>
              <w:top w:val="single" w:sz="8" w:space="0" w:color="auto"/>
              <w:left w:val="single" w:sz="4" w:space="0" w:color="auto"/>
              <w:right w:val="single" w:sz="4" w:space="0" w:color="auto"/>
            </w:tcBorders>
            <w:vAlign w:val="center"/>
          </w:tcPr>
          <w:p w14:paraId="0577FC76"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r w:rsidRPr="00C75452">
              <w:rPr>
                <w:rFonts w:ascii="標楷體" w:eastAsia="標楷體" w:hAnsi="標楷體" w:cs="Times New Roman" w:hint="eastAsia"/>
                <w:bCs/>
                <w:sz w:val="22"/>
                <w:szCs w:val="24"/>
              </w:rPr>
              <w:t>預計數</w:t>
            </w:r>
          </w:p>
        </w:tc>
        <w:tc>
          <w:tcPr>
            <w:tcW w:w="568" w:type="pct"/>
            <w:vMerge w:val="restart"/>
            <w:tcBorders>
              <w:top w:val="single" w:sz="8" w:space="0" w:color="auto"/>
              <w:left w:val="single" w:sz="4" w:space="0" w:color="auto"/>
              <w:right w:val="single" w:sz="4" w:space="0" w:color="auto"/>
            </w:tcBorders>
            <w:vAlign w:val="center"/>
          </w:tcPr>
          <w:p w14:paraId="671CF8C2"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r w:rsidRPr="00C75452">
              <w:rPr>
                <w:rFonts w:ascii="標楷體" w:eastAsia="標楷體" w:hAnsi="標楷體" w:cs="Times New Roman" w:hint="eastAsia"/>
                <w:bCs/>
                <w:sz w:val="22"/>
                <w:szCs w:val="24"/>
              </w:rPr>
              <w:t>實際數</w:t>
            </w:r>
          </w:p>
        </w:tc>
        <w:tc>
          <w:tcPr>
            <w:tcW w:w="2457" w:type="pct"/>
            <w:gridSpan w:val="3"/>
            <w:tcBorders>
              <w:top w:val="single" w:sz="8" w:space="0" w:color="auto"/>
              <w:left w:val="single" w:sz="4" w:space="0" w:color="auto"/>
              <w:bottom w:val="single" w:sz="4" w:space="0" w:color="auto"/>
            </w:tcBorders>
            <w:vAlign w:val="center"/>
          </w:tcPr>
          <w:p w14:paraId="5D8005AA"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r w:rsidRPr="00C75452">
              <w:rPr>
                <w:rFonts w:ascii="標楷體" w:eastAsia="標楷體" w:hAnsi="標楷體" w:cs="Times New Roman" w:hint="eastAsia"/>
                <w:bCs/>
                <w:sz w:val="22"/>
                <w:szCs w:val="24"/>
              </w:rPr>
              <w:t>比較增減</w:t>
            </w:r>
          </w:p>
        </w:tc>
      </w:tr>
      <w:tr w:rsidR="001468F2" w:rsidRPr="00C75452" w14:paraId="52DFE8DC" w14:textId="77777777" w:rsidTr="003414A8">
        <w:trPr>
          <w:cantSplit/>
          <w:trHeight w:val="340"/>
          <w:jc w:val="center"/>
        </w:trPr>
        <w:tc>
          <w:tcPr>
            <w:tcW w:w="999" w:type="pct"/>
            <w:vMerge/>
            <w:tcBorders>
              <w:bottom w:val="single" w:sz="8" w:space="0" w:color="auto"/>
              <w:right w:val="single" w:sz="4" w:space="0" w:color="auto"/>
            </w:tcBorders>
          </w:tcPr>
          <w:p w14:paraId="50EA2F81"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p>
        </w:tc>
        <w:tc>
          <w:tcPr>
            <w:tcW w:w="390" w:type="pct"/>
            <w:vMerge/>
            <w:tcBorders>
              <w:left w:val="single" w:sz="4" w:space="0" w:color="auto"/>
              <w:bottom w:val="single" w:sz="8" w:space="0" w:color="auto"/>
              <w:right w:val="single" w:sz="4" w:space="0" w:color="auto"/>
            </w:tcBorders>
          </w:tcPr>
          <w:p w14:paraId="432D3CD5"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p>
        </w:tc>
        <w:tc>
          <w:tcPr>
            <w:tcW w:w="586" w:type="pct"/>
            <w:vMerge/>
            <w:tcBorders>
              <w:left w:val="single" w:sz="4" w:space="0" w:color="auto"/>
              <w:bottom w:val="single" w:sz="8" w:space="0" w:color="auto"/>
              <w:right w:val="single" w:sz="4" w:space="0" w:color="auto"/>
            </w:tcBorders>
          </w:tcPr>
          <w:p w14:paraId="39839078"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p>
        </w:tc>
        <w:tc>
          <w:tcPr>
            <w:tcW w:w="568" w:type="pct"/>
            <w:vMerge/>
            <w:tcBorders>
              <w:left w:val="single" w:sz="4" w:space="0" w:color="auto"/>
              <w:bottom w:val="single" w:sz="8" w:space="0" w:color="auto"/>
              <w:right w:val="single" w:sz="4" w:space="0" w:color="auto"/>
            </w:tcBorders>
          </w:tcPr>
          <w:p w14:paraId="074A2450"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p>
        </w:tc>
        <w:tc>
          <w:tcPr>
            <w:tcW w:w="526" w:type="pct"/>
            <w:tcBorders>
              <w:top w:val="single" w:sz="4" w:space="0" w:color="auto"/>
              <w:left w:val="single" w:sz="4" w:space="0" w:color="auto"/>
              <w:bottom w:val="single" w:sz="8" w:space="0" w:color="auto"/>
              <w:right w:val="single" w:sz="4" w:space="0" w:color="auto"/>
            </w:tcBorders>
            <w:vAlign w:val="center"/>
          </w:tcPr>
          <w:p w14:paraId="425FC6F0"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r w:rsidRPr="00C75452">
              <w:rPr>
                <w:rFonts w:ascii="標楷體" w:eastAsia="標楷體" w:hAnsi="標楷體" w:cs="Times New Roman" w:hint="eastAsia"/>
                <w:bCs/>
                <w:sz w:val="22"/>
                <w:szCs w:val="24"/>
              </w:rPr>
              <w:t>增減數</w:t>
            </w:r>
          </w:p>
        </w:tc>
        <w:tc>
          <w:tcPr>
            <w:tcW w:w="426" w:type="pct"/>
            <w:tcBorders>
              <w:top w:val="single" w:sz="4" w:space="0" w:color="auto"/>
              <w:left w:val="single" w:sz="4" w:space="0" w:color="auto"/>
              <w:bottom w:val="single" w:sz="8" w:space="0" w:color="auto"/>
              <w:right w:val="single" w:sz="4" w:space="0" w:color="auto"/>
            </w:tcBorders>
            <w:vAlign w:val="center"/>
          </w:tcPr>
          <w:p w14:paraId="6F5FAFAA"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r w:rsidRPr="00C75452">
              <w:rPr>
                <w:rFonts w:ascii="標楷體" w:eastAsia="標楷體" w:hAnsi="標楷體" w:cs="Times New Roman" w:hint="eastAsia"/>
                <w:bCs/>
                <w:sz w:val="22"/>
                <w:szCs w:val="24"/>
              </w:rPr>
              <w:t>％</w:t>
            </w:r>
          </w:p>
        </w:tc>
        <w:tc>
          <w:tcPr>
            <w:tcW w:w="1505" w:type="pct"/>
            <w:tcBorders>
              <w:top w:val="single" w:sz="4" w:space="0" w:color="auto"/>
              <w:left w:val="single" w:sz="4" w:space="0" w:color="auto"/>
              <w:bottom w:val="single" w:sz="8" w:space="0" w:color="auto"/>
            </w:tcBorders>
            <w:vAlign w:val="center"/>
          </w:tcPr>
          <w:p w14:paraId="44E2FBBA" w14:textId="77777777" w:rsidR="004B4192" w:rsidRPr="00C75452" w:rsidRDefault="004B4192" w:rsidP="0080716A">
            <w:pPr>
              <w:overflowPunct w:val="0"/>
              <w:spacing w:line="240" w:lineRule="exact"/>
              <w:jc w:val="distribute"/>
              <w:rPr>
                <w:rFonts w:ascii="標楷體" w:eastAsia="標楷體" w:hAnsi="標楷體" w:cs="Times New Roman"/>
                <w:bCs/>
                <w:sz w:val="22"/>
                <w:szCs w:val="24"/>
              </w:rPr>
            </w:pPr>
            <w:r w:rsidRPr="00C75452">
              <w:rPr>
                <w:rFonts w:ascii="標楷體" w:eastAsia="標楷體" w:hAnsi="標楷體" w:cs="Times New Roman" w:hint="eastAsia"/>
                <w:bCs/>
                <w:sz w:val="22"/>
                <w:szCs w:val="24"/>
              </w:rPr>
              <w:t>原因</w:t>
            </w:r>
          </w:p>
        </w:tc>
      </w:tr>
      <w:tr w:rsidR="00C75452" w:rsidRPr="00C75452" w14:paraId="5DA1CC8F" w14:textId="77777777" w:rsidTr="00EF27A8">
        <w:trPr>
          <w:cantSplit/>
          <w:trHeight w:val="113"/>
          <w:jc w:val="center"/>
        </w:trPr>
        <w:tc>
          <w:tcPr>
            <w:tcW w:w="999" w:type="pct"/>
            <w:tcBorders>
              <w:right w:val="single" w:sz="4" w:space="0" w:color="auto"/>
            </w:tcBorders>
          </w:tcPr>
          <w:p w14:paraId="72F5150A" w14:textId="77777777" w:rsidR="00C75452" w:rsidRPr="00C75452" w:rsidRDefault="00C75452" w:rsidP="00C75452">
            <w:pPr>
              <w:overflowPunct w:val="0"/>
              <w:spacing w:beforeLines="5" w:before="18" w:afterLines="5" w:after="18" w:line="240" w:lineRule="exact"/>
              <w:jc w:val="distribute"/>
              <w:rPr>
                <w:rFonts w:ascii="標楷體" w:eastAsia="標楷體" w:hAnsi="標楷體" w:cs="Alef"/>
                <w:sz w:val="22"/>
              </w:rPr>
            </w:pPr>
            <w:r w:rsidRPr="00C75452">
              <w:rPr>
                <w:rFonts w:ascii="標楷體" w:eastAsia="標楷體" w:hAnsi="標楷體" w:cs="Alef"/>
                <w:noProof/>
                <w:sz w:val="22"/>
              </w:rPr>
              <w:t>核子事故中央災害應變工作計畫</w:t>
            </w:r>
          </w:p>
        </w:tc>
        <w:tc>
          <w:tcPr>
            <w:tcW w:w="390" w:type="pct"/>
            <w:tcBorders>
              <w:left w:val="single" w:sz="4" w:space="0" w:color="auto"/>
              <w:right w:val="single" w:sz="4" w:space="0" w:color="auto"/>
            </w:tcBorders>
          </w:tcPr>
          <w:p w14:paraId="3F3507A9" w14:textId="77777777" w:rsidR="00C75452" w:rsidRPr="00C75452" w:rsidRDefault="00C75452" w:rsidP="00C75452">
            <w:pPr>
              <w:overflowPunct w:val="0"/>
              <w:spacing w:beforeLines="5" w:before="18" w:afterLines="5" w:after="18" w:line="240" w:lineRule="exact"/>
              <w:jc w:val="distribute"/>
              <w:rPr>
                <w:rFonts w:ascii="標楷體" w:eastAsia="標楷體" w:hAnsi="標楷體" w:cs="Alef"/>
                <w:sz w:val="22"/>
              </w:rPr>
            </w:pPr>
            <w:r w:rsidRPr="00C75452">
              <w:rPr>
                <w:rFonts w:ascii="標楷體" w:eastAsia="標楷體" w:hAnsi="標楷體" w:cs="Alef"/>
                <w:noProof/>
                <w:sz w:val="22"/>
              </w:rPr>
              <w:t>千元</w:t>
            </w:r>
          </w:p>
        </w:tc>
        <w:tc>
          <w:tcPr>
            <w:tcW w:w="586" w:type="pct"/>
            <w:tcBorders>
              <w:left w:val="single" w:sz="4" w:space="0" w:color="auto"/>
              <w:right w:val="single" w:sz="4" w:space="0" w:color="auto"/>
            </w:tcBorders>
          </w:tcPr>
          <w:p w14:paraId="7073AEF1" w14:textId="2BB5E304" w:rsidR="00C75452" w:rsidRPr="00C75452" w:rsidRDefault="00C75452" w:rsidP="00C75452">
            <w:pPr>
              <w:overflowPunct w:val="0"/>
              <w:spacing w:beforeLines="5" w:before="18" w:afterLines="5" w:after="18" w:line="240" w:lineRule="exact"/>
              <w:jc w:val="right"/>
              <w:rPr>
                <w:rFonts w:ascii="標楷體" w:eastAsia="標楷體" w:hAnsi="標楷體"/>
                <w:sz w:val="22"/>
              </w:rPr>
            </w:pPr>
            <w:r w:rsidRPr="00C75452">
              <w:rPr>
                <w:rFonts w:ascii="標楷體" w:eastAsia="標楷體" w:hAnsi="標楷體" w:hint="eastAsia"/>
                <w:sz w:val="22"/>
              </w:rPr>
              <w:t>44,838</w:t>
            </w:r>
          </w:p>
        </w:tc>
        <w:tc>
          <w:tcPr>
            <w:tcW w:w="568" w:type="pct"/>
            <w:tcBorders>
              <w:left w:val="single" w:sz="4" w:space="0" w:color="auto"/>
              <w:right w:val="single" w:sz="4" w:space="0" w:color="auto"/>
            </w:tcBorders>
          </w:tcPr>
          <w:p w14:paraId="210B3782" w14:textId="62CCAF70" w:rsidR="00C75452" w:rsidRPr="00C75452" w:rsidRDefault="00C75452" w:rsidP="00C75452">
            <w:pPr>
              <w:overflowPunct w:val="0"/>
              <w:spacing w:beforeLines="5" w:before="18" w:afterLines="5" w:after="18" w:line="240" w:lineRule="exact"/>
              <w:jc w:val="right"/>
              <w:rPr>
                <w:rFonts w:ascii="標楷體" w:eastAsia="標楷體" w:hAnsi="標楷體"/>
                <w:sz w:val="22"/>
              </w:rPr>
            </w:pPr>
            <w:r w:rsidRPr="00C75452">
              <w:rPr>
                <w:rFonts w:ascii="標楷體" w:eastAsia="標楷體" w:hAnsi="標楷體" w:hint="eastAsia"/>
                <w:sz w:val="22"/>
              </w:rPr>
              <w:t>43,885</w:t>
            </w:r>
          </w:p>
        </w:tc>
        <w:tc>
          <w:tcPr>
            <w:tcW w:w="526" w:type="pct"/>
            <w:tcBorders>
              <w:left w:val="single" w:sz="4" w:space="0" w:color="auto"/>
              <w:right w:val="single" w:sz="4" w:space="0" w:color="auto"/>
            </w:tcBorders>
          </w:tcPr>
          <w:p w14:paraId="465D35B1" w14:textId="0570111B" w:rsidR="00C75452" w:rsidRPr="00C75452" w:rsidRDefault="00C75452" w:rsidP="00C75452">
            <w:pPr>
              <w:overflowPunct w:val="0"/>
              <w:spacing w:beforeLines="5" w:before="18" w:afterLines="5" w:after="18" w:line="240" w:lineRule="exact"/>
              <w:jc w:val="right"/>
              <w:rPr>
                <w:rFonts w:ascii="標楷體" w:eastAsia="標楷體" w:hAnsi="標楷體" w:cs="Times New Roman"/>
                <w:noProof/>
                <w:sz w:val="22"/>
              </w:rPr>
            </w:pPr>
            <w:r w:rsidRPr="00C75452">
              <w:rPr>
                <w:rFonts w:ascii="標楷體" w:eastAsia="標楷體" w:hAnsi="標楷體" w:hint="eastAsia"/>
                <w:spacing w:val="-6"/>
                <w:sz w:val="22"/>
              </w:rPr>
              <w:t xml:space="preserve">- </w:t>
            </w:r>
            <w:r w:rsidRPr="00C75452">
              <w:rPr>
                <w:rFonts w:ascii="標楷體" w:eastAsia="標楷體" w:hAnsi="標楷體"/>
                <w:spacing w:val="-6"/>
                <w:sz w:val="22"/>
              </w:rPr>
              <w:t>952</w:t>
            </w:r>
          </w:p>
        </w:tc>
        <w:tc>
          <w:tcPr>
            <w:tcW w:w="426" w:type="pct"/>
            <w:tcBorders>
              <w:left w:val="single" w:sz="4" w:space="0" w:color="auto"/>
              <w:right w:val="single" w:sz="4" w:space="0" w:color="auto"/>
            </w:tcBorders>
          </w:tcPr>
          <w:p w14:paraId="00E19B60" w14:textId="42A45D53" w:rsidR="00C75452" w:rsidRPr="00C75452" w:rsidRDefault="00C75452" w:rsidP="00C75452">
            <w:pPr>
              <w:overflowPunct w:val="0"/>
              <w:spacing w:beforeLines="5" w:before="18" w:afterLines="5" w:after="18" w:line="240" w:lineRule="exact"/>
              <w:jc w:val="right"/>
              <w:rPr>
                <w:rFonts w:ascii="標楷體" w:eastAsia="標楷體" w:hAnsi="標楷體" w:cs="Times New Roman"/>
                <w:noProof/>
                <w:sz w:val="22"/>
              </w:rPr>
            </w:pPr>
            <w:r w:rsidRPr="00C75452">
              <w:rPr>
                <w:rFonts w:ascii="標楷體" w:eastAsia="標楷體" w:hAnsi="標楷體" w:hint="eastAsia"/>
                <w:sz w:val="22"/>
              </w:rPr>
              <w:t xml:space="preserve">- </w:t>
            </w:r>
            <w:r w:rsidRPr="00C75452">
              <w:rPr>
                <w:rFonts w:ascii="標楷體" w:eastAsia="標楷體" w:hAnsi="標楷體"/>
                <w:sz w:val="22"/>
              </w:rPr>
              <w:t>2</w:t>
            </w:r>
            <w:r w:rsidRPr="00C75452">
              <w:rPr>
                <w:rFonts w:ascii="標楷體" w:eastAsia="標楷體" w:hAnsi="標楷體" w:hint="eastAsia"/>
                <w:sz w:val="22"/>
              </w:rPr>
              <w:t>.</w:t>
            </w:r>
            <w:r w:rsidRPr="00C75452">
              <w:rPr>
                <w:rFonts w:ascii="標楷體" w:eastAsia="標楷體" w:hAnsi="標楷體"/>
                <w:sz w:val="22"/>
              </w:rPr>
              <w:t>12</w:t>
            </w:r>
          </w:p>
        </w:tc>
        <w:tc>
          <w:tcPr>
            <w:tcW w:w="1505" w:type="pct"/>
            <w:tcBorders>
              <w:left w:val="single" w:sz="4" w:space="0" w:color="auto"/>
            </w:tcBorders>
          </w:tcPr>
          <w:p w14:paraId="6A125DB5" w14:textId="77777777" w:rsidR="00C75452" w:rsidRPr="00C75452" w:rsidRDefault="00C75452" w:rsidP="00C75452">
            <w:pPr>
              <w:overflowPunct w:val="0"/>
              <w:spacing w:beforeLines="5" w:before="18" w:afterLines="5" w:after="18" w:line="240" w:lineRule="exact"/>
              <w:rPr>
                <w:rFonts w:ascii="標楷體" w:eastAsia="標楷體" w:hAnsi="標楷體" w:cs="Times New Roman"/>
                <w:w w:val="90"/>
                <w:sz w:val="22"/>
              </w:rPr>
            </w:pPr>
          </w:p>
        </w:tc>
      </w:tr>
      <w:tr w:rsidR="00C75452" w:rsidRPr="00022D28" w14:paraId="6070225D" w14:textId="77777777" w:rsidTr="00EF27A8">
        <w:trPr>
          <w:cantSplit/>
          <w:trHeight w:val="113"/>
          <w:jc w:val="center"/>
        </w:trPr>
        <w:tc>
          <w:tcPr>
            <w:tcW w:w="999" w:type="pct"/>
            <w:tcBorders>
              <w:right w:val="single" w:sz="4" w:space="0" w:color="auto"/>
            </w:tcBorders>
          </w:tcPr>
          <w:p w14:paraId="23316D28" w14:textId="77777777" w:rsidR="00C75452" w:rsidRPr="00022D28" w:rsidRDefault="00C75452" w:rsidP="00C75452">
            <w:pPr>
              <w:overflowPunct w:val="0"/>
              <w:spacing w:beforeLines="5" w:before="18" w:afterLines="5" w:after="18" w:line="240" w:lineRule="exact"/>
              <w:jc w:val="distribute"/>
              <w:rPr>
                <w:rFonts w:ascii="標楷體" w:eastAsia="標楷體" w:hAnsi="標楷體" w:cs="Alef"/>
                <w:sz w:val="22"/>
              </w:rPr>
            </w:pPr>
            <w:r w:rsidRPr="00022D28">
              <w:rPr>
                <w:rFonts w:ascii="標楷體" w:eastAsia="標楷體" w:hAnsi="標楷體" w:cs="Alef"/>
                <w:noProof/>
                <w:sz w:val="22"/>
              </w:rPr>
              <w:t>核子事故輻射監測工作計畫</w:t>
            </w:r>
          </w:p>
        </w:tc>
        <w:tc>
          <w:tcPr>
            <w:tcW w:w="390" w:type="pct"/>
            <w:tcBorders>
              <w:left w:val="single" w:sz="4" w:space="0" w:color="auto"/>
              <w:right w:val="single" w:sz="4" w:space="0" w:color="auto"/>
            </w:tcBorders>
          </w:tcPr>
          <w:p w14:paraId="3A355DE4" w14:textId="77777777" w:rsidR="00C75452" w:rsidRPr="00022D28" w:rsidRDefault="00C75452" w:rsidP="00C75452">
            <w:pPr>
              <w:overflowPunct w:val="0"/>
              <w:spacing w:beforeLines="5" w:before="18" w:afterLines="5" w:after="18" w:line="240" w:lineRule="exact"/>
              <w:jc w:val="distribute"/>
              <w:rPr>
                <w:rFonts w:ascii="標楷體" w:eastAsia="標楷體" w:hAnsi="標楷體" w:cs="Alef"/>
                <w:sz w:val="22"/>
              </w:rPr>
            </w:pPr>
            <w:r w:rsidRPr="00022D28">
              <w:rPr>
                <w:rFonts w:ascii="標楷體" w:eastAsia="標楷體" w:hAnsi="標楷體" w:cs="Alef"/>
                <w:noProof/>
                <w:sz w:val="22"/>
              </w:rPr>
              <w:t>千元</w:t>
            </w:r>
          </w:p>
        </w:tc>
        <w:tc>
          <w:tcPr>
            <w:tcW w:w="586" w:type="pct"/>
            <w:tcBorders>
              <w:left w:val="single" w:sz="4" w:space="0" w:color="auto"/>
              <w:right w:val="single" w:sz="4" w:space="0" w:color="auto"/>
            </w:tcBorders>
          </w:tcPr>
          <w:p w14:paraId="2C5FBCCF" w14:textId="1DD336F5" w:rsidR="00C75452" w:rsidRPr="00022D28" w:rsidRDefault="00C75452" w:rsidP="00C75452">
            <w:pPr>
              <w:overflowPunct w:val="0"/>
              <w:spacing w:beforeLines="5" w:before="18" w:afterLines="5" w:after="18" w:line="240" w:lineRule="exact"/>
              <w:jc w:val="right"/>
              <w:rPr>
                <w:rFonts w:ascii="標楷體" w:eastAsia="標楷體" w:hAnsi="標楷體"/>
                <w:sz w:val="22"/>
              </w:rPr>
            </w:pPr>
            <w:r w:rsidRPr="00022D28">
              <w:rPr>
                <w:rFonts w:ascii="標楷體" w:eastAsia="標楷體" w:hAnsi="標楷體" w:hint="eastAsia"/>
                <w:sz w:val="22"/>
              </w:rPr>
              <w:t>13,871</w:t>
            </w:r>
          </w:p>
        </w:tc>
        <w:tc>
          <w:tcPr>
            <w:tcW w:w="568" w:type="pct"/>
            <w:tcBorders>
              <w:left w:val="single" w:sz="4" w:space="0" w:color="auto"/>
              <w:right w:val="single" w:sz="4" w:space="0" w:color="auto"/>
            </w:tcBorders>
          </w:tcPr>
          <w:p w14:paraId="6FDB27E3" w14:textId="75FAE2EC" w:rsidR="00C75452" w:rsidRPr="00022D28" w:rsidRDefault="00C75452" w:rsidP="00C75452">
            <w:pPr>
              <w:overflowPunct w:val="0"/>
              <w:spacing w:beforeLines="5" w:before="18" w:afterLines="5" w:after="18" w:line="240" w:lineRule="exact"/>
              <w:jc w:val="right"/>
              <w:rPr>
                <w:rFonts w:ascii="標楷體" w:eastAsia="標楷體" w:hAnsi="標楷體"/>
                <w:sz w:val="22"/>
              </w:rPr>
            </w:pPr>
            <w:r w:rsidRPr="00022D28">
              <w:rPr>
                <w:rFonts w:ascii="標楷體" w:eastAsia="標楷體" w:hAnsi="標楷體" w:hint="eastAsia"/>
                <w:sz w:val="22"/>
              </w:rPr>
              <w:t>13,801</w:t>
            </w:r>
          </w:p>
        </w:tc>
        <w:tc>
          <w:tcPr>
            <w:tcW w:w="526" w:type="pct"/>
            <w:tcBorders>
              <w:left w:val="single" w:sz="4" w:space="0" w:color="auto"/>
              <w:right w:val="single" w:sz="4" w:space="0" w:color="auto"/>
            </w:tcBorders>
          </w:tcPr>
          <w:p w14:paraId="459635BC" w14:textId="46129103" w:rsidR="00C75452" w:rsidRPr="00022D28" w:rsidRDefault="00C75452" w:rsidP="00C75452">
            <w:pPr>
              <w:overflowPunct w:val="0"/>
              <w:spacing w:beforeLines="5" w:before="18" w:afterLines="5" w:after="18" w:line="240" w:lineRule="exact"/>
              <w:jc w:val="right"/>
              <w:rPr>
                <w:rFonts w:ascii="標楷體" w:eastAsia="標楷體" w:hAnsi="標楷體" w:cs="Times New Roman"/>
                <w:noProof/>
                <w:sz w:val="22"/>
              </w:rPr>
            </w:pPr>
            <w:r w:rsidRPr="00022D28">
              <w:rPr>
                <w:rFonts w:ascii="標楷體" w:eastAsia="標楷體" w:hAnsi="標楷體" w:hint="eastAsia"/>
                <w:spacing w:val="-6"/>
                <w:sz w:val="22"/>
              </w:rPr>
              <w:t xml:space="preserve">- </w:t>
            </w:r>
            <w:r w:rsidRPr="00022D28">
              <w:rPr>
                <w:rFonts w:ascii="標楷體" w:eastAsia="標楷體" w:hAnsi="標楷體"/>
                <w:spacing w:val="-6"/>
                <w:sz w:val="22"/>
              </w:rPr>
              <w:t>69</w:t>
            </w:r>
          </w:p>
        </w:tc>
        <w:tc>
          <w:tcPr>
            <w:tcW w:w="426" w:type="pct"/>
            <w:tcBorders>
              <w:left w:val="single" w:sz="4" w:space="0" w:color="auto"/>
              <w:right w:val="single" w:sz="4" w:space="0" w:color="auto"/>
            </w:tcBorders>
          </w:tcPr>
          <w:p w14:paraId="2E985A52" w14:textId="656FABCC" w:rsidR="00C75452" w:rsidRPr="00022D28" w:rsidRDefault="00C75452" w:rsidP="00C75452">
            <w:pPr>
              <w:overflowPunct w:val="0"/>
              <w:spacing w:beforeLines="5" w:before="18" w:afterLines="5" w:after="18" w:line="240" w:lineRule="exact"/>
              <w:jc w:val="right"/>
              <w:rPr>
                <w:rFonts w:ascii="標楷體" w:eastAsia="標楷體" w:hAnsi="標楷體" w:cs="Times New Roman"/>
                <w:noProof/>
                <w:sz w:val="22"/>
              </w:rPr>
            </w:pPr>
            <w:r w:rsidRPr="00022D28">
              <w:rPr>
                <w:rFonts w:ascii="標楷體" w:eastAsia="標楷體" w:hAnsi="標楷體" w:hint="eastAsia"/>
                <w:sz w:val="22"/>
              </w:rPr>
              <w:t xml:space="preserve">- </w:t>
            </w:r>
            <w:r w:rsidRPr="00022D28">
              <w:rPr>
                <w:rFonts w:ascii="標楷體" w:eastAsia="標楷體" w:hAnsi="標楷體"/>
                <w:sz w:val="22"/>
              </w:rPr>
              <w:t>0</w:t>
            </w:r>
            <w:r w:rsidRPr="00022D28">
              <w:rPr>
                <w:rFonts w:ascii="標楷體" w:eastAsia="標楷體" w:hAnsi="標楷體" w:hint="eastAsia"/>
                <w:sz w:val="22"/>
              </w:rPr>
              <w:t>.</w:t>
            </w:r>
            <w:r w:rsidRPr="00022D28">
              <w:rPr>
                <w:rFonts w:ascii="標楷體" w:eastAsia="標楷體" w:hAnsi="標楷體"/>
                <w:sz w:val="22"/>
              </w:rPr>
              <w:t>50</w:t>
            </w:r>
          </w:p>
        </w:tc>
        <w:tc>
          <w:tcPr>
            <w:tcW w:w="1505" w:type="pct"/>
            <w:tcBorders>
              <w:left w:val="single" w:sz="4" w:space="0" w:color="auto"/>
            </w:tcBorders>
          </w:tcPr>
          <w:p w14:paraId="25CDBA48" w14:textId="77777777" w:rsidR="00C75452" w:rsidRPr="00022D28" w:rsidRDefault="00C75452" w:rsidP="00C75452">
            <w:pPr>
              <w:overflowPunct w:val="0"/>
              <w:spacing w:beforeLines="5" w:before="18" w:afterLines="5" w:after="18" w:line="240" w:lineRule="exact"/>
              <w:rPr>
                <w:rFonts w:ascii="標楷體" w:eastAsia="標楷體" w:hAnsi="標楷體" w:cs="Alef"/>
                <w:sz w:val="22"/>
              </w:rPr>
            </w:pPr>
          </w:p>
        </w:tc>
      </w:tr>
      <w:tr w:rsidR="00C75452" w:rsidRPr="00022D28" w14:paraId="7D0C02F7" w14:textId="77777777" w:rsidTr="00EF27A8">
        <w:trPr>
          <w:cantSplit/>
          <w:trHeight w:val="113"/>
          <w:jc w:val="center"/>
        </w:trPr>
        <w:tc>
          <w:tcPr>
            <w:tcW w:w="999" w:type="pct"/>
            <w:tcBorders>
              <w:right w:val="single" w:sz="4" w:space="0" w:color="auto"/>
            </w:tcBorders>
          </w:tcPr>
          <w:p w14:paraId="0132CB8A" w14:textId="77777777" w:rsidR="00C75452" w:rsidRPr="00022D28" w:rsidRDefault="00C75452" w:rsidP="00C75452">
            <w:pPr>
              <w:overflowPunct w:val="0"/>
              <w:spacing w:beforeLines="5" w:before="18" w:afterLines="5" w:after="18" w:line="240" w:lineRule="exact"/>
              <w:jc w:val="distribute"/>
              <w:rPr>
                <w:rFonts w:ascii="標楷體" w:eastAsia="標楷體" w:hAnsi="標楷體" w:cs="Alef"/>
                <w:noProof/>
                <w:sz w:val="22"/>
              </w:rPr>
            </w:pPr>
            <w:r w:rsidRPr="00022D28">
              <w:rPr>
                <w:rFonts w:ascii="標楷體" w:eastAsia="標楷體" w:hAnsi="標楷體" w:cs="Alef"/>
                <w:noProof/>
                <w:sz w:val="22"/>
              </w:rPr>
              <w:t>核子事故支援</w:t>
            </w:r>
          </w:p>
          <w:p w14:paraId="48E32B31" w14:textId="28C3F8F6" w:rsidR="00C75452" w:rsidRPr="00022D28" w:rsidRDefault="00C75452" w:rsidP="00C75452">
            <w:pPr>
              <w:overflowPunct w:val="0"/>
              <w:spacing w:beforeLines="5" w:before="18" w:afterLines="5" w:after="18" w:line="240" w:lineRule="exact"/>
              <w:jc w:val="distribute"/>
              <w:rPr>
                <w:rFonts w:ascii="標楷體" w:eastAsia="標楷體" w:hAnsi="標楷體" w:cs="Alef"/>
                <w:sz w:val="22"/>
              </w:rPr>
            </w:pPr>
            <w:r w:rsidRPr="00022D28">
              <w:rPr>
                <w:rFonts w:ascii="標楷體" w:eastAsia="標楷體" w:hAnsi="標楷體" w:cs="Alef"/>
                <w:noProof/>
                <w:sz w:val="22"/>
              </w:rPr>
              <w:t>工作計畫</w:t>
            </w:r>
          </w:p>
        </w:tc>
        <w:tc>
          <w:tcPr>
            <w:tcW w:w="390" w:type="pct"/>
            <w:tcBorders>
              <w:left w:val="single" w:sz="4" w:space="0" w:color="auto"/>
              <w:right w:val="single" w:sz="4" w:space="0" w:color="auto"/>
            </w:tcBorders>
          </w:tcPr>
          <w:p w14:paraId="4DFCD5BC" w14:textId="77777777" w:rsidR="00C75452" w:rsidRPr="00022D28" w:rsidRDefault="00C75452" w:rsidP="00C75452">
            <w:pPr>
              <w:overflowPunct w:val="0"/>
              <w:spacing w:beforeLines="5" w:before="18" w:afterLines="5" w:after="18" w:line="240" w:lineRule="exact"/>
              <w:jc w:val="distribute"/>
              <w:rPr>
                <w:rFonts w:ascii="標楷體" w:eastAsia="標楷體" w:hAnsi="標楷體" w:cs="Alef"/>
                <w:sz w:val="22"/>
              </w:rPr>
            </w:pPr>
            <w:r w:rsidRPr="00022D28">
              <w:rPr>
                <w:rFonts w:ascii="標楷體" w:eastAsia="標楷體" w:hAnsi="標楷體" w:cs="Alef"/>
                <w:noProof/>
                <w:sz w:val="22"/>
              </w:rPr>
              <w:t>千元</w:t>
            </w:r>
          </w:p>
        </w:tc>
        <w:tc>
          <w:tcPr>
            <w:tcW w:w="586" w:type="pct"/>
            <w:tcBorders>
              <w:left w:val="single" w:sz="4" w:space="0" w:color="auto"/>
              <w:right w:val="single" w:sz="4" w:space="0" w:color="auto"/>
            </w:tcBorders>
          </w:tcPr>
          <w:p w14:paraId="77A06C74" w14:textId="1F63A699" w:rsidR="00C75452" w:rsidRPr="00022D28" w:rsidRDefault="00C75452" w:rsidP="00C75452">
            <w:pPr>
              <w:overflowPunct w:val="0"/>
              <w:spacing w:beforeLines="5" w:before="18" w:afterLines="5" w:after="18" w:line="240" w:lineRule="exact"/>
              <w:jc w:val="right"/>
              <w:rPr>
                <w:rFonts w:ascii="標楷體" w:eastAsia="標楷體" w:hAnsi="標楷體"/>
                <w:sz w:val="22"/>
              </w:rPr>
            </w:pPr>
            <w:r w:rsidRPr="00022D28">
              <w:rPr>
                <w:rFonts w:ascii="標楷體" w:eastAsia="標楷體" w:hAnsi="標楷體" w:hint="eastAsia"/>
                <w:sz w:val="22"/>
              </w:rPr>
              <w:t>5,280</w:t>
            </w:r>
          </w:p>
        </w:tc>
        <w:tc>
          <w:tcPr>
            <w:tcW w:w="568" w:type="pct"/>
            <w:tcBorders>
              <w:left w:val="single" w:sz="4" w:space="0" w:color="auto"/>
              <w:right w:val="single" w:sz="4" w:space="0" w:color="auto"/>
            </w:tcBorders>
          </w:tcPr>
          <w:p w14:paraId="606D9234" w14:textId="517586D6" w:rsidR="00C75452" w:rsidRPr="00022D28" w:rsidRDefault="00C75452" w:rsidP="00C75452">
            <w:pPr>
              <w:overflowPunct w:val="0"/>
              <w:spacing w:beforeLines="5" w:before="18" w:afterLines="5" w:after="18" w:line="240" w:lineRule="exact"/>
              <w:jc w:val="right"/>
              <w:rPr>
                <w:rFonts w:ascii="標楷體" w:eastAsia="標楷體" w:hAnsi="標楷體"/>
                <w:sz w:val="22"/>
              </w:rPr>
            </w:pPr>
            <w:r w:rsidRPr="00022D28">
              <w:rPr>
                <w:rFonts w:ascii="標楷體" w:eastAsia="標楷體" w:hAnsi="標楷體" w:hint="eastAsia"/>
                <w:sz w:val="22"/>
              </w:rPr>
              <w:t>5,250</w:t>
            </w:r>
          </w:p>
        </w:tc>
        <w:tc>
          <w:tcPr>
            <w:tcW w:w="526" w:type="pct"/>
            <w:tcBorders>
              <w:left w:val="single" w:sz="4" w:space="0" w:color="auto"/>
              <w:right w:val="single" w:sz="4" w:space="0" w:color="auto"/>
            </w:tcBorders>
          </w:tcPr>
          <w:p w14:paraId="668EBCAA" w14:textId="0852F62E" w:rsidR="00C75452" w:rsidRPr="00022D28" w:rsidRDefault="00C75452" w:rsidP="00C75452">
            <w:pPr>
              <w:overflowPunct w:val="0"/>
              <w:spacing w:beforeLines="5" w:before="18" w:afterLines="5" w:after="18" w:line="240" w:lineRule="exact"/>
              <w:jc w:val="right"/>
              <w:rPr>
                <w:rFonts w:ascii="標楷體" w:eastAsia="標楷體" w:hAnsi="標楷體" w:cs="Times New Roman"/>
                <w:noProof/>
                <w:sz w:val="22"/>
              </w:rPr>
            </w:pPr>
            <w:r w:rsidRPr="00022D28">
              <w:rPr>
                <w:rFonts w:ascii="標楷體" w:eastAsia="標楷體" w:hAnsi="標楷體" w:hint="eastAsia"/>
                <w:spacing w:val="-6"/>
                <w:sz w:val="22"/>
              </w:rPr>
              <w:t xml:space="preserve">- </w:t>
            </w:r>
            <w:r w:rsidRPr="00022D28">
              <w:rPr>
                <w:rFonts w:ascii="標楷體" w:eastAsia="標楷體" w:hAnsi="標楷體"/>
                <w:spacing w:val="-6"/>
                <w:sz w:val="22"/>
              </w:rPr>
              <w:t>30</w:t>
            </w:r>
          </w:p>
        </w:tc>
        <w:tc>
          <w:tcPr>
            <w:tcW w:w="426" w:type="pct"/>
            <w:tcBorders>
              <w:left w:val="single" w:sz="4" w:space="0" w:color="auto"/>
              <w:right w:val="single" w:sz="4" w:space="0" w:color="auto"/>
            </w:tcBorders>
          </w:tcPr>
          <w:p w14:paraId="0CE8B58E" w14:textId="440095AC" w:rsidR="00C75452" w:rsidRPr="00022D28" w:rsidRDefault="00C75452" w:rsidP="00C75452">
            <w:pPr>
              <w:overflowPunct w:val="0"/>
              <w:spacing w:beforeLines="5" w:before="18" w:afterLines="5" w:after="18" w:line="240" w:lineRule="exact"/>
              <w:jc w:val="right"/>
              <w:rPr>
                <w:rFonts w:ascii="標楷體" w:eastAsia="標楷體" w:hAnsi="標楷體" w:cs="Times New Roman"/>
                <w:noProof/>
                <w:sz w:val="22"/>
              </w:rPr>
            </w:pPr>
            <w:r w:rsidRPr="00022D28">
              <w:rPr>
                <w:rFonts w:ascii="標楷體" w:eastAsia="標楷體" w:hAnsi="標楷體" w:hint="eastAsia"/>
                <w:sz w:val="22"/>
              </w:rPr>
              <w:t xml:space="preserve">- </w:t>
            </w:r>
            <w:r w:rsidRPr="00022D28">
              <w:rPr>
                <w:rFonts w:ascii="標楷體" w:eastAsia="標楷體" w:hAnsi="標楷體"/>
                <w:sz w:val="22"/>
              </w:rPr>
              <w:t>0</w:t>
            </w:r>
            <w:r w:rsidRPr="00022D28">
              <w:rPr>
                <w:rFonts w:ascii="標楷體" w:eastAsia="標楷體" w:hAnsi="標楷體" w:hint="eastAsia"/>
                <w:sz w:val="22"/>
              </w:rPr>
              <w:t>.</w:t>
            </w:r>
            <w:r w:rsidRPr="00022D28">
              <w:rPr>
                <w:rFonts w:ascii="標楷體" w:eastAsia="標楷體" w:hAnsi="標楷體"/>
                <w:sz w:val="22"/>
              </w:rPr>
              <w:t>57</w:t>
            </w:r>
          </w:p>
        </w:tc>
        <w:tc>
          <w:tcPr>
            <w:tcW w:w="1505" w:type="pct"/>
            <w:tcBorders>
              <w:left w:val="single" w:sz="4" w:space="0" w:color="auto"/>
            </w:tcBorders>
          </w:tcPr>
          <w:p w14:paraId="5689BC5C" w14:textId="77777777" w:rsidR="00C75452" w:rsidRPr="00022D28" w:rsidRDefault="00C75452" w:rsidP="00C75452">
            <w:pPr>
              <w:overflowPunct w:val="0"/>
              <w:spacing w:beforeLines="5" w:before="18" w:afterLines="5" w:after="18" w:line="240" w:lineRule="exact"/>
              <w:jc w:val="both"/>
              <w:rPr>
                <w:rFonts w:ascii="標楷體" w:eastAsia="標楷體" w:hAnsi="標楷體" w:cs="Alef"/>
                <w:sz w:val="22"/>
              </w:rPr>
            </w:pPr>
          </w:p>
        </w:tc>
      </w:tr>
      <w:tr w:rsidR="00C75452" w:rsidRPr="00022D28" w14:paraId="723F7A6A" w14:textId="77777777" w:rsidTr="00EF27A8">
        <w:trPr>
          <w:cantSplit/>
          <w:trHeight w:val="113"/>
          <w:jc w:val="center"/>
        </w:trPr>
        <w:tc>
          <w:tcPr>
            <w:tcW w:w="999" w:type="pct"/>
            <w:tcBorders>
              <w:bottom w:val="single" w:sz="8" w:space="0" w:color="auto"/>
              <w:right w:val="single" w:sz="4" w:space="0" w:color="auto"/>
            </w:tcBorders>
          </w:tcPr>
          <w:p w14:paraId="50DAAD00" w14:textId="77777777" w:rsidR="00C75452" w:rsidRPr="00022D28" w:rsidRDefault="00C75452" w:rsidP="00C75452">
            <w:pPr>
              <w:overflowPunct w:val="0"/>
              <w:spacing w:beforeLines="5" w:before="18" w:afterLines="5" w:after="18" w:line="240" w:lineRule="exact"/>
              <w:jc w:val="distribute"/>
              <w:rPr>
                <w:rFonts w:ascii="標楷體" w:eastAsia="標楷體" w:hAnsi="標楷體" w:cs="Alef"/>
                <w:sz w:val="22"/>
              </w:rPr>
            </w:pPr>
            <w:r w:rsidRPr="00022D28">
              <w:rPr>
                <w:rFonts w:ascii="標楷體" w:eastAsia="標楷體" w:hAnsi="標楷體" w:cs="Alef"/>
                <w:noProof/>
                <w:sz w:val="22"/>
              </w:rPr>
              <w:t>核子事故地方災害應變工作計畫</w:t>
            </w:r>
          </w:p>
        </w:tc>
        <w:tc>
          <w:tcPr>
            <w:tcW w:w="390" w:type="pct"/>
            <w:tcBorders>
              <w:left w:val="single" w:sz="4" w:space="0" w:color="auto"/>
              <w:bottom w:val="single" w:sz="8" w:space="0" w:color="auto"/>
              <w:right w:val="single" w:sz="4" w:space="0" w:color="auto"/>
            </w:tcBorders>
          </w:tcPr>
          <w:p w14:paraId="702BA8CC" w14:textId="77777777" w:rsidR="00C75452" w:rsidRPr="00022D28" w:rsidRDefault="00C75452" w:rsidP="00C75452">
            <w:pPr>
              <w:overflowPunct w:val="0"/>
              <w:spacing w:beforeLines="5" w:before="18" w:afterLines="5" w:after="18" w:line="240" w:lineRule="exact"/>
              <w:jc w:val="distribute"/>
              <w:rPr>
                <w:rFonts w:ascii="標楷體" w:eastAsia="標楷體" w:hAnsi="標楷體" w:cs="Alef"/>
                <w:sz w:val="22"/>
              </w:rPr>
            </w:pPr>
            <w:r w:rsidRPr="00022D28">
              <w:rPr>
                <w:rFonts w:ascii="標楷體" w:eastAsia="標楷體" w:hAnsi="標楷體" w:cs="Alef"/>
                <w:noProof/>
                <w:sz w:val="22"/>
              </w:rPr>
              <w:t>千元</w:t>
            </w:r>
          </w:p>
        </w:tc>
        <w:tc>
          <w:tcPr>
            <w:tcW w:w="586" w:type="pct"/>
            <w:tcBorders>
              <w:left w:val="single" w:sz="4" w:space="0" w:color="auto"/>
              <w:bottom w:val="single" w:sz="8" w:space="0" w:color="auto"/>
              <w:right w:val="single" w:sz="4" w:space="0" w:color="auto"/>
            </w:tcBorders>
          </w:tcPr>
          <w:p w14:paraId="55F7851B" w14:textId="1A7E09C0" w:rsidR="00C75452" w:rsidRPr="00022D28" w:rsidRDefault="00C75452" w:rsidP="00C75452">
            <w:pPr>
              <w:overflowPunct w:val="0"/>
              <w:spacing w:beforeLines="5" w:before="18" w:afterLines="5" w:after="18" w:line="240" w:lineRule="exact"/>
              <w:jc w:val="right"/>
              <w:rPr>
                <w:rFonts w:ascii="標楷體" w:eastAsia="標楷體" w:hAnsi="標楷體"/>
                <w:sz w:val="22"/>
              </w:rPr>
            </w:pPr>
            <w:r w:rsidRPr="00022D28">
              <w:rPr>
                <w:rFonts w:ascii="標楷體" w:eastAsia="標楷體" w:hAnsi="標楷體" w:hint="eastAsia"/>
                <w:sz w:val="22"/>
              </w:rPr>
              <w:t>29,239</w:t>
            </w:r>
          </w:p>
        </w:tc>
        <w:tc>
          <w:tcPr>
            <w:tcW w:w="568" w:type="pct"/>
            <w:tcBorders>
              <w:left w:val="single" w:sz="4" w:space="0" w:color="auto"/>
              <w:bottom w:val="single" w:sz="8" w:space="0" w:color="auto"/>
              <w:right w:val="single" w:sz="4" w:space="0" w:color="auto"/>
            </w:tcBorders>
          </w:tcPr>
          <w:p w14:paraId="13BA4556" w14:textId="3348F6A3" w:rsidR="00C75452" w:rsidRPr="00022D28" w:rsidRDefault="00C75452" w:rsidP="00C75452">
            <w:pPr>
              <w:overflowPunct w:val="0"/>
              <w:spacing w:beforeLines="5" w:before="18" w:afterLines="5" w:after="18" w:line="240" w:lineRule="exact"/>
              <w:jc w:val="right"/>
              <w:rPr>
                <w:rFonts w:ascii="標楷體" w:eastAsia="標楷體" w:hAnsi="標楷體"/>
                <w:sz w:val="22"/>
              </w:rPr>
            </w:pPr>
            <w:r w:rsidRPr="00022D28">
              <w:rPr>
                <w:rFonts w:ascii="標楷體" w:eastAsia="標楷體" w:hAnsi="標楷體" w:hint="eastAsia"/>
                <w:sz w:val="22"/>
              </w:rPr>
              <w:t>26,943</w:t>
            </w:r>
          </w:p>
        </w:tc>
        <w:tc>
          <w:tcPr>
            <w:tcW w:w="526" w:type="pct"/>
            <w:tcBorders>
              <w:left w:val="single" w:sz="4" w:space="0" w:color="auto"/>
              <w:bottom w:val="single" w:sz="8" w:space="0" w:color="auto"/>
              <w:right w:val="single" w:sz="4" w:space="0" w:color="auto"/>
            </w:tcBorders>
          </w:tcPr>
          <w:p w14:paraId="6C02B6A0" w14:textId="39D19A4B" w:rsidR="00C75452" w:rsidRPr="00022D28" w:rsidRDefault="00C75452" w:rsidP="00C75452">
            <w:pPr>
              <w:overflowPunct w:val="0"/>
              <w:spacing w:beforeLines="5" w:before="18" w:afterLines="5" w:after="18" w:line="240" w:lineRule="exact"/>
              <w:jc w:val="right"/>
              <w:rPr>
                <w:rFonts w:ascii="標楷體" w:eastAsia="標楷體" w:hAnsi="標楷體"/>
                <w:sz w:val="22"/>
              </w:rPr>
            </w:pPr>
            <w:r w:rsidRPr="00022D28">
              <w:rPr>
                <w:rFonts w:ascii="標楷體" w:eastAsia="標楷體" w:hAnsi="標楷體" w:hint="eastAsia"/>
                <w:sz w:val="22"/>
              </w:rPr>
              <w:t xml:space="preserve">- </w:t>
            </w:r>
            <w:r w:rsidRPr="00022D28">
              <w:rPr>
                <w:rFonts w:ascii="標楷體" w:eastAsia="標楷體" w:hAnsi="標楷體"/>
                <w:sz w:val="22"/>
              </w:rPr>
              <w:t>2,295</w:t>
            </w:r>
          </w:p>
        </w:tc>
        <w:tc>
          <w:tcPr>
            <w:tcW w:w="426" w:type="pct"/>
            <w:tcBorders>
              <w:left w:val="single" w:sz="4" w:space="0" w:color="auto"/>
              <w:bottom w:val="single" w:sz="8" w:space="0" w:color="auto"/>
              <w:right w:val="single" w:sz="4" w:space="0" w:color="auto"/>
            </w:tcBorders>
          </w:tcPr>
          <w:p w14:paraId="3F2515C8" w14:textId="1ECB9515" w:rsidR="00C75452" w:rsidRPr="00022D28" w:rsidRDefault="00C75452" w:rsidP="00C75452">
            <w:pPr>
              <w:overflowPunct w:val="0"/>
              <w:spacing w:beforeLines="5" w:before="18" w:afterLines="5" w:after="18" w:line="240" w:lineRule="exact"/>
              <w:jc w:val="right"/>
              <w:rPr>
                <w:rFonts w:ascii="標楷體" w:eastAsia="標楷體" w:hAnsi="標楷體"/>
                <w:sz w:val="22"/>
              </w:rPr>
            </w:pPr>
            <w:r w:rsidRPr="00022D28">
              <w:rPr>
                <w:rFonts w:ascii="標楷體" w:eastAsia="標楷體" w:hAnsi="標楷體" w:hint="eastAsia"/>
                <w:sz w:val="22"/>
              </w:rPr>
              <w:t xml:space="preserve">- </w:t>
            </w:r>
            <w:r w:rsidRPr="00022D28">
              <w:rPr>
                <w:rFonts w:ascii="標楷體" w:eastAsia="標楷體" w:hAnsi="標楷體"/>
                <w:sz w:val="22"/>
              </w:rPr>
              <w:t>7</w:t>
            </w:r>
            <w:r w:rsidRPr="00022D28">
              <w:rPr>
                <w:rFonts w:ascii="標楷體" w:eastAsia="標楷體" w:hAnsi="標楷體" w:hint="eastAsia"/>
                <w:sz w:val="22"/>
              </w:rPr>
              <w:t>.</w:t>
            </w:r>
            <w:r w:rsidRPr="00022D28">
              <w:rPr>
                <w:rFonts w:ascii="標楷體" w:eastAsia="標楷體" w:hAnsi="標楷體"/>
                <w:sz w:val="22"/>
              </w:rPr>
              <w:t>85</w:t>
            </w:r>
          </w:p>
        </w:tc>
        <w:tc>
          <w:tcPr>
            <w:tcW w:w="1505" w:type="pct"/>
            <w:tcBorders>
              <w:left w:val="single" w:sz="4" w:space="0" w:color="auto"/>
              <w:bottom w:val="single" w:sz="8" w:space="0" w:color="auto"/>
            </w:tcBorders>
          </w:tcPr>
          <w:p w14:paraId="0CC164AA" w14:textId="77777777" w:rsidR="00C75452" w:rsidRPr="00022D28" w:rsidRDefault="00C75452" w:rsidP="00C75452">
            <w:pPr>
              <w:overflowPunct w:val="0"/>
              <w:spacing w:beforeLines="5" w:before="18" w:afterLines="5" w:after="18" w:line="240" w:lineRule="exact"/>
              <w:rPr>
                <w:rFonts w:ascii="標楷體" w:eastAsia="標楷體" w:hAnsi="標楷體" w:cs="Alef"/>
                <w:sz w:val="22"/>
              </w:rPr>
            </w:pPr>
          </w:p>
        </w:tc>
      </w:tr>
      <w:tr w:rsidR="001468F2" w:rsidRPr="00022D28" w14:paraId="50D6AD02" w14:textId="77777777" w:rsidTr="004F7723">
        <w:trPr>
          <w:cantSplit/>
          <w:trHeight w:val="20"/>
          <w:jc w:val="center"/>
        </w:trPr>
        <w:tc>
          <w:tcPr>
            <w:tcW w:w="5000" w:type="pct"/>
            <w:gridSpan w:val="7"/>
            <w:tcBorders>
              <w:top w:val="single" w:sz="8" w:space="0" w:color="auto"/>
            </w:tcBorders>
          </w:tcPr>
          <w:p w14:paraId="0848183E" w14:textId="44FF227A" w:rsidR="004B4192" w:rsidRPr="00022D28" w:rsidRDefault="004B4192" w:rsidP="0080716A">
            <w:pPr>
              <w:widowControl/>
              <w:overflowPunct w:val="0"/>
              <w:spacing w:line="240" w:lineRule="exact"/>
              <w:jc w:val="both"/>
              <w:rPr>
                <w:rFonts w:ascii="標楷體" w:eastAsia="標楷體" w:hAnsi="標楷體" w:cs="標楷體"/>
                <w:sz w:val="18"/>
              </w:rPr>
            </w:pPr>
            <w:r w:rsidRPr="00022D28">
              <w:rPr>
                <w:rFonts w:ascii="標楷體" w:eastAsia="標楷體" w:hAnsi="標楷體" w:cs="標楷體" w:hint="eastAsia"/>
                <w:sz w:val="18"/>
              </w:rPr>
              <w:t>註：本表係就業務計畫實際數與預計數差異達</w:t>
            </w:r>
            <w:r w:rsidR="004B1DCA" w:rsidRPr="00022D28">
              <w:rPr>
                <w:rFonts w:ascii="標楷體" w:eastAsia="標楷體" w:hAnsi="標楷體" w:cs="標楷體" w:hint="eastAsia"/>
                <w:sz w:val="18"/>
              </w:rPr>
              <w:t>2</w:t>
            </w:r>
            <w:r w:rsidRPr="00022D28">
              <w:rPr>
                <w:rFonts w:ascii="標楷體" w:eastAsia="標楷體" w:hAnsi="標楷體" w:cs="標楷體" w:hint="eastAsia"/>
                <w:sz w:val="18"/>
              </w:rPr>
              <w:t>0％或達3千萬以上者，說明差異原因。</w:t>
            </w:r>
          </w:p>
        </w:tc>
      </w:tr>
    </w:tbl>
    <w:p w14:paraId="56B7FF31" w14:textId="77777777" w:rsidR="004B4192" w:rsidRPr="00022D28" w:rsidRDefault="004B4192" w:rsidP="00DF5FB1">
      <w:pPr>
        <w:widowControl/>
        <w:overflowPunct w:val="0"/>
        <w:spacing w:line="540" w:lineRule="exact"/>
        <w:ind w:firstLineChars="450" w:firstLine="1261"/>
        <w:jc w:val="both"/>
        <w:rPr>
          <w:rFonts w:ascii="標楷體" w:eastAsia="標楷體" w:hAnsi="標楷體" w:cs="標楷體"/>
          <w:b/>
          <w:sz w:val="28"/>
          <w:szCs w:val="28"/>
        </w:rPr>
      </w:pPr>
      <w:r w:rsidRPr="00022D28">
        <w:rPr>
          <w:rFonts w:ascii="標楷體" w:eastAsia="標楷體" w:hAnsi="標楷體" w:cs="標楷體" w:hint="eastAsia"/>
          <w:b/>
          <w:sz w:val="28"/>
          <w:szCs w:val="28"/>
        </w:rPr>
        <w:t>2.　預算執行情形之審核</w:t>
      </w:r>
    </w:p>
    <w:p w14:paraId="6BC5CFFE" w14:textId="7E578FD6" w:rsidR="004B4192" w:rsidRPr="00F813BF" w:rsidRDefault="004B4192" w:rsidP="00DF5FB1">
      <w:pPr>
        <w:overflowPunct w:val="0"/>
        <w:spacing w:line="540" w:lineRule="exact"/>
        <w:ind w:firstLineChars="200" w:firstLine="480"/>
        <w:jc w:val="both"/>
        <w:rPr>
          <w:rFonts w:ascii="標楷體" w:eastAsia="標楷體" w:hAnsi="標楷體" w:cs="Times New Roman"/>
          <w:szCs w:val="32"/>
        </w:rPr>
      </w:pPr>
      <w:r w:rsidRPr="00022D28">
        <w:rPr>
          <w:rFonts w:ascii="標楷體" w:eastAsia="標楷體" w:hAnsi="標楷體" w:cs="Times New Roman" w:hint="eastAsia"/>
          <w:szCs w:val="32"/>
        </w:rPr>
        <w:t>11</w:t>
      </w:r>
      <w:r w:rsidR="00022D28" w:rsidRPr="00022D28">
        <w:rPr>
          <w:rFonts w:ascii="標楷體" w:eastAsia="標楷體" w:hAnsi="標楷體" w:cs="Times New Roman"/>
          <w:szCs w:val="32"/>
        </w:rPr>
        <w:t>4</w:t>
      </w:r>
      <w:r w:rsidRPr="00022D28">
        <w:rPr>
          <w:rFonts w:ascii="標楷體" w:eastAsia="標楷體" w:hAnsi="標楷體" w:cs="Times New Roman" w:hint="eastAsia"/>
          <w:szCs w:val="32"/>
        </w:rPr>
        <w:t>年度決算審核結果，審定本期賸餘</w:t>
      </w:r>
      <w:r w:rsidR="00022D28" w:rsidRPr="00022D28">
        <w:rPr>
          <w:rFonts w:ascii="標楷體" w:eastAsia="標楷體" w:hAnsi="標楷體" w:cs="Times New Roman"/>
          <w:szCs w:val="32"/>
        </w:rPr>
        <w:t>3</w:t>
      </w:r>
      <w:r w:rsidRPr="00022D28">
        <w:rPr>
          <w:rFonts w:ascii="標楷體" w:eastAsia="標楷體" w:hAnsi="標楷體" w:cs="Times New Roman"/>
          <w:szCs w:val="32"/>
        </w:rPr>
        <w:t>,</w:t>
      </w:r>
      <w:r w:rsidR="00022D28" w:rsidRPr="00022D28">
        <w:rPr>
          <w:rFonts w:ascii="標楷體" w:eastAsia="標楷體" w:hAnsi="標楷體" w:cs="Times New Roman"/>
          <w:szCs w:val="32"/>
        </w:rPr>
        <w:t>189</w:t>
      </w:r>
      <w:r w:rsidRPr="00022D28">
        <w:rPr>
          <w:rFonts w:ascii="標楷體" w:eastAsia="標楷體" w:hAnsi="標楷體" w:cs="Times New Roman" w:hint="eastAsia"/>
          <w:szCs w:val="32"/>
        </w:rPr>
        <w:t>萬餘元，較預算賸餘</w:t>
      </w:r>
      <w:r w:rsidR="00022D28" w:rsidRPr="00022D28">
        <w:rPr>
          <w:rFonts w:ascii="標楷體" w:eastAsia="標楷體" w:hAnsi="標楷體" w:cs="Times New Roman"/>
          <w:szCs w:val="32"/>
        </w:rPr>
        <w:t>2</w:t>
      </w:r>
      <w:r w:rsidRPr="00022D28">
        <w:rPr>
          <w:rFonts w:ascii="標楷體" w:eastAsia="標楷體" w:hAnsi="標楷體" w:cs="Times New Roman"/>
          <w:szCs w:val="32"/>
        </w:rPr>
        <w:t>,</w:t>
      </w:r>
      <w:r w:rsidR="004439CF">
        <w:rPr>
          <w:rFonts w:ascii="標楷體" w:eastAsia="標楷體" w:hAnsi="標楷體" w:cs="Times New Roman"/>
          <w:szCs w:val="32"/>
        </w:rPr>
        <w:t>3</w:t>
      </w:r>
      <w:r w:rsidR="00022D28" w:rsidRPr="00022D28">
        <w:rPr>
          <w:rFonts w:ascii="標楷體" w:eastAsia="標楷體" w:hAnsi="標楷體" w:cs="Times New Roman"/>
          <w:szCs w:val="32"/>
        </w:rPr>
        <w:t>34</w:t>
      </w:r>
      <w:r w:rsidRPr="00022D28">
        <w:rPr>
          <w:rFonts w:ascii="標楷體" w:eastAsia="標楷體" w:hAnsi="標楷體" w:cs="Times New Roman" w:hint="eastAsia"/>
          <w:szCs w:val="32"/>
        </w:rPr>
        <w:t>萬餘元，增加</w:t>
      </w:r>
      <w:r w:rsidR="00022D28" w:rsidRPr="00022D28">
        <w:rPr>
          <w:rFonts w:ascii="標楷體" w:eastAsia="標楷體" w:hAnsi="標楷體" w:cs="Times New Roman"/>
          <w:szCs w:val="32"/>
        </w:rPr>
        <w:t>855</w:t>
      </w:r>
      <w:r w:rsidRPr="00022D28">
        <w:rPr>
          <w:rFonts w:ascii="標楷體" w:eastAsia="標楷體" w:hAnsi="標楷體" w:cs="Times New Roman" w:hint="eastAsia"/>
          <w:szCs w:val="32"/>
        </w:rPr>
        <w:t>萬餘元，約</w:t>
      </w:r>
      <w:r w:rsidR="00BC6FDC" w:rsidRPr="00022D28">
        <w:rPr>
          <w:rFonts w:ascii="標楷體" w:eastAsia="標楷體" w:hAnsi="標楷體" w:cs="Times New Roman" w:hint="eastAsia"/>
          <w:szCs w:val="32"/>
        </w:rPr>
        <w:t>3</w:t>
      </w:r>
      <w:r w:rsidR="00022D28" w:rsidRPr="00022D28">
        <w:rPr>
          <w:rFonts w:ascii="標楷體" w:eastAsia="標楷體" w:hAnsi="標楷體" w:cs="Times New Roman"/>
          <w:szCs w:val="32"/>
        </w:rPr>
        <w:t>6</w:t>
      </w:r>
      <w:r w:rsidRPr="00022D28">
        <w:rPr>
          <w:rFonts w:ascii="標楷體" w:eastAsia="標楷體" w:hAnsi="標楷體" w:cs="Times New Roman" w:hint="eastAsia"/>
          <w:szCs w:val="32"/>
        </w:rPr>
        <w:t>.</w:t>
      </w:r>
      <w:r w:rsidR="00022D28" w:rsidRPr="00022D28">
        <w:rPr>
          <w:rFonts w:ascii="標楷體" w:eastAsia="標楷體" w:hAnsi="標楷體" w:cs="Times New Roman"/>
          <w:szCs w:val="32"/>
        </w:rPr>
        <w:t>63</w:t>
      </w:r>
      <w:r w:rsidRPr="00022D28">
        <w:rPr>
          <w:rFonts w:ascii="標楷體" w:eastAsia="標楷體" w:hAnsi="標楷體" w:cs="Times New Roman" w:hint="eastAsia"/>
          <w:szCs w:val="32"/>
        </w:rPr>
        <w:t>％，主要係基金</w:t>
      </w:r>
      <w:r w:rsidR="00F558A0" w:rsidRPr="00022D28">
        <w:rPr>
          <w:rFonts w:ascii="標楷體" w:eastAsia="標楷體" w:hAnsi="標楷體" w:cs="Times New Roman" w:hint="eastAsia"/>
          <w:szCs w:val="32"/>
        </w:rPr>
        <w:t>專</w:t>
      </w:r>
      <w:r w:rsidR="00F558A0" w:rsidRPr="00A231FE">
        <w:rPr>
          <w:rFonts w:ascii="標楷體" w:eastAsia="標楷體" w:hAnsi="標楷體" w:cs="Times New Roman" w:hint="eastAsia"/>
          <w:szCs w:val="32"/>
        </w:rPr>
        <w:t>戶</w:t>
      </w:r>
      <w:r w:rsidRPr="00A231FE">
        <w:rPr>
          <w:rFonts w:ascii="標楷體" w:eastAsia="標楷體" w:hAnsi="標楷體" w:cs="Times New Roman" w:hint="eastAsia"/>
          <w:szCs w:val="32"/>
        </w:rPr>
        <w:t>孳息</w:t>
      </w:r>
      <w:r w:rsidRPr="00F813BF">
        <w:rPr>
          <w:rFonts w:ascii="標楷體" w:eastAsia="標楷體" w:hAnsi="標楷體" w:cs="Times New Roman" w:hint="eastAsia"/>
          <w:szCs w:val="32"/>
        </w:rPr>
        <w:t>收入較預計增加所致。</w:t>
      </w:r>
    </w:p>
    <w:p w14:paraId="1EC93145" w14:textId="77777777" w:rsidR="004B4192" w:rsidRPr="00F813BF" w:rsidRDefault="004B4192" w:rsidP="00DF5FB1">
      <w:pPr>
        <w:widowControl/>
        <w:overflowPunct w:val="0"/>
        <w:spacing w:line="540" w:lineRule="exact"/>
        <w:ind w:firstLineChars="450" w:firstLine="1261"/>
        <w:jc w:val="both"/>
        <w:rPr>
          <w:rFonts w:ascii="標楷體" w:eastAsia="標楷體" w:hAnsi="標楷體" w:cs="標楷體"/>
          <w:b/>
          <w:sz w:val="28"/>
          <w:szCs w:val="28"/>
        </w:rPr>
      </w:pPr>
      <w:r w:rsidRPr="00F813BF">
        <w:rPr>
          <w:rFonts w:ascii="標楷體" w:eastAsia="標楷體" w:hAnsi="標楷體" w:cs="標楷體" w:hint="eastAsia"/>
          <w:b/>
          <w:sz w:val="28"/>
          <w:szCs w:val="28"/>
        </w:rPr>
        <w:t>3.　餘絀之審定</w:t>
      </w:r>
    </w:p>
    <w:p w14:paraId="2773F06C" w14:textId="6BDCE8EE" w:rsidR="004B4192" w:rsidRPr="00F813BF" w:rsidRDefault="004B4192" w:rsidP="00DF5FB1">
      <w:pPr>
        <w:overflowPunct w:val="0"/>
        <w:spacing w:line="540" w:lineRule="exact"/>
        <w:ind w:firstLineChars="200" w:firstLine="480"/>
        <w:jc w:val="both"/>
        <w:rPr>
          <w:rFonts w:ascii="標楷體" w:eastAsia="標楷體" w:hAnsi="標楷體" w:cs="Times New Roman"/>
          <w:szCs w:val="32"/>
        </w:rPr>
      </w:pPr>
      <w:r w:rsidRPr="00F813BF">
        <w:rPr>
          <w:rFonts w:ascii="標楷體" w:eastAsia="標楷體" w:hAnsi="標楷體" w:cs="Times New Roman" w:hint="eastAsia"/>
          <w:szCs w:val="32"/>
        </w:rPr>
        <w:t>11</w:t>
      </w:r>
      <w:r w:rsidR="00022D28" w:rsidRPr="00F813BF">
        <w:rPr>
          <w:rFonts w:ascii="標楷體" w:eastAsia="標楷體" w:hAnsi="標楷體" w:cs="Times New Roman"/>
          <w:szCs w:val="32"/>
        </w:rPr>
        <w:t>4</w:t>
      </w:r>
      <w:r w:rsidRPr="00F813BF">
        <w:rPr>
          <w:rFonts w:ascii="標楷體" w:eastAsia="標楷體" w:hAnsi="標楷體" w:cs="Times New Roman" w:hint="eastAsia"/>
          <w:szCs w:val="32"/>
        </w:rPr>
        <w:t>年度決算經行政院核定賸餘</w:t>
      </w:r>
      <w:r w:rsidR="00A231FE" w:rsidRPr="00F813BF">
        <w:rPr>
          <w:rFonts w:ascii="標楷體" w:eastAsia="標楷體" w:hAnsi="標楷體" w:cs="Times New Roman" w:hint="eastAsia"/>
          <w:szCs w:val="32"/>
        </w:rPr>
        <w:t>3</w:t>
      </w:r>
      <w:r w:rsidR="00A231FE" w:rsidRPr="00F813BF">
        <w:rPr>
          <w:rFonts w:ascii="標楷體" w:eastAsia="標楷體" w:hAnsi="標楷體" w:cs="Times New Roman"/>
          <w:szCs w:val="32"/>
        </w:rPr>
        <w:t>1</w:t>
      </w:r>
      <w:r w:rsidRPr="00F813BF">
        <w:rPr>
          <w:rFonts w:ascii="標楷體" w:eastAsia="標楷體" w:hAnsi="標楷體" w:cs="Times New Roman"/>
          <w:szCs w:val="32"/>
        </w:rPr>
        <w:t>,</w:t>
      </w:r>
      <w:r w:rsidR="00A231FE" w:rsidRPr="00F813BF">
        <w:rPr>
          <w:rFonts w:ascii="標楷體" w:eastAsia="標楷體" w:hAnsi="標楷體" w:cs="Times New Roman"/>
          <w:szCs w:val="32"/>
        </w:rPr>
        <w:t>895</w:t>
      </w:r>
      <w:r w:rsidRPr="00F813BF">
        <w:rPr>
          <w:rFonts w:ascii="標楷體" w:eastAsia="標楷體" w:hAnsi="標楷體" w:cs="Times New Roman"/>
          <w:szCs w:val="32"/>
        </w:rPr>
        <w:t>,</w:t>
      </w:r>
      <w:r w:rsidR="00A231FE" w:rsidRPr="00F813BF">
        <w:rPr>
          <w:rFonts w:ascii="標楷體" w:eastAsia="標楷體" w:hAnsi="標楷體" w:cs="Times New Roman"/>
          <w:szCs w:val="32"/>
        </w:rPr>
        <w:t>395</w:t>
      </w:r>
      <w:r w:rsidRPr="00F813BF">
        <w:rPr>
          <w:rFonts w:ascii="標楷體" w:eastAsia="標楷體" w:hAnsi="標楷體" w:cs="Times New Roman" w:hint="eastAsia"/>
          <w:szCs w:val="32"/>
        </w:rPr>
        <w:t>元，經核尚無不合，予以照數審定。</w:t>
      </w:r>
    </w:p>
    <w:p w14:paraId="25DB163C" w14:textId="77777777" w:rsidR="004B4192" w:rsidRPr="00F813BF" w:rsidRDefault="004B4192" w:rsidP="00DF5FB1">
      <w:pPr>
        <w:widowControl/>
        <w:overflowPunct w:val="0"/>
        <w:spacing w:line="540" w:lineRule="exact"/>
        <w:ind w:firstLineChars="450" w:firstLine="1261"/>
        <w:jc w:val="both"/>
        <w:rPr>
          <w:rFonts w:ascii="標楷體" w:eastAsia="標楷體" w:hAnsi="標楷體" w:cs="標楷體"/>
          <w:b/>
          <w:sz w:val="28"/>
          <w:szCs w:val="28"/>
        </w:rPr>
      </w:pPr>
      <w:r w:rsidRPr="00F813BF">
        <w:rPr>
          <w:rFonts w:ascii="標楷體" w:eastAsia="標楷體" w:hAnsi="標楷體" w:cs="標楷體" w:hint="eastAsia"/>
          <w:b/>
          <w:sz w:val="28"/>
          <w:szCs w:val="28"/>
        </w:rPr>
        <w:t>4.　現金流量之查核</w:t>
      </w:r>
    </w:p>
    <w:p w14:paraId="60F0BBB6" w14:textId="690672F0" w:rsidR="004B4192" w:rsidRPr="00F813BF" w:rsidRDefault="004B4192" w:rsidP="00DF5FB1">
      <w:pPr>
        <w:overflowPunct w:val="0"/>
        <w:spacing w:line="540" w:lineRule="exact"/>
        <w:ind w:firstLineChars="200" w:firstLine="480"/>
        <w:jc w:val="both"/>
        <w:rPr>
          <w:rFonts w:ascii="標楷體" w:eastAsia="標楷體" w:hAnsi="標楷體" w:cs="Times New Roman"/>
          <w:szCs w:val="32"/>
        </w:rPr>
      </w:pPr>
      <w:r w:rsidRPr="00F813BF">
        <w:rPr>
          <w:rFonts w:ascii="標楷體" w:eastAsia="標楷體" w:hAnsi="標楷體" w:cs="Times New Roman" w:hint="eastAsia"/>
          <w:szCs w:val="32"/>
        </w:rPr>
        <w:t>11</w:t>
      </w:r>
      <w:r w:rsidR="00526838" w:rsidRPr="00F813BF">
        <w:rPr>
          <w:rFonts w:ascii="標楷體" w:eastAsia="標楷體" w:hAnsi="標楷體" w:cs="Times New Roman"/>
          <w:szCs w:val="32"/>
        </w:rPr>
        <w:t>4</w:t>
      </w:r>
      <w:r w:rsidRPr="00F813BF">
        <w:rPr>
          <w:rFonts w:ascii="標楷體" w:eastAsia="標楷體" w:hAnsi="標楷體" w:cs="Times New Roman" w:hint="eastAsia"/>
          <w:szCs w:val="32"/>
        </w:rPr>
        <w:t>年度期初現金及約當現金</w:t>
      </w:r>
      <w:r w:rsidR="00B17657" w:rsidRPr="00F813BF">
        <w:rPr>
          <w:rFonts w:ascii="標楷體" w:eastAsia="標楷體" w:hAnsi="標楷體" w:cs="Times New Roman" w:hint="eastAsia"/>
          <w:szCs w:val="32"/>
        </w:rPr>
        <w:t>9億</w:t>
      </w:r>
      <w:r w:rsidR="00526838" w:rsidRPr="00F813BF">
        <w:rPr>
          <w:rFonts w:ascii="標楷體" w:eastAsia="標楷體" w:hAnsi="標楷體" w:cs="Times New Roman" w:hint="eastAsia"/>
          <w:szCs w:val="32"/>
        </w:rPr>
        <w:t>7</w:t>
      </w:r>
      <w:r w:rsidR="00B17657" w:rsidRPr="00F813BF">
        <w:rPr>
          <w:rFonts w:ascii="標楷體" w:eastAsia="標楷體" w:hAnsi="標楷體" w:cs="Times New Roman" w:hint="eastAsia"/>
          <w:szCs w:val="32"/>
        </w:rPr>
        <w:t>,</w:t>
      </w:r>
      <w:r w:rsidR="00526838" w:rsidRPr="00F813BF">
        <w:rPr>
          <w:rFonts w:ascii="標楷體" w:eastAsia="標楷體" w:hAnsi="標楷體" w:cs="Times New Roman"/>
          <w:szCs w:val="32"/>
        </w:rPr>
        <w:t>802</w:t>
      </w:r>
      <w:r w:rsidR="00B17657" w:rsidRPr="00F813BF">
        <w:rPr>
          <w:rFonts w:ascii="標楷體" w:eastAsia="標楷體" w:hAnsi="標楷體" w:cs="Times New Roman" w:hint="eastAsia"/>
          <w:szCs w:val="32"/>
        </w:rPr>
        <w:t>萬餘元</w:t>
      </w:r>
      <w:r w:rsidRPr="00F813BF">
        <w:rPr>
          <w:rFonts w:ascii="標楷體" w:eastAsia="標楷體" w:hAnsi="標楷體" w:cs="Times New Roman" w:hint="eastAsia"/>
          <w:szCs w:val="32"/>
        </w:rPr>
        <w:t>，經業務、投資及籌資活動結果，現金及約當現金淨增</w:t>
      </w:r>
      <w:r w:rsidR="00526838" w:rsidRPr="00F813BF">
        <w:rPr>
          <w:rFonts w:ascii="標楷體" w:eastAsia="標楷體" w:hAnsi="標楷體" w:cs="Times New Roman"/>
          <w:szCs w:val="32"/>
        </w:rPr>
        <w:t>3</w:t>
      </w:r>
      <w:r w:rsidRPr="00F813BF">
        <w:rPr>
          <w:rFonts w:ascii="標楷體" w:eastAsia="標楷體" w:hAnsi="標楷體" w:cs="Times New Roman" w:hint="eastAsia"/>
          <w:szCs w:val="32"/>
        </w:rPr>
        <w:t>,</w:t>
      </w:r>
      <w:r w:rsidR="00526838" w:rsidRPr="00F813BF">
        <w:rPr>
          <w:rFonts w:ascii="標楷體" w:eastAsia="標楷體" w:hAnsi="標楷體" w:cs="Times New Roman"/>
          <w:szCs w:val="32"/>
        </w:rPr>
        <w:t>126</w:t>
      </w:r>
      <w:r w:rsidRPr="00F813BF">
        <w:rPr>
          <w:rFonts w:ascii="標楷體" w:eastAsia="標楷體" w:hAnsi="標楷體" w:cs="Times New Roman" w:hint="eastAsia"/>
          <w:szCs w:val="32"/>
        </w:rPr>
        <w:t>萬餘元，期末現金及約當現金為</w:t>
      </w:r>
      <w:r w:rsidR="00526838" w:rsidRPr="00F813BF">
        <w:rPr>
          <w:rFonts w:ascii="標楷體" w:eastAsia="標楷體" w:hAnsi="標楷體" w:cs="Times New Roman"/>
          <w:szCs w:val="32"/>
        </w:rPr>
        <w:t>10</w:t>
      </w:r>
      <w:r w:rsidRPr="00F813BF">
        <w:rPr>
          <w:rFonts w:ascii="標楷體" w:eastAsia="標楷體" w:hAnsi="標楷體" w:cs="Times New Roman" w:hint="eastAsia"/>
          <w:szCs w:val="32"/>
        </w:rPr>
        <w:t>億</w:t>
      </w:r>
      <w:r w:rsidR="00526838" w:rsidRPr="00F813BF">
        <w:rPr>
          <w:rFonts w:ascii="標楷體" w:eastAsia="標楷體" w:hAnsi="標楷體" w:cs="Times New Roman" w:hint="eastAsia"/>
          <w:szCs w:val="32"/>
        </w:rPr>
        <w:t>9</w:t>
      </w:r>
      <w:r w:rsidR="00526838" w:rsidRPr="00F813BF">
        <w:rPr>
          <w:rFonts w:ascii="標楷體" w:eastAsia="標楷體" w:hAnsi="標楷體" w:cs="Times New Roman"/>
          <w:szCs w:val="32"/>
        </w:rPr>
        <w:t>28</w:t>
      </w:r>
      <w:r w:rsidRPr="00F813BF">
        <w:rPr>
          <w:rFonts w:ascii="標楷體" w:eastAsia="標楷體" w:hAnsi="標楷體" w:cs="Times New Roman" w:hint="eastAsia"/>
          <w:szCs w:val="32"/>
        </w:rPr>
        <w:t>萬餘元。</w:t>
      </w:r>
    </w:p>
    <w:p w14:paraId="0E5E0CA3" w14:textId="77777777" w:rsidR="004B4192" w:rsidRPr="00F813BF" w:rsidRDefault="004B4192" w:rsidP="00DF5FB1">
      <w:pPr>
        <w:widowControl/>
        <w:overflowPunct w:val="0"/>
        <w:spacing w:line="520" w:lineRule="exact"/>
        <w:ind w:firstLineChars="450" w:firstLine="1261"/>
        <w:jc w:val="both"/>
        <w:rPr>
          <w:rFonts w:ascii="標楷體" w:eastAsia="標楷體" w:hAnsi="標楷體" w:cs="標楷體"/>
          <w:b/>
          <w:sz w:val="28"/>
          <w:szCs w:val="28"/>
        </w:rPr>
      </w:pPr>
      <w:r w:rsidRPr="00F813BF">
        <w:rPr>
          <w:rFonts w:ascii="標楷體" w:eastAsia="標楷體" w:hAnsi="標楷體" w:cs="標楷體" w:hint="eastAsia"/>
          <w:b/>
          <w:sz w:val="28"/>
          <w:szCs w:val="28"/>
        </w:rPr>
        <w:t>5.　重要審核意見</w:t>
      </w:r>
    </w:p>
    <w:p w14:paraId="4D7D12F6" w14:textId="64AE02E2" w:rsidR="004D5424" w:rsidRPr="00430994" w:rsidRDefault="00C40EC2" w:rsidP="00DF5FB1">
      <w:pPr>
        <w:widowControl/>
        <w:overflowPunct w:val="0"/>
        <w:spacing w:line="520" w:lineRule="exact"/>
        <w:ind w:firstLineChars="200" w:firstLine="561"/>
        <w:jc w:val="both"/>
        <w:rPr>
          <w:rFonts w:ascii="標楷體" w:eastAsia="標楷體" w:hAnsi="標楷體"/>
          <w:b/>
          <w:bCs/>
          <w:sz w:val="28"/>
          <w:szCs w:val="28"/>
        </w:rPr>
      </w:pPr>
      <w:r w:rsidRPr="004319E3">
        <w:rPr>
          <w:rFonts w:ascii="標楷體" w:eastAsia="標楷體" w:hAnsi="標楷體" w:hint="eastAsia"/>
          <w:b/>
          <w:bCs/>
          <w:sz w:val="28"/>
          <w:szCs w:val="28"/>
        </w:rPr>
        <w:t>各</w:t>
      </w:r>
      <w:r w:rsidR="004D5424" w:rsidRPr="004319E3">
        <w:rPr>
          <w:rFonts w:ascii="標楷體" w:eastAsia="標楷體" w:hAnsi="標楷體" w:hint="eastAsia"/>
          <w:b/>
          <w:bCs/>
          <w:sz w:val="28"/>
          <w:szCs w:val="28"/>
        </w:rPr>
        <w:t>核子事故應變中心執行單位為</w:t>
      </w:r>
      <w:r>
        <w:rPr>
          <w:rFonts w:ascii="標楷體" w:eastAsia="標楷體" w:hAnsi="標楷體" w:hint="eastAsia"/>
          <w:b/>
          <w:bCs/>
          <w:sz w:val="28"/>
          <w:szCs w:val="28"/>
        </w:rPr>
        <w:t>應</w:t>
      </w:r>
      <w:r w:rsidR="004D5424" w:rsidRPr="004319E3">
        <w:rPr>
          <w:rFonts w:ascii="標楷體" w:eastAsia="標楷體" w:hAnsi="標楷體" w:hint="eastAsia"/>
          <w:b/>
          <w:bCs/>
          <w:sz w:val="28"/>
          <w:szCs w:val="28"/>
        </w:rPr>
        <w:t>執行防（救）災任務需要，運用核子事故緊急應變基金購置輻射偵測儀器，惟間有未定期辦理儀器校正作業</w:t>
      </w:r>
      <w:r>
        <w:rPr>
          <w:rFonts w:ascii="標楷體" w:eastAsia="標楷體" w:hAnsi="標楷體" w:hint="eastAsia"/>
          <w:b/>
          <w:bCs/>
          <w:sz w:val="28"/>
          <w:szCs w:val="28"/>
        </w:rPr>
        <w:t>，</w:t>
      </w:r>
      <w:r w:rsidRPr="00C40EC2">
        <w:rPr>
          <w:rFonts w:ascii="標楷體" w:eastAsia="標楷體" w:hAnsi="標楷體" w:hint="eastAsia"/>
          <w:b/>
          <w:bCs/>
          <w:sz w:val="28"/>
          <w:szCs w:val="28"/>
        </w:rPr>
        <w:t>或</w:t>
      </w:r>
      <w:r w:rsidR="004D5424" w:rsidRPr="004319E3">
        <w:rPr>
          <w:rFonts w:ascii="標楷體" w:eastAsia="標楷體" w:hAnsi="標楷體" w:hint="eastAsia"/>
          <w:b/>
          <w:bCs/>
          <w:sz w:val="28"/>
          <w:szCs w:val="28"/>
        </w:rPr>
        <w:t>儀器未配置於緊急</w:t>
      </w:r>
      <w:r w:rsidR="004D5424" w:rsidRPr="004319E3">
        <w:rPr>
          <w:rFonts w:ascii="標楷體" w:eastAsia="標楷體" w:hAnsi="標楷體" w:hint="eastAsia"/>
          <w:b/>
          <w:bCs/>
          <w:sz w:val="28"/>
          <w:szCs w:val="28"/>
        </w:rPr>
        <w:lastRenderedPageBreak/>
        <w:t>應變計畫區範圍等情，潛存</w:t>
      </w:r>
      <w:r w:rsidR="00430994">
        <w:rPr>
          <w:rFonts w:ascii="標楷體" w:eastAsia="標楷體" w:hAnsi="標楷體" w:hint="eastAsia"/>
          <w:b/>
          <w:bCs/>
          <w:sz w:val="28"/>
          <w:szCs w:val="28"/>
        </w:rPr>
        <w:t>影響裝</w:t>
      </w:r>
      <w:r w:rsidR="00430994" w:rsidRPr="00430994">
        <w:rPr>
          <w:rFonts w:ascii="標楷體" w:eastAsia="標楷體" w:hAnsi="標楷體" w:hint="eastAsia"/>
          <w:b/>
          <w:bCs/>
          <w:sz w:val="28"/>
          <w:szCs w:val="28"/>
        </w:rPr>
        <w:t>備</w:t>
      </w:r>
      <w:r w:rsidR="004D5424" w:rsidRPr="004319E3">
        <w:rPr>
          <w:rFonts w:ascii="標楷體" w:eastAsia="標楷體" w:hAnsi="標楷體" w:hint="eastAsia"/>
          <w:b/>
          <w:bCs/>
          <w:sz w:val="28"/>
          <w:szCs w:val="28"/>
        </w:rPr>
        <w:t>妥善率及救災任務</w:t>
      </w:r>
      <w:r w:rsidR="00430994">
        <w:rPr>
          <w:rFonts w:ascii="標楷體" w:eastAsia="標楷體" w:hAnsi="標楷體" w:hint="eastAsia"/>
          <w:b/>
          <w:bCs/>
          <w:sz w:val="28"/>
          <w:szCs w:val="28"/>
        </w:rPr>
        <w:t>及時性等</w:t>
      </w:r>
      <w:r w:rsidR="004D5424" w:rsidRPr="004319E3">
        <w:rPr>
          <w:rFonts w:ascii="標楷體" w:eastAsia="標楷體" w:hAnsi="標楷體" w:hint="eastAsia"/>
          <w:b/>
          <w:bCs/>
          <w:sz w:val="28"/>
          <w:szCs w:val="28"/>
        </w:rPr>
        <w:t>風險，允宜督促</w:t>
      </w:r>
      <w:r w:rsidR="00B77850">
        <w:rPr>
          <w:rFonts w:ascii="標楷體" w:eastAsia="標楷體" w:hAnsi="標楷體" w:hint="eastAsia"/>
          <w:b/>
          <w:bCs/>
          <w:sz w:val="28"/>
          <w:szCs w:val="28"/>
        </w:rPr>
        <w:t>研謀檢討改進</w:t>
      </w:r>
      <w:r w:rsidR="004D5424" w:rsidRPr="004319E3">
        <w:rPr>
          <w:rFonts w:ascii="標楷體" w:eastAsia="標楷體" w:hAnsi="標楷體" w:hint="eastAsia"/>
          <w:b/>
          <w:bCs/>
          <w:sz w:val="28"/>
          <w:szCs w:val="28"/>
        </w:rPr>
        <w:t>，</w:t>
      </w:r>
      <w:r w:rsidR="00B77850">
        <w:rPr>
          <w:rFonts w:ascii="標楷體" w:eastAsia="標楷體" w:hAnsi="標楷體" w:hint="eastAsia"/>
          <w:b/>
          <w:bCs/>
          <w:sz w:val="28"/>
          <w:szCs w:val="28"/>
        </w:rPr>
        <w:t>俾</w:t>
      </w:r>
      <w:r w:rsidR="004D5424" w:rsidRPr="004319E3">
        <w:rPr>
          <w:rFonts w:ascii="標楷體" w:eastAsia="標楷體" w:hAnsi="標楷體" w:hint="eastAsia"/>
          <w:b/>
          <w:bCs/>
          <w:sz w:val="28"/>
          <w:szCs w:val="28"/>
        </w:rPr>
        <w:t>確保應變作業之遂行</w:t>
      </w:r>
      <w:r w:rsidR="004D5424" w:rsidRPr="00430994">
        <w:rPr>
          <w:rFonts w:ascii="標楷體" w:eastAsia="標楷體" w:hAnsi="標楷體" w:hint="eastAsia"/>
          <w:b/>
          <w:bCs/>
          <w:sz w:val="28"/>
          <w:szCs w:val="28"/>
        </w:rPr>
        <w:t>。</w:t>
      </w:r>
    </w:p>
    <w:p w14:paraId="7389101D" w14:textId="2538301A" w:rsidR="004D5424" w:rsidRPr="00E0420E" w:rsidRDefault="004D5424" w:rsidP="00227CFB">
      <w:pPr>
        <w:overflowPunct w:val="0"/>
        <w:spacing w:line="560" w:lineRule="exact"/>
        <w:ind w:firstLineChars="200" w:firstLine="480"/>
        <w:jc w:val="both"/>
        <w:rPr>
          <w:rFonts w:ascii="標楷體" w:eastAsia="標楷體" w:hAnsi="標楷體" w:cs="Times New Roman"/>
          <w:szCs w:val="24"/>
        </w:rPr>
      </w:pPr>
      <w:r w:rsidRPr="004D5424">
        <w:rPr>
          <w:rFonts w:ascii="標楷體" w:eastAsia="標楷體" w:hAnsi="標楷體" w:cs="Times New Roman" w:hint="eastAsia"/>
          <w:szCs w:val="24"/>
        </w:rPr>
        <w:t>政府為健全核子事故緊急應變體制，強化緊急應變功能，依據核子事故緊急應變法第6條第1項規定，核子事故發生或有發生之虞時，由中央主管機關核能安全委員會</w:t>
      </w:r>
      <w:r w:rsidR="00E4400C" w:rsidRPr="004D5424">
        <w:rPr>
          <w:rFonts w:ascii="標楷體" w:eastAsia="標楷體" w:hAnsi="標楷體" w:cs="Times New Roman" w:hint="eastAsia"/>
          <w:szCs w:val="24"/>
        </w:rPr>
        <w:t>（</w:t>
      </w:r>
      <w:r w:rsidRPr="004D5424">
        <w:rPr>
          <w:rFonts w:ascii="標楷體" w:eastAsia="標楷體" w:hAnsi="標楷體" w:cs="Times New Roman" w:hint="eastAsia"/>
          <w:szCs w:val="24"/>
        </w:rPr>
        <w:t>下稱核安會）、國防部、地方主管機關分別成立核子事故中央災害應變中心及輻射監測中心、核子事故支援中心、核子事故地方災害應變中心（下稱各應變中心），執行各項緊急應變作業。另核安會為</w:t>
      </w:r>
      <w:r w:rsidR="0022252C">
        <w:rPr>
          <w:rFonts w:ascii="標楷體" w:eastAsia="標楷體" w:hAnsi="標楷體" w:cs="Times New Roman" w:hint="eastAsia"/>
          <w:szCs w:val="24"/>
        </w:rPr>
        <w:t>規範</w:t>
      </w:r>
      <w:r w:rsidRPr="004D5424">
        <w:rPr>
          <w:rFonts w:ascii="標楷體" w:eastAsia="標楷體" w:hAnsi="標楷體" w:cs="Times New Roman" w:hint="eastAsia"/>
          <w:szCs w:val="24"/>
        </w:rPr>
        <w:t>各應變中心救災及防護裝備之備援量能，訂有「核子事故各應變中心救災及防護裝備配置要點（下稱配置要點）」，依據配置要點規定，各應變中心執行單位得依救災任務需要，編列核子事故緊急應變基金</w:t>
      </w:r>
      <w:r w:rsidR="00A43E95">
        <w:rPr>
          <w:rFonts w:ascii="標楷體" w:eastAsia="標楷體" w:hAnsi="標楷體" w:cs="Times New Roman" w:hint="eastAsia"/>
          <w:szCs w:val="24"/>
        </w:rPr>
        <w:t>預算</w:t>
      </w:r>
      <w:r w:rsidRPr="004D5424">
        <w:rPr>
          <w:rFonts w:ascii="標楷體" w:eastAsia="標楷體" w:hAnsi="標楷體" w:cs="Times New Roman" w:hint="eastAsia"/>
          <w:szCs w:val="24"/>
        </w:rPr>
        <w:t>，購置配置要點第5點附表1至附表4之各項救災及防（救）護裝備，包括執行輻射偵測作業所需之偵測（檢）儀器（下稱輻射偵測儀器）</w:t>
      </w:r>
      <w:r w:rsidR="00E4400C">
        <w:rPr>
          <w:rFonts w:ascii="標楷體" w:eastAsia="標楷體" w:hAnsi="標楷體" w:cs="Times New Roman" w:hint="eastAsia"/>
          <w:szCs w:val="24"/>
        </w:rPr>
        <w:t>。</w:t>
      </w:r>
      <w:r w:rsidRPr="004D5424">
        <w:rPr>
          <w:rFonts w:ascii="標楷體" w:eastAsia="標楷體" w:hAnsi="標楷體" w:cs="Times New Roman" w:hint="eastAsia"/>
          <w:szCs w:val="24"/>
        </w:rPr>
        <w:t>據核安會統計，截至114年10月底止，各應變中心執行單位經管核子事故緊急應變基金購置之輻射偵測儀器共計216臺（經管單位：核安會及所屬5</w:t>
      </w:r>
      <w:r w:rsidRPr="004D5424">
        <w:rPr>
          <w:rFonts w:ascii="標楷體" w:eastAsia="標楷體" w:hAnsi="標楷體" w:cs="Times New Roman"/>
          <w:szCs w:val="24"/>
        </w:rPr>
        <w:t>0</w:t>
      </w:r>
      <w:r w:rsidRPr="004D5424">
        <w:rPr>
          <w:rFonts w:ascii="標楷體" w:eastAsia="標楷體" w:hAnsi="標楷體" w:cs="Times New Roman" w:hint="eastAsia"/>
          <w:szCs w:val="24"/>
        </w:rPr>
        <w:t>臺、國防部陸軍司令部及所屬90臺、各該地方政府</w:t>
      </w:r>
      <w:r w:rsidRPr="004D5424">
        <w:rPr>
          <w:rFonts w:ascii="標楷體" w:eastAsia="標楷體" w:hAnsi="標楷體" w:cs="Times New Roman"/>
          <w:szCs w:val="24"/>
        </w:rPr>
        <w:t>76</w:t>
      </w:r>
      <w:r w:rsidRPr="004D5424">
        <w:rPr>
          <w:rFonts w:ascii="標楷體" w:eastAsia="標楷體" w:hAnsi="標楷體" w:cs="Times New Roman" w:hint="eastAsia"/>
          <w:szCs w:val="24"/>
        </w:rPr>
        <w:t>臺）、金額2,435萬餘元。經查，核安會為妥善管理核子事故緊急應變基金</w:t>
      </w:r>
      <w:r w:rsidRPr="004D5424">
        <w:rPr>
          <w:rFonts w:ascii="標楷體" w:eastAsia="標楷體" w:hAnsi="標楷體" w:cs="Times New Roman"/>
          <w:szCs w:val="24"/>
        </w:rPr>
        <w:t>購置之財產，</w:t>
      </w:r>
      <w:r w:rsidRPr="004D5424">
        <w:rPr>
          <w:rFonts w:ascii="標楷體" w:eastAsia="標楷體" w:hAnsi="標楷體" w:cs="Times New Roman" w:hint="eastAsia"/>
          <w:szCs w:val="24"/>
        </w:rPr>
        <w:t>訂有核子事故緊急應變基金移撥或贈與之財產設備管理注意事項，依該注意事項第4點規定：「基金購置之財產設備，各財產管理單位對使用中之財產，應隨時查對實際使用狀況，並應對財產了解功能、熟悉操作，以維持正常運作。」另各應變中心為確保輻射偵測儀器量測之準確度，</w:t>
      </w:r>
      <w:r w:rsidR="008F542B">
        <w:rPr>
          <w:rFonts w:ascii="標楷體" w:eastAsia="標楷體" w:hAnsi="標楷體" w:cs="Times New Roman" w:hint="eastAsia"/>
          <w:szCs w:val="24"/>
        </w:rPr>
        <w:t>於</w:t>
      </w:r>
      <w:r w:rsidRPr="004D5424">
        <w:rPr>
          <w:rFonts w:ascii="標楷體" w:eastAsia="標楷體" w:hAnsi="標楷體" w:cs="Times New Roman" w:hint="eastAsia"/>
          <w:szCs w:val="24"/>
        </w:rPr>
        <w:t>各地方政府之核子事故區域民眾防護應變計畫、核子事故輻射監測中心應變設備管理維護作業程序書等，均規範輻射偵測儀器應定期辦理校正作業。惟查，國防部陸軍司令部經管之90臺輻射偵測儀器，有33臺未每年辦理校正作業</w:t>
      </w:r>
      <w:r w:rsidR="00AF584B">
        <w:rPr>
          <w:rFonts w:ascii="標楷體" w:eastAsia="標楷體" w:hAnsi="標楷體" w:cs="Times New Roman" w:hint="eastAsia"/>
          <w:szCs w:val="24"/>
        </w:rPr>
        <w:t>，</w:t>
      </w:r>
      <w:r w:rsidR="00C45B13">
        <w:rPr>
          <w:rFonts w:ascii="標楷體" w:eastAsia="標楷體" w:hAnsi="標楷體" w:cs="Times New Roman" w:hint="eastAsia"/>
          <w:szCs w:val="24"/>
        </w:rPr>
        <w:t>又</w:t>
      </w:r>
      <w:r w:rsidRPr="004D5424">
        <w:rPr>
          <w:rFonts w:ascii="標楷體" w:eastAsia="標楷體" w:hAnsi="標楷體" w:cs="Times New Roman" w:hint="eastAsia"/>
          <w:szCs w:val="24"/>
        </w:rPr>
        <w:t>有80臺輻射偵測儀器共用財產編號，未按國有公用財產管理手冊第19點規定，於財產分類編號後，依序編數量編號</w:t>
      </w:r>
      <w:r w:rsidR="00AF584B">
        <w:rPr>
          <w:rFonts w:ascii="標楷體" w:eastAsia="標楷體" w:hAnsi="標楷體" w:cs="Times New Roman" w:hint="eastAsia"/>
          <w:szCs w:val="24"/>
        </w:rPr>
        <w:t>，</w:t>
      </w:r>
      <w:r w:rsidRPr="004D5424">
        <w:rPr>
          <w:rFonts w:ascii="標楷體" w:eastAsia="標楷體" w:hAnsi="標楷體" w:cs="Times New Roman" w:hint="eastAsia"/>
          <w:szCs w:val="24"/>
        </w:rPr>
        <w:t>相關儀器之維護及管理</w:t>
      </w:r>
      <w:r w:rsidR="003F6B68">
        <w:rPr>
          <w:rFonts w:ascii="標楷體" w:eastAsia="標楷體" w:hAnsi="標楷體" w:cs="Times New Roman" w:hint="eastAsia"/>
          <w:szCs w:val="24"/>
        </w:rPr>
        <w:t>有欠</w:t>
      </w:r>
      <w:r w:rsidRPr="004D5424">
        <w:rPr>
          <w:rFonts w:ascii="標楷體" w:eastAsia="標楷體" w:hAnsi="標楷體" w:cs="Times New Roman" w:hint="eastAsia"/>
          <w:szCs w:val="24"/>
        </w:rPr>
        <w:t>周妥，潛存妥善率不足之風險，</w:t>
      </w:r>
      <w:r w:rsidR="003F6B68">
        <w:rPr>
          <w:rFonts w:ascii="標楷體" w:eastAsia="標楷體" w:hAnsi="標楷體" w:cs="Times New Roman" w:hint="eastAsia"/>
          <w:szCs w:val="24"/>
        </w:rPr>
        <w:t>恐</w:t>
      </w:r>
      <w:r w:rsidRPr="004D5424">
        <w:rPr>
          <w:rFonts w:ascii="標楷體" w:eastAsia="標楷體" w:hAnsi="標楷體" w:cs="Times New Roman" w:hint="eastAsia"/>
          <w:szCs w:val="24"/>
        </w:rPr>
        <w:t>不利輻射偵測作業之遂</w:t>
      </w:r>
      <w:r w:rsidRPr="00287F92">
        <w:rPr>
          <w:rFonts w:ascii="標楷體" w:eastAsia="標楷體" w:hAnsi="標楷體" w:cs="Times New Roman" w:hint="eastAsia"/>
          <w:szCs w:val="24"/>
        </w:rPr>
        <w:t>行。復查，</w:t>
      </w:r>
      <w:r w:rsidRPr="004D5424">
        <w:rPr>
          <w:rFonts w:ascii="標楷體" w:eastAsia="標楷體" w:hAnsi="標楷體" w:cs="Times New Roman" w:hint="eastAsia"/>
          <w:szCs w:val="24"/>
        </w:rPr>
        <w:t>依據核子事故緊急應變法第2條規定，緊急應變計畫區（Emergency Planning Zone,EPZ）係指核子事故發生時，必須實施緊急應變計畫及即時採取民眾防護措施之區域，據核安會公告核一、核二、核三電廠之EPZ範圍，涵蓋基隆市、新北市及屏東縣之68個村里行政區，按配置要點第5點附表4之註3規定，地方主管機關依救災任務需要，</w:t>
      </w:r>
      <w:r w:rsidRPr="004D5424">
        <w:rPr>
          <w:rFonts w:ascii="標楷體" w:eastAsia="標楷體" w:hAnsi="標楷體" w:cs="Times New Roman"/>
          <w:szCs w:val="24"/>
        </w:rPr>
        <w:t>EPZ</w:t>
      </w:r>
      <w:r w:rsidRPr="004D5424">
        <w:rPr>
          <w:rFonts w:ascii="標楷體" w:eastAsia="標楷體" w:hAnsi="標楷體" w:cs="Times New Roman" w:hint="eastAsia"/>
          <w:szCs w:val="24"/>
        </w:rPr>
        <w:t>內</w:t>
      </w:r>
      <w:r w:rsidR="000D3A17">
        <w:rPr>
          <w:rFonts w:ascii="標楷體" w:eastAsia="標楷體" w:hAnsi="標楷體" w:cs="Times New Roman" w:hint="eastAsia"/>
          <w:szCs w:val="24"/>
        </w:rPr>
        <w:t>之</w:t>
      </w:r>
      <w:r w:rsidRPr="004D5424">
        <w:rPr>
          <w:rFonts w:ascii="標楷體" w:eastAsia="標楷體" w:hAnsi="標楷體" w:cs="Times New Roman" w:hint="eastAsia"/>
          <w:szCs w:val="24"/>
        </w:rPr>
        <w:t>各消防分隊、警察分局、衛生所、鄉鎮區公所及清潔隊，最多可購置2臺蓋革偵檢器（手持式輻射偵檢器）。惟查，基隆市、新北市及屏東縣</w:t>
      </w:r>
      <w:r w:rsidRPr="004D5424">
        <w:rPr>
          <w:rFonts w:ascii="標楷體" w:eastAsia="標楷體" w:hAnsi="標楷體" w:cs="Times New Roman" w:hint="eastAsia"/>
          <w:szCs w:val="24"/>
        </w:rPr>
        <w:lastRenderedPageBreak/>
        <w:t>政府經管之76臺輻射偵測儀器，近5成（48.68％、37臺）配置於EPZ範圍外</w:t>
      </w:r>
      <w:r w:rsidR="00E2723E">
        <w:rPr>
          <w:rFonts w:ascii="標楷體" w:eastAsia="標楷體" w:hAnsi="標楷體" w:cs="Times New Roman" w:hint="eastAsia"/>
          <w:szCs w:val="24"/>
        </w:rPr>
        <w:t>，</w:t>
      </w:r>
      <w:r w:rsidRPr="004D5424">
        <w:rPr>
          <w:rFonts w:ascii="標楷體" w:eastAsia="標楷體" w:hAnsi="標楷體" w:cs="Times New Roman" w:hint="eastAsia"/>
          <w:szCs w:val="24"/>
        </w:rPr>
        <w:t>另有9個</w:t>
      </w:r>
      <w:r w:rsidR="00E2723E">
        <w:rPr>
          <w:rFonts w:ascii="標楷體" w:eastAsia="標楷體" w:hAnsi="標楷體" w:cs="Times New Roman" w:hint="eastAsia"/>
          <w:szCs w:val="24"/>
        </w:rPr>
        <w:t>位於</w:t>
      </w:r>
      <w:r w:rsidRPr="004D5424">
        <w:rPr>
          <w:rFonts w:ascii="標楷體" w:eastAsia="標楷體" w:hAnsi="標楷體" w:cs="Times New Roman" w:hint="eastAsia"/>
          <w:szCs w:val="24"/>
        </w:rPr>
        <w:t>EPZ範圍內之警察分局、衛生所、鄉鎮區公所及清潔隊等救災任務單位，未配置輻射偵</w:t>
      </w:r>
      <w:r w:rsidRPr="00E2723E">
        <w:rPr>
          <w:rFonts w:ascii="標楷體" w:eastAsia="標楷體" w:hAnsi="標楷體" w:cs="Times New Roman" w:hint="eastAsia"/>
          <w:szCs w:val="24"/>
        </w:rPr>
        <w:t>測儀器</w:t>
      </w:r>
      <w:r w:rsidR="00E2723E" w:rsidRPr="00E2723E">
        <w:rPr>
          <w:rFonts w:ascii="標楷體" w:eastAsia="標楷體" w:hAnsi="標楷體" w:cs="Times New Roman" w:hint="eastAsia"/>
          <w:szCs w:val="24"/>
        </w:rPr>
        <w:t>，相</w:t>
      </w:r>
      <w:r w:rsidR="00E2723E" w:rsidRPr="004D5424">
        <w:rPr>
          <w:rFonts w:ascii="標楷體" w:eastAsia="標楷體" w:hAnsi="標楷體" w:cs="Times New Roman" w:hint="eastAsia"/>
          <w:szCs w:val="24"/>
        </w:rPr>
        <w:t>關儀器恐無法</w:t>
      </w:r>
      <w:r w:rsidR="00E2723E">
        <w:rPr>
          <w:rFonts w:ascii="標楷體" w:eastAsia="標楷體" w:hAnsi="標楷體" w:cs="Times New Roman" w:hint="eastAsia"/>
          <w:szCs w:val="24"/>
        </w:rPr>
        <w:t>及時</w:t>
      </w:r>
      <w:r w:rsidR="00E2723E" w:rsidRPr="004D5424">
        <w:rPr>
          <w:rFonts w:ascii="標楷體" w:eastAsia="標楷體" w:hAnsi="標楷體" w:cs="Times New Roman" w:hint="eastAsia"/>
          <w:szCs w:val="24"/>
        </w:rPr>
        <w:t>投入緊急救災作業</w:t>
      </w:r>
      <w:r w:rsidRPr="004D5424">
        <w:rPr>
          <w:rFonts w:ascii="標楷體" w:eastAsia="標楷體" w:hAnsi="標楷體" w:cs="Times New Roman" w:hint="eastAsia"/>
          <w:szCs w:val="24"/>
        </w:rPr>
        <w:t>，</w:t>
      </w:r>
      <w:r w:rsidR="00E2723E">
        <w:rPr>
          <w:rFonts w:ascii="標楷體" w:eastAsia="標楷體" w:hAnsi="標楷體" w:cs="Times New Roman" w:hint="eastAsia"/>
          <w:szCs w:val="24"/>
        </w:rPr>
        <w:t>其</w:t>
      </w:r>
      <w:r w:rsidRPr="004D5424">
        <w:rPr>
          <w:rFonts w:ascii="標楷體" w:eastAsia="標楷體" w:hAnsi="標楷體" w:cs="Times New Roman" w:hint="eastAsia"/>
          <w:szCs w:val="24"/>
        </w:rPr>
        <w:t>配置情形容有檢討調整空間。鑑於輻射偵測作業於核子事故發生時，可協助評估</w:t>
      </w:r>
      <w:r w:rsidRPr="004D5424">
        <w:rPr>
          <w:rFonts w:ascii="標楷體" w:eastAsia="標楷體" w:hAnsi="標楷體" w:cs="Times New Roman"/>
          <w:szCs w:val="24"/>
        </w:rPr>
        <w:t>放射性物質外釋</w:t>
      </w:r>
      <w:r w:rsidRPr="004D5424">
        <w:rPr>
          <w:rFonts w:ascii="標楷體" w:eastAsia="標楷體" w:hAnsi="標楷體" w:cs="Times New Roman" w:hint="eastAsia"/>
          <w:szCs w:val="24"/>
        </w:rPr>
        <w:t>範圍及劑量多寡，據以採行適當之應變措施，及時降低</w:t>
      </w:r>
      <w:r w:rsidRPr="004D5424">
        <w:rPr>
          <w:rFonts w:ascii="標楷體" w:eastAsia="標楷體" w:hAnsi="標楷體" w:cs="Times New Roman"/>
          <w:szCs w:val="24"/>
        </w:rPr>
        <w:t>輻射危害</w:t>
      </w:r>
      <w:r w:rsidRPr="004D5424">
        <w:rPr>
          <w:rFonts w:ascii="標楷體" w:eastAsia="標楷體" w:hAnsi="標楷體" w:cs="Times New Roman" w:hint="eastAsia"/>
          <w:szCs w:val="24"/>
        </w:rPr>
        <w:t>，為強化</w:t>
      </w:r>
      <w:r w:rsidRPr="004D5424">
        <w:rPr>
          <w:rFonts w:ascii="標楷體" w:eastAsia="標楷體" w:hAnsi="標楷體" w:cs="Times New Roman"/>
          <w:szCs w:val="24"/>
        </w:rPr>
        <w:t>核子事故緊急應變</w:t>
      </w:r>
      <w:r w:rsidRPr="004D5424">
        <w:rPr>
          <w:rFonts w:ascii="標楷體" w:eastAsia="標楷體" w:hAnsi="標楷體" w:cs="Times New Roman" w:hint="eastAsia"/>
          <w:szCs w:val="24"/>
        </w:rPr>
        <w:t>效能，確保</w:t>
      </w:r>
      <w:r w:rsidR="006E7485" w:rsidRPr="004D5424">
        <w:rPr>
          <w:rFonts w:ascii="標楷體" w:eastAsia="標楷體" w:hAnsi="標楷體" w:cs="Times New Roman" w:hint="eastAsia"/>
          <w:szCs w:val="24"/>
        </w:rPr>
        <w:t>輻射偵測防護作業品質及安全</w:t>
      </w:r>
      <w:r w:rsidR="006E7485">
        <w:rPr>
          <w:rFonts w:ascii="標楷體" w:eastAsia="標楷體" w:hAnsi="標楷體" w:cs="Times New Roman" w:hint="eastAsia"/>
          <w:szCs w:val="24"/>
        </w:rPr>
        <w:t>、</w:t>
      </w:r>
      <w:r w:rsidRPr="004D5424">
        <w:rPr>
          <w:rFonts w:ascii="標楷體" w:eastAsia="標楷體" w:hAnsi="標楷體" w:cs="Times New Roman" w:hint="eastAsia"/>
          <w:szCs w:val="24"/>
        </w:rPr>
        <w:t>防（救）護裝備妥善支援救災需要，經函請核安會督促各應變中心執行單位定期辦理儀器校正作業，並協助地</w:t>
      </w:r>
      <w:r w:rsidRPr="000D5853">
        <w:rPr>
          <w:rFonts w:ascii="標楷體" w:eastAsia="標楷體" w:hAnsi="標楷體" w:cs="Times New Roman" w:hint="eastAsia"/>
          <w:szCs w:val="24"/>
        </w:rPr>
        <w:t>方政府妥為配置儀器及維運管理防（救）護裝備，以確保核子事故緊急應變作業之遂行。據復：（1）國防部成立核子事故支援中心，協助監測中心辦理空中及陸域輻射偵測作業，該部係依任務需求，優先辦理應變及戰備裝備之校正，</w:t>
      </w:r>
      <w:r w:rsidR="00227CFB">
        <w:rPr>
          <w:rFonts w:ascii="標楷體" w:eastAsia="標楷體" w:hAnsi="標楷體" w:cs="Times New Roman" w:hint="eastAsia"/>
          <w:szCs w:val="24"/>
        </w:rPr>
        <w:t>未來儀器</w:t>
      </w:r>
      <w:r w:rsidRPr="000D5853">
        <w:rPr>
          <w:rFonts w:ascii="標楷體" w:eastAsia="標楷體" w:hAnsi="標楷體" w:cs="Times New Roman" w:hint="eastAsia"/>
          <w:szCs w:val="24"/>
        </w:rPr>
        <w:t>將逐年分批納入校正，並督促所屬填註完整財產編號，以周延儀器維護及管理作業</w:t>
      </w:r>
      <w:r w:rsidR="00E90EE8">
        <w:rPr>
          <w:rFonts w:ascii="標楷體" w:eastAsia="標楷體" w:hAnsi="標楷體" w:cs="Times New Roman" w:hint="eastAsia"/>
          <w:szCs w:val="24"/>
        </w:rPr>
        <w:t>；</w:t>
      </w:r>
      <w:r w:rsidRPr="000D5853">
        <w:rPr>
          <w:rFonts w:ascii="標楷體" w:eastAsia="標楷體" w:hAnsi="標楷體" w:cs="Times New Roman" w:hint="eastAsia"/>
          <w:szCs w:val="24"/>
        </w:rPr>
        <w:t>（</w:t>
      </w:r>
      <w:r w:rsidRPr="000D5853">
        <w:rPr>
          <w:rFonts w:ascii="標楷體" w:eastAsia="標楷體" w:hAnsi="標楷體" w:cs="Times New Roman"/>
          <w:szCs w:val="24"/>
        </w:rPr>
        <w:t>2</w:t>
      </w:r>
      <w:r w:rsidRPr="000D5853">
        <w:rPr>
          <w:rFonts w:ascii="標楷體" w:eastAsia="標楷體" w:hAnsi="標楷體" w:cs="Times New Roman" w:hint="eastAsia"/>
          <w:szCs w:val="24"/>
        </w:rPr>
        <w:t>）新北市政府原集中存放之30臺輻射偵測儀器，經重新盤點後，除</w:t>
      </w:r>
      <w:r w:rsidRPr="000D5853">
        <w:rPr>
          <w:rFonts w:ascii="標楷體" w:eastAsia="標楷體" w:hAnsi="標楷體" w:cs="Times New Roman"/>
          <w:szCs w:val="24"/>
        </w:rPr>
        <w:t>2</w:t>
      </w:r>
      <w:r w:rsidRPr="000D5853">
        <w:rPr>
          <w:rFonts w:ascii="標楷體" w:eastAsia="標楷體" w:hAnsi="標楷體" w:cs="Times New Roman" w:hint="eastAsia"/>
          <w:szCs w:val="24"/>
        </w:rPr>
        <w:t>臺配置災害應變中心集中調度使用外，其餘已於</w:t>
      </w:r>
      <w:r w:rsidRPr="000D5853">
        <w:rPr>
          <w:rFonts w:ascii="標楷體" w:eastAsia="標楷體" w:hAnsi="標楷體" w:cs="Times New Roman"/>
          <w:szCs w:val="24"/>
        </w:rPr>
        <w:t>115</w:t>
      </w:r>
      <w:r w:rsidRPr="000D5853">
        <w:rPr>
          <w:rFonts w:ascii="標楷體" w:eastAsia="標楷體" w:hAnsi="標楷體" w:cs="Times New Roman" w:hint="eastAsia"/>
          <w:szCs w:val="24"/>
        </w:rPr>
        <w:t>年</w:t>
      </w:r>
      <w:r w:rsidRPr="000D5853">
        <w:rPr>
          <w:rFonts w:ascii="標楷體" w:eastAsia="標楷體" w:hAnsi="標楷體" w:cs="Times New Roman"/>
          <w:szCs w:val="24"/>
        </w:rPr>
        <w:t>1</w:t>
      </w:r>
      <w:r w:rsidRPr="000D5853">
        <w:rPr>
          <w:rFonts w:ascii="標楷體" w:eastAsia="標楷體" w:hAnsi="標楷體" w:cs="Times New Roman" w:hint="eastAsia"/>
          <w:szCs w:val="24"/>
        </w:rPr>
        <w:t>月配發至</w:t>
      </w:r>
      <w:r w:rsidRPr="000D5853">
        <w:rPr>
          <w:rFonts w:ascii="標楷體" w:eastAsia="標楷體" w:hAnsi="標楷體" w:cs="Times New Roman"/>
          <w:szCs w:val="24"/>
        </w:rPr>
        <w:t>EPZ</w:t>
      </w:r>
      <w:r w:rsidRPr="000D5853">
        <w:rPr>
          <w:rFonts w:ascii="標楷體" w:eastAsia="標楷體" w:hAnsi="標楷體" w:cs="Times New Roman" w:hint="eastAsia"/>
          <w:szCs w:val="24"/>
        </w:rPr>
        <w:t>內各行政區之警察分局、區公所及消防分隊</w:t>
      </w:r>
      <w:r w:rsidR="000103C8">
        <w:rPr>
          <w:rFonts w:ascii="標楷體" w:eastAsia="標楷體" w:hAnsi="標楷體" w:cs="Times New Roman" w:hint="eastAsia"/>
          <w:szCs w:val="24"/>
        </w:rPr>
        <w:t>；</w:t>
      </w:r>
      <w:r w:rsidRPr="000D5853">
        <w:rPr>
          <w:rFonts w:ascii="標楷體" w:eastAsia="標楷體" w:hAnsi="標楷體" w:cs="Times New Roman" w:hint="eastAsia"/>
          <w:szCs w:val="24"/>
        </w:rPr>
        <w:t>屏東縣政府經管之輻射偵測儀器，主要配置於</w:t>
      </w:r>
      <w:r w:rsidRPr="000D5853">
        <w:rPr>
          <w:rFonts w:ascii="標楷體" w:eastAsia="標楷體" w:hAnsi="標楷體" w:cs="Times New Roman"/>
          <w:szCs w:val="24"/>
        </w:rPr>
        <w:t>EPZ</w:t>
      </w:r>
      <w:r w:rsidRPr="000D5853">
        <w:rPr>
          <w:rFonts w:ascii="標楷體" w:eastAsia="標楷體" w:hAnsi="標楷體" w:cs="Times New Roman" w:hint="eastAsia"/>
          <w:szCs w:val="24"/>
        </w:rPr>
        <w:t>內各行政區之消防分隊及衛生所，暨考量核子事故惡化時，可能擴及</w:t>
      </w:r>
      <w:r w:rsidRPr="000D5853">
        <w:rPr>
          <w:rFonts w:ascii="標楷體" w:eastAsia="標楷體" w:hAnsi="標楷體" w:cs="Times New Roman"/>
          <w:szCs w:val="24"/>
        </w:rPr>
        <w:t>EPZ</w:t>
      </w:r>
      <w:r w:rsidRPr="000D5853">
        <w:rPr>
          <w:rFonts w:ascii="標楷體" w:eastAsia="標楷體" w:hAnsi="標楷體" w:cs="Times New Roman" w:hint="eastAsia"/>
          <w:szCs w:val="24"/>
        </w:rPr>
        <w:t>外區域之衛生所</w:t>
      </w:r>
      <w:r w:rsidR="000103C8">
        <w:rPr>
          <w:rFonts w:ascii="標楷體" w:eastAsia="標楷體" w:hAnsi="標楷體" w:cs="Times New Roman" w:hint="eastAsia"/>
          <w:szCs w:val="24"/>
        </w:rPr>
        <w:t>；</w:t>
      </w:r>
      <w:r w:rsidRPr="000D5853">
        <w:rPr>
          <w:rFonts w:ascii="標楷體" w:eastAsia="標楷體" w:hAnsi="標楷體" w:cs="Times New Roman" w:hint="eastAsia"/>
          <w:szCs w:val="24"/>
        </w:rPr>
        <w:t>基隆市政府考量消防人員較易接觸疑似受放射性污染之傷病患，爰輻射偵測儀器主要配置於</w:t>
      </w:r>
      <w:r w:rsidRPr="000D5853">
        <w:rPr>
          <w:rFonts w:ascii="標楷體" w:eastAsia="標楷體" w:hAnsi="標楷體" w:cs="Times New Roman"/>
          <w:szCs w:val="24"/>
        </w:rPr>
        <w:t>EPZ</w:t>
      </w:r>
      <w:r w:rsidRPr="000D5853">
        <w:rPr>
          <w:rFonts w:ascii="標楷體" w:eastAsia="標楷體" w:hAnsi="標楷體" w:cs="Times New Roman" w:hint="eastAsia"/>
          <w:szCs w:val="24"/>
        </w:rPr>
        <w:t>內各行政區之消防分隊，並重</w:t>
      </w:r>
      <w:r w:rsidRPr="00287F92">
        <w:rPr>
          <w:rFonts w:ascii="標楷體" w:eastAsia="標楷體" w:hAnsi="標楷體" w:cs="Times New Roman" w:hint="eastAsia"/>
          <w:szCs w:val="24"/>
        </w:rPr>
        <w:t>點配置</w:t>
      </w:r>
      <w:r w:rsidR="000103C8" w:rsidRPr="00287F92">
        <w:rPr>
          <w:rFonts w:ascii="標楷體" w:eastAsia="標楷體" w:hAnsi="標楷體" w:cs="Times New Roman" w:hint="eastAsia"/>
          <w:szCs w:val="24"/>
        </w:rPr>
        <w:t>位</w:t>
      </w:r>
      <w:r w:rsidR="00227CFB">
        <w:rPr>
          <w:rFonts w:ascii="標楷體" w:eastAsia="標楷體" w:hAnsi="標楷體" w:cs="Times New Roman" w:hint="eastAsia"/>
          <w:szCs w:val="24"/>
        </w:rPr>
        <w:t>於</w:t>
      </w:r>
      <w:r w:rsidRPr="00287F92">
        <w:rPr>
          <w:rFonts w:ascii="標楷體" w:eastAsia="標楷體" w:hAnsi="標楷體" w:cs="Times New Roman" w:hint="eastAsia"/>
          <w:szCs w:val="24"/>
        </w:rPr>
        <w:t>交通要道</w:t>
      </w:r>
      <w:r w:rsidRPr="000D5853">
        <w:rPr>
          <w:rFonts w:ascii="標楷體" w:eastAsia="標楷體" w:hAnsi="標楷體" w:cs="Times New Roman" w:hint="eastAsia"/>
          <w:szCs w:val="24"/>
        </w:rPr>
        <w:t>之安樂分隊</w:t>
      </w:r>
      <w:r w:rsidR="00E90EE8">
        <w:rPr>
          <w:rFonts w:ascii="標楷體" w:eastAsia="標楷體" w:hAnsi="標楷體" w:cs="Times New Roman" w:hint="eastAsia"/>
          <w:szCs w:val="24"/>
        </w:rPr>
        <w:t>；</w:t>
      </w:r>
      <w:r w:rsidRPr="000D5853">
        <w:rPr>
          <w:rFonts w:ascii="標楷體" w:eastAsia="標楷體" w:hAnsi="標楷體" w:cs="Times New Roman" w:hint="eastAsia"/>
          <w:szCs w:val="24"/>
        </w:rPr>
        <w:t>（3）核安會將</w:t>
      </w:r>
      <w:r w:rsidRPr="00E0420E">
        <w:rPr>
          <w:rFonts w:ascii="標楷體" w:eastAsia="標楷體" w:hAnsi="標楷體" w:cs="Times New Roman"/>
          <w:szCs w:val="24"/>
        </w:rPr>
        <w:t>持續督促各</w:t>
      </w:r>
      <w:r w:rsidR="00A552FD">
        <w:rPr>
          <w:rFonts w:ascii="標楷體" w:eastAsia="標楷體" w:hAnsi="標楷體" w:cs="Times New Roman" w:hint="eastAsia"/>
          <w:szCs w:val="24"/>
        </w:rPr>
        <w:t>應變中心</w:t>
      </w:r>
      <w:r w:rsidRPr="00E0420E">
        <w:rPr>
          <w:rFonts w:ascii="標楷體" w:eastAsia="標楷體" w:hAnsi="標楷體" w:cs="Times New Roman"/>
          <w:szCs w:val="24"/>
        </w:rPr>
        <w:t>執行單位，強化儀器</w:t>
      </w:r>
      <w:r w:rsidRPr="00E0420E">
        <w:rPr>
          <w:rFonts w:ascii="標楷體" w:eastAsia="標楷體" w:hAnsi="標楷體" w:cs="Times New Roman" w:hint="eastAsia"/>
          <w:szCs w:val="24"/>
        </w:rPr>
        <w:t>之</w:t>
      </w:r>
      <w:r w:rsidRPr="00E0420E">
        <w:rPr>
          <w:rFonts w:ascii="標楷體" w:eastAsia="標楷體" w:hAnsi="標楷體" w:cs="Times New Roman"/>
          <w:szCs w:val="24"/>
        </w:rPr>
        <w:t>校正、維護管理及配置檢討，以確保核子事故緊急應變作業之遂行。</w:t>
      </w:r>
    </w:p>
    <w:p w14:paraId="588F9FB8" w14:textId="74375DD3" w:rsidR="004B4192" w:rsidRPr="00E0420E" w:rsidRDefault="004B4192" w:rsidP="00227CFB">
      <w:pPr>
        <w:widowControl/>
        <w:overflowPunct w:val="0"/>
        <w:spacing w:line="620" w:lineRule="exact"/>
        <w:ind w:firstLineChars="450" w:firstLine="1261"/>
        <w:jc w:val="both"/>
        <w:rPr>
          <w:rFonts w:ascii="標楷體" w:eastAsia="標楷體" w:hAnsi="標楷體" w:cs="標楷體"/>
          <w:b/>
          <w:sz w:val="28"/>
          <w:szCs w:val="28"/>
        </w:rPr>
      </w:pPr>
      <w:r w:rsidRPr="00E0420E">
        <w:rPr>
          <w:rFonts w:ascii="標楷體" w:eastAsia="標楷體" w:hAnsi="標楷體" w:cs="標楷體"/>
          <w:b/>
          <w:sz w:val="28"/>
          <w:szCs w:val="28"/>
        </w:rPr>
        <w:t>6.</w:t>
      </w:r>
      <w:r w:rsidRPr="00E0420E">
        <w:rPr>
          <w:rFonts w:ascii="標楷體" w:eastAsia="標楷體" w:hAnsi="標楷體" w:cs="標楷體" w:hint="eastAsia"/>
          <w:b/>
          <w:sz w:val="28"/>
          <w:szCs w:val="28"/>
        </w:rPr>
        <w:t xml:space="preserve">　</w:t>
      </w:r>
      <w:r w:rsidRPr="00E0420E">
        <w:rPr>
          <w:rFonts w:ascii="標楷體" w:eastAsia="標楷體" w:hAnsi="標楷體" w:cs="標楷體"/>
          <w:b/>
          <w:sz w:val="28"/>
          <w:szCs w:val="28"/>
        </w:rPr>
        <w:t>1</w:t>
      </w:r>
      <w:r w:rsidRPr="00E0420E">
        <w:rPr>
          <w:rFonts w:ascii="標楷體" w:eastAsia="標楷體" w:hAnsi="標楷體" w:cs="標楷體" w:hint="eastAsia"/>
          <w:b/>
          <w:sz w:val="28"/>
          <w:szCs w:val="28"/>
        </w:rPr>
        <w:t>1</w:t>
      </w:r>
      <w:r w:rsidR="00E0420E" w:rsidRPr="00E0420E">
        <w:rPr>
          <w:rFonts w:ascii="標楷體" w:eastAsia="標楷體" w:hAnsi="標楷體" w:cs="標楷體"/>
          <w:b/>
          <w:sz w:val="28"/>
          <w:szCs w:val="28"/>
        </w:rPr>
        <w:t>3</w:t>
      </w:r>
      <w:r w:rsidRPr="00E0420E">
        <w:rPr>
          <w:rFonts w:ascii="標楷體" w:eastAsia="標楷體" w:hAnsi="標楷體" w:cs="標楷體" w:hint="eastAsia"/>
          <w:b/>
          <w:sz w:val="28"/>
          <w:szCs w:val="28"/>
        </w:rPr>
        <w:t>年度重要審核意見追蹤查核情形</w:t>
      </w:r>
    </w:p>
    <w:p w14:paraId="18EF4963" w14:textId="0EEFF546" w:rsidR="004B4192" w:rsidRPr="00E0420E" w:rsidRDefault="004B4192" w:rsidP="00227CFB">
      <w:pPr>
        <w:overflowPunct w:val="0"/>
        <w:spacing w:line="620" w:lineRule="exact"/>
        <w:ind w:firstLineChars="200" w:firstLine="480"/>
        <w:jc w:val="both"/>
        <w:rPr>
          <w:rFonts w:ascii="標楷體" w:eastAsia="標楷體" w:hAnsi="標楷體" w:cs="Times New Roman"/>
          <w:szCs w:val="24"/>
        </w:rPr>
      </w:pPr>
      <w:r w:rsidRPr="00E0420E">
        <w:rPr>
          <w:rFonts w:ascii="標楷體" w:eastAsia="標楷體" w:hAnsi="標楷體" w:cs="Times New Roman" w:hint="eastAsia"/>
          <w:szCs w:val="24"/>
        </w:rPr>
        <w:t>本部於11</w:t>
      </w:r>
      <w:r w:rsidR="00E0420E" w:rsidRPr="00E0420E">
        <w:rPr>
          <w:rFonts w:ascii="標楷體" w:eastAsia="標楷體" w:hAnsi="標楷體" w:cs="Times New Roman"/>
          <w:szCs w:val="24"/>
        </w:rPr>
        <w:t>3</w:t>
      </w:r>
      <w:r w:rsidRPr="00E0420E">
        <w:rPr>
          <w:rFonts w:ascii="標楷體" w:eastAsia="標楷體" w:hAnsi="標楷體" w:cs="Times New Roman" w:hint="eastAsia"/>
          <w:szCs w:val="24"/>
        </w:rPr>
        <w:t>年度審核報告非營業部分內列重要審核意見，計有</w:t>
      </w:r>
      <w:r w:rsidR="00E0420E" w:rsidRPr="00E0420E">
        <w:rPr>
          <w:rFonts w:ascii="標楷體" w:eastAsia="標楷體" w:hAnsi="標楷體" w:cs="Times New Roman" w:hint="eastAsia"/>
          <w:szCs w:val="24"/>
        </w:rPr>
        <w:t>政府為維護民眾輻防安全，已擴大核能電廠緊急應變計畫區範圍，惟新北市、基隆市及屏東縣政府規劃之核子事故緊急應變場所，</w:t>
      </w:r>
      <w:r w:rsidR="00E0420E" w:rsidRPr="006037F3">
        <w:rPr>
          <w:rFonts w:ascii="標楷體" w:eastAsia="標楷體" w:hAnsi="標楷體" w:cs="Times New Roman" w:hint="eastAsia"/>
          <w:spacing w:val="-2"/>
          <w:szCs w:val="24"/>
        </w:rPr>
        <w:t>部分位於斷層帶、土石流、淹水及海嘯溢淹等災害潛勢區域，允宜研議另覓場所或研擬備援方案之可行性，以降低災害造成之潛在風險</w:t>
      </w:r>
      <w:r w:rsidRPr="006037F3">
        <w:rPr>
          <w:rFonts w:ascii="標楷體" w:eastAsia="標楷體" w:hAnsi="標楷體" w:cs="Times New Roman" w:hint="eastAsia"/>
          <w:spacing w:val="-2"/>
          <w:szCs w:val="24"/>
        </w:rPr>
        <w:t>1項，經賡續追蹤查核實際辦理結果，已依改善措施持續辦理。</w:t>
      </w:r>
    </w:p>
    <w:p w14:paraId="01078B2D" w14:textId="16B13FCD" w:rsidR="00C35D33" w:rsidRPr="001468F2" w:rsidRDefault="004B4192" w:rsidP="00227CFB">
      <w:pPr>
        <w:overflowPunct w:val="0"/>
        <w:spacing w:line="620" w:lineRule="exact"/>
        <w:ind w:firstLineChars="200" w:firstLine="488"/>
        <w:jc w:val="both"/>
        <w:rPr>
          <w:rFonts w:ascii="標楷體" w:eastAsia="標楷體" w:hAnsi="標楷體" w:cs="Times New Roman"/>
          <w:szCs w:val="24"/>
        </w:rPr>
      </w:pPr>
      <w:r w:rsidRPr="00E0420E">
        <w:rPr>
          <w:rFonts w:ascii="標楷體" w:eastAsia="標楷體" w:hAnsi="標楷體" w:cs="Times New Roman" w:hint="eastAsia"/>
          <w:spacing w:val="2"/>
          <w:szCs w:val="24"/>
        </w:rPr>
        <w:t>該基金來源用途及餘絀之審定，暨餘絀審定後現金流量及資產負債狀況，詳戊、附表、壹、</w:t>
      </w:r>
      <w:r w:rsidRPr="00E0420E">
        <w:rPr>
          <w:rFonts w:ascii="標楷體" w:eastAsia="標楷體" w:hAnsi="標楷體" w:cs="Times New Roman" w:hint="eastAsia"/>
          <w:spacing w:val="-4"/>
          <w:szCs w:val="24"/>
        </w:rPr>
        <w:t>各基金附表</w:t>
      </w:r>
      <w:r w:rsidR="00587EF8" w:rsidRPr="00E0420E">
        <w:rPr>
          <w:rFonts w:ascii="標楷體" w:eastAsia="標楷體" w:hAnsi="標楷體" w:cs="Times New Roman" w:hint="eastAsia"/>
          <w:spacing w:val="-4"/>
          <w:szCs w:val="32"/>
        </w:rPr>
        <w:t>〔請至審計部全球資訊網之總決算審核報告查詢平台</w:t>
      </w:r>
      <w:r w:rsidR="00587EF8" w:rsidRPr="00E0420E">
        <w:rPr>
          <w:rFonts w:ascii="標楷體" w:eastAsia="標楷體" w:hAnsi="標楷體" w:cs="Times New Roman" w:hint="eastAsia"/>
          <w:w w:val="90"/>
          <w:szCs w:val="32"/>
        </w:rPr>
        <w:t>(https://auditreport.audit.gov.tw/)</w:t>
      </w:r>
      <w:r w:rsidR="00587EF8" w:rsidRPr="00E0420E">
        <w:rPr>
          <w:rFonts w:ascii="標楷體" w:eastAsia="標楷體" w:hAnsi="標楷體" w:cs="Times New Roman" w:hint="eastAsia"/>
          <w:szCs w:val="32"/>
        </w:rPr>
        <w:t>查閱〕</w:t>
      </w:r>
      <w:r w:rsidRPr="00E0420E">
        <w:rPr>
          <w:rFonts w:ascii="標楷體" w:eastAsia="標楷體" w:hAnsi="標楷體" w:cs="Times New Roman" w:hint="eastAsia"/>
          <w:szCs w:val="24"/>
        </w:rPr>
        <w:t>。</w:t>
      </w:r>
    </w:p>
    <w:sectPr w:rsidR="00C35D33" w:rsidRPr="001468F2" w:rsidSect="00940EDF">
      <w:footerReference w:type="even" r:id="rId7"/>
      <w:footerReference w:type="default" r:id="rId8"/>
      <w:pgSz w:w="11906" w:h="16838" w:code="9"/>
      <w:pgMar w:top="1418" w:right="851" w:bottom="1418" w:left="851" w:header="1021" w:footer="737" w:gutter="0"/>
      <w:pgNumType w:start="26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E52E0" w14:textId="77777777" w:rsidR="001D6FF7" w:rsidRDefault="001D6FF7" w:rsidP="00437B1A">
      <w:r>
        <w:separator/>
      </w:r>
    </w:p>
  </w:endnote>
  <w:endnote w:type="continuationSeparator" w:id="0">
    <w:p w14:paraId="2108A1C9" w14:textId="77777777" w:rsidR="001D6FF7" w:rsidRDefault="001D6FF7" w:rsidP="0043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lef">
    <w:panose1 w:val="00000500000000000000"/>
    <w:charset w:val="00"/>
    <w:family w:val="auto"/>
    <w:pitch w:val="variable"/>
    <w:sig w:usb0="00000807" w:usb1="40000000" w:usb2="00000000" w:usb3="00000000" w:csb0="000000B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221333"/>
      <w:docPartObj>
        <w:docPartGallery w:val="Page Numbers (Bottom of Page)"/>
        <w:docPartUnique/>
      </w:docPartObj>
    </w:sdtPr>
    <w:sdtEndPr>
      <w:rPr>
        <w:rFonts w:ascii="標楷體" w:eastAsia="標楷體" w:hAnsi="標楷體"/>
      </w:rPr>
    </w:sdtEndPr>
    <w:sdtContent>
      <w:p w14:paraId="026791FF" w14:textId="77777777" w:rsidR="00CA1EC6" w:rsidRPr="00EE6189" w:rsidRDefault="00CA1EC6" w:rsidP="00CA1EC6">
        <w:pPr>
          <w:pStyle w:val="a5"/>
          <w:jc w:val="center"/>
          <w:rPr>
            <w:rFonts w:ascii="標楷體" w:eastAsia="標楷體" w:hAnsi="標楷體"/>
          </w:rPr>
        </w:pPr>
        <w:r w:rsidRPr="00EE6189">
          <w:rPr>
            <w:rFonts w:ascii="標楷體" w:eastAsia="標楷體" w:hAnsi="標楷體" w:hint="eastAsia"/>
          </w:rPr>
          <w:t>乙</w:t>
        </w:r>
        <w:r>
          <w:rPr>
            <w:rFonts w:ascii="標楷體" w:eastAsia="標楷體" w:hAnsi="標楷體" w:hint="eastAsia"/>
          </w:rPr>
          <w:t>-</w:t>
        </w:r>
        <w:r w:rsidRPr="00EE6189">
          <w:rPr>
            <w:rFonts w:ascii="標楷體" w:eastAsia="標楷體" w:hAnsi="標楷體"/>
          </w:rPr>
          <w:fldChar w:fldCharType="begin"/>
        </w:r>
        <w:r w:rsidRPr="00EE6189">
          <w:rPr>
            <w:rFonts w:ascii="標楷體" w:eastAsia="標楷體" w:hAnsi="標楷體"/>
          </w:rPr>
          <w:instrText>PAGE   \* MERGEFORMAT</w:instrText>
        </w:r>
        <w:r w:rsidRPr="00EE6189">
          <w:rPr>
            <w:rFonts w:ascii="標楷體" w:eastAsia="標楷體" w:hAnsi="標楷體"/>
          </w:rPr>
          <w:fldChar w:fldCharType="separate"/>
        </w:r>
        <w:r>
          <w:rPr>
            <w:rFonts w:ascii="標楷體" w:eastAsia="標楷體" w:hAnsi="標楷體"/>
          </w:rPr>
          <w:t>275</w:t>
        </w:r>
        <w:r w:rsidRPr="00EE6189">
          <w:rPr>
            <w:rFonts w:ascii="標楷體" w:eastAsia="標楷體" w:hAnsi="標楷體"/>
          </w:rPr>
          <w:fldChar w:fldCharType="end"/>
        </w:r>
      </w:p>
    </w:sdtContent>
  </w:sdt>
  <w:p w14:paraId="5A589F21" w14:textId="77777777" w:rsidR="00CA1EC6" w:rsidRDefault="00CA1EC6" w:rsidP="00CA1EC6">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283595"/>
      <w:docPartObj>
        <w:docPartGallery w:val="Page Numbers (Bottom of Page)"/>
        <w:docPartUnique/>
      </w:docPartObj>
    </w:sdtPr>
    <w:sdtEndPr>
      <w:rPr>
        <w:rFonts w:ascii="標楷體" w:eastAsia="標楷體" w:hAnsi="標楷體"/>
      </w:rPr>
    </w:sdtEndPr>
    <w:sdtContent>
      <w:p w14:paraId="13B9181C" w14:textId="190908F0" w:rsidR="00437B1A" w:rsidRPr="00EE6189" w:rsidRDefault="00EE6189" w:rsidP="00CA1EC6">
        <w:pPr>
          <w:pStyle w:val="a5"/>
          <w:jc w:val="center"/>
          <w:rPr>
            <w:rFonts w:ascii="標楷體" w:eastAsia="標楷體" w:hAnsi="標楷體"/>
          </w:rPr>
        </w:pPr>
        <w:r w:rsidRPr="00EE6189">
          <w:rPr>
            <w:rFonts w:ascii="標楷體" w:eastAsia="標楷體" w:hAnsi="標楷體" w:hint="eastAsia"/>
          </w:rPr>
          <w:t>乙</w:t>
        </w:r>
        <w:r w:rsidR="00CA1EC6">
          <w:rPr>
            <w:rFonts w:ascii="標楷體" w:eastAsia="標楷體" w:hAnsi="標楷體" w:hint="eastAsia"/>
          </w:rPr>
          <w:t>-</w:t>
        </w:r>
        <w:r w:rsidR="00437B1A" w:rsidRPr="00EE6189">
          <w:rPr>
            <w:rFonts w:ascii="標楷體" w:eastAsia="標楷體" w:hAnsi="標楷體"/>
          </w:rPr>
          <w:fldChar w:fldCharType="begin"/>
        </w:r>
        <w:r w:rsidR="00437B1A" w:rsidRPr="00EE6189">
          <w:rPr>
            <w:rFonts w:ascii="標楷體" w:eastAsia="標楷體" w:hAnsi="標楷體"/>
          </w:rPr>
          <w:instrText>PAGE   \* MERGEFORMAT</w:instrText>
        </w:r>
        <w:r w:rsidR="00437B1A" w:rsidRPr="00EE6189">
          <w:rPr>
            <w:rFonts w:ascii="標楷體" w:eastAsia="標楷體" w:hAnsi="標楷體"/>
          </w:rPr>
          <w:fldChar w:fldCharType="separate"/>
        </w:r>
        <w:r w:rsidR="00437B1A" w:rsidRPr="00EE6189">
          <w:rPr>
            <w:rFonts w:ascii="標楷體" w:eastAsia="標楷體" w:hAnsi="標楷體"/>
            <w:lang w:val="zh-TW"/>
          </w:rPr>
          <w:t>2</w:t>
        </w:r>
        <w:r w:rsidR="00437B1A" w:rsidRPr="00EE6189">
          <w:rPr>
            <w:rFonts w:ascii="標楷體" w:eastAsia="標楷體" w:hAnsi="標楷體"/>
          </w:rPr>
          <w:fldChar w:fldCharType="end"/>
        </w:r>
      </w:p>
    </w:sdtContent>
  </w:sdt>
  <w:p w14:paraId="0C98908B" w14:textId="77777777" w:rsidR="006A47A8" w:rsidRDefault="006A47A8" w:rsidP="00CA1EC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948C3" w14:textId="77777777" w:rsidR="001D6FF7" w:rsidRDefault="001D6FF7" w:rsidP="00437B1A">
      <w:r>
        <w:separator/>
      </w:r>
    </w:p>
  </w:footnote>
  <w:footnote w:type="continuationSeparator" w:id="0">
    <w:p w14:paraId="6DE2FD17" w14:textId="77777777" w:rsidR="001D6FF7" w:rsidRDefault="001D6FF7" w:rsidP="00437B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isplayBackgroundShape/>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6145">
      <o:colormru v:ext="edit" colors="#cce6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669"/>
    <w:rsid w:val="000103C8"/>
    <w:rsid w:val="00012672"/>
    <w:rsid w:val="00022D28"/>
    <w:rsid w:val="000375F0"/>
    <w:rsid w:val="00075389"/>
    <w:rsid w:val="000867D4"/>
    <w:rsid w:val="000D3A17"/>
    <w:rsid w:val="000D5853"/>
    <w:rsid w:val="00100BC5"/>
    <w:rsid w:val="001468F2"/>
    <w:rsid w:val="00194591"/>
    <w:rsid w:val="001B0C65"/>
    <w:rsid w:val="001C187B"/>
    <w:rsid w:val="001D05EA"/>
    <w:rsid w:val="001D6FF7"/>
    <w:rsid w:val="001F378F"/>
    <w:rsid w:val="0022252C"/>
    <w:rsid w:val="00227CFB"/>
    <w:rsid w:val="002641B7"/>
    <w:rsid w:val="00287F92"/>
    <w:rsid w:val="002A66FD"/>
    <w:rsid w:val="002C788F"/>
    <w:rsid w:val="003105C7"/>
    <w:rsid w:val="003414A8"/>
    <w:rsid w:val="00344B74"/>
    <w:rsid w:val="00346B99"/>
    <w:rsid w:val="00393566"/>
    <w:rsid w:val="003F6B68"/>
    <w:rsid w:val="00420E75"/>
    <w:rsid w:val="004254D5"/>
    <w:rsid w:val="00430994"/>
    <w:rsid w:val="0043646D"/>
    <w:rsid w:val="00437B1A"/>
    <w:rsid w:val="004439CF"/>
    <w:rsid w:val="004907E7"/>
    <w:rsid w:val="004B1DCA"/>
    <w:rsid w:val="004B4192"/>
    <w:rsid w:val="004B4341"/>
    <w:rsid w:val="004D5424"/>
    <w:rsid w:val="00517DD5"/>
    <w:rsid w:val="00526838"/>
    <w:rsid w:val="00526B24"/>
    <w:rsid w:val="00541625"/>
    <w:rsid w:val="00541D4E"/>
    <w:rsid w:val="00542E87"/>
    <w:rsid w:val="00547537"/>
    <w:rsid w:val="0057131F"/>
    <w:rsid w:val="00580532"/>
    <w:rsid w:val="00587EF8"/>
    <w:rsid w:val="005B70A7"/>
    <w:rsid w:val="005C6877"/>
    <w:rsid w:val="006037F3"/>
    <w:rsid w:val="006A47A8"/>
    <w:rsid w:val="006E7485"/>
    <w:rsid w:val="00751622"/>
    <w:rsid w:val="00753C6F"/>
    <w:rsid w:val="007C407F"/>
    <w:rsid w:val="007D62FD"/>
    <w:rsid w:val="0080716A"/>
    <w:rsid w:val="00817611"/>
    <w:rsid w:val="008300B8"/>
    <w:rsid w:val="00835BF0"/>
    <w:rsid w:val="00862AE8"/>
    <w:rsid w:val="00863C55"/>
    <w:rsid w:val="00865EA1"/>
    <w:rsid w:val="00881BCF"/>
    <w:rsid w:val="00885667"/>
    <w:rsid w:val="00897286"/>
    <w:rsid w:val="008C13FC"/>
    <w:rsid w:val="008F542B"/>
    <w:rsid w:val="0090016D"/>
    <w:rsid w:val="00905AFD"/>
    <w:rsid w:val="009300F9"/>
    <w:rsid w:val="00940EDF"/>
    <w:rsid w:val="009445D5"/>
    <w:rsid w:val="009602F1"/>
    <w:rsid w:val="00970CFB"/>
    <w:rsid w:val="009710DE"/>
    <w:rsid w:val="00976A70"/>
    <w:rsid w:val="00A231FE"/>
    <w:rsid w:val="00A43E95"/>
    <w:rsid w:val="00A54413"/>
    <w:rsid w:val="00A552FD"/>
    <w:rsid w:val="00A75BE1"/>
    <w:rsid w:val="00A972C4"/>
    <w:rsid w:val="00AA643A"/>
    <w:rsid w:val="00AC4043"/>
    <w:rsid w:val="00AC4363"/>
    <w:rsid w:val="00AD0B2A"/>
    <w:rsid w:val="00AF36B1"/>
    <w:rsid w:val="00AF584B"/>
    <w:rsid w:val="00B17657"/>
    <w:rsid w:val="00B325D2"/>
    <w:rsid w:val="00B335F7"/>
    <w:rsid w:val="00B77850"/>
    <w:rsid w:val="00BB777A"/>
    <w:rsid w:val="00BC6FDC"/>
    <w:rsid w:val="00C20707"/>
    <w:rsid w:val="00C24004"/>
    <w:rsid w:val="00C33CBE"/>
    <w:rsid w:val="00C35D33"/>
    <w:rsid w:val="00C40EC2"/>
    <w:rsid w:val="00C4582B"/>
    <w:rsid w:val="00C45B13"/>
    <w:rsid w:val="00C75452"/>
    <w:rsid w:val="00C82EBD"/>
    <w:rsid w:val="00C96A88"/>
    <w:rsid w:val="00CA1EC6"/>
    <w:rsid w:val="00D402B3"/>
    <w:rsid w:val="00D621A8"/>
    <w:rsid w:val="00D638A7"/>
    <w:rsid w:val="00D763CE"/>
    <w:rsid w:val="00DA1A34"/>
    <w:rsid w:val="00DD5874"/>
    <w:rsid w:val="00DF5FB1"/>
    <w:rsid w:val="00E0420E"/>
    <w:rsid w:val="00E102E8"/>
    <w:rsid w:val="00E2723E"/>
    <w:rsid w:val="00E4400C"/>
    <w:rsid w:val="00E54453"/>
    <w:rsid w:val="00E90EE8"/>
    <w:rsid w:val="00EB79B6"/>
    <w:rsid w:val="00EE6189"/>
    <w:rsid w:val="00EF27A8"/>
    <w:rsid w:val="00F31EF5"/>
    <w:rsid w:val="00F47669"/>
    <w:rsid w:val="00F558A0"/>
    <w:rsid w:val="00F813BF"/>
    <w:rsid w:val="00F96049"/>
    <w:rsid w:val="00FA75DC"/>
    <w:rsid w:val="00FB07FF"/>
    <w:rsid w:val="00FD6245"/>
    <w:rsid w:val="00FF36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cce6dc"/>
    </o:shapedefaults>
    <o:shapelayout v:ext="edit">
      <o:idmap v:ext="edit" data="1"/>
    </o:shapelayout>
  </w:shapeDefaults>
  <w:decimalSymbol w:val="."/>
  <w:listSeparator w:val=","/>
  <w14:docId w14:val="3D5EAAA2"/>
  <w15:chartTrackingRefBased/>
  <w15:docId w15:val="{FD4B80F7-50B1-413C-B208-7C7625D7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7B1A"/>
    <w:pPr>
      <w:tabs>
        <w:tab w:val="center" w:pos="4153"/>
        <w:tab w:val="right" w:pos="8306"/>
      </w:tabs>
      <w:snapToGrid w:val="0"/>
    </w:pPr>
    <w:rPr>
      <w:sz w:val="20"/>
      <w:szCs w:val="20"/>
    </w:rPr>
  </w:style>
  <w:style w:type="character" w:customStyle="1" w:styleId="a4">
    <w:name w:val="頁首 字元"/>
    <w:basedOn w:val="a0"/>
    <w:link w:val="a3"/>
    <w:uiPriority w:val="99"/>
    <w:rsid w:val="00437B1A"/>
    <w:rPr>
      <w:sz w:val="20"/>
      <w:szCs w:val="20"/>
    </w:rPr>
  </w:style>
  <w:style w:type="paragraph" w:styleId="a5">
    <w:name w:val="footer"/>
    <w:basedOn w:val="a"/>
    <w:link w:val="a6"/>
    <w:uiPriority w:val="99"/>
    <w:unhideWhenUsed/>
    <w:rsid w:val="00437B1A"/>
    <w:pPr>
      <w:tabs>
        <w:tab w:val="center" w:pos="4153"/>
        <w:tab w:val="right" w:pos="8306"/>
      </w:tabs>
      <w:snapToGrid w:val="0"/>
    </w:pPr>
    <w:rPr>
      <w:sz w:val="20"/>
      <w:szCs w:val="20"/>
    </w:rPr>
  </w:style>
  <w:style w:type="character" w:customStyle="1" w:styleId="a6">
    <w:name w:val="頁尾 字元"/>
    <w:basedOn w:val="a0"/>
    <w:link w:val="a5"/>
    <w:uiPriority w:val="99"/>
    <w:rsid w:val="00437B1A"/>
    <w:rPr>
      <w:sz w:val="20"/>
      <w:szCs w:val="20"/>
    </w:rPr>
  </w:style>
  <w:style w:type="table" w:styleId="a7">
    <w:name w:val="Table Grid"/>
    <w:basedOn w:val="a1"/>
    <w:uiPriority w:val="39"/>
    <w:rsid w:val="00C35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046CD-F410-480F-8E66-85EF16004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426</Words>
  <Characters>2431</Characters>
  <Application>Microsoft Office Word</Application>
  <DocSecurity>0</DocSecurity>
  <Lines>20</Lines>
  <Paragraphs>5</Paragraphs>
  <ScaleCrop>false</ScaleCrop>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林郁婷</dc:creator>
  <cp:keywords/>
  <dc:description/>
  <cp:lastModifiedBy>吳怡霈</cp:lastModifiedBy>
  <cp:revision>12</cp:revision>
  <cp:lastPrinted>2026-06-12T01:48:00Z</cp:lastPrinted>
  <dcterms:created xsi:type="dcterms:W3CDTF">2026-06-12T09:43:00Z</dcterms:created>
  <dcterms:modified xsi:type="dcterms:W3CDTF">2026-07-08T08:08:00Z</dcterms:modified>
</cp:coreProperties>
</file>