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88E6D" w14:textId="77777777" w:rsidR="00EF54D5" w:rsidRPr="00651CCA" w:rsidRDefault="002F0AF0" w:rsidP="003F17F0">
      <w:pPr>
        <w:overflowPunct w:val="0"/>
        <w:ind w:firstLineChars="150" w:firstLine="480"/>
        <w:jc w:val="both"/>
        <w:outlineLvl w:val="0"/>
        <w:rPr>
          <w:rFonts w:ascii="標楷體" w:eastAsia="標楷體"/>
          <w:b/>
          <w:bCs/>
          <w:sz w:val="32"/>
        </w:rPr>
      </w:pPr>
      <w:r w:rsidRPr="00651CCA">
        <w:rPr>
          <w:rFonts w:ascii="標楷體" w:eastAsia="標楷體"/>
          <w:b/>
          <w:bCs/>
          <w:sz w:val="32"/>
        </w:rPr>
        <w:t>(</w:t>
      </w:r>
      <w:r w:rsidR="00935804" w:rsidRPr="00651CCA">
        <w:rPr>
          <w:rFonts w:ascii="標楷體" w:eastAsia="標楷體" w:hint="eastAsia"/>
          <w:b/>
          <w:bCs/>
          <w:sz w:val="32"/>
        </w:rPr>
        <w:t>三)</w:t>
      </w:r>
      <w:r w:rsidR="00EF54D5" w:rsidRPr="00651CCA">
        <w:rPr>
          <w:rFonts w:ascii="標楷體" w:eastAsia="標楷體" w:hint="eastAsia"/>
          <w:b/>
          <w:bCs/>
          <w:sz w:val="32"/>
        </w:rPr>
        <w:t>全民健康保險基金</w:t>
      </w:r>
    </w:p>
    <w:p w14:paraId="346CC61D" w14:textId="0931798D" w:rsidR="00EF54D5" w:rsidRPr="00651CCA" w:rsidRDefault="00EF54D5" w:rsidP="009C4493">
      <w:pPr>
        <w:overflowPunct w:val="0"/>
        <w:spacing w:line="570" w:lineRule="exact"/>
        <w:ind w:firstLineChars="200" w:firstLine="480"/>
        <w:jc w:val="both"/>
        <w:outlineLvl w:val="0"/>
        <w:rPr>
          <w:rFonts w:ascii="標楷體" w:eastAsia="標楷體"/>
          <w:bCs/>
        </w:rPr>
      </w:pPr>
      <w:r w:rsidRPr="00651CCA">
        <w:rPr>
          <w:rFonts w:ascii="標楷體" w:eastAsia="標楷體" w:hint="eastAsia"/>
          <w:bCs/>
        </w:rPr>
        <w:t>政府為辦理</w:t>
      </w:r>
      <w:r w:rsidRPr="00651CCA">
        <w:rPr>
          <w:rFonts w:ascii="標楷體" w:eastAsia="標楷體"/>
          <w:bCs/>
        </w:rPr>
        <w:t>全民健康保險業務，</w:t>
      </w:r>
      <w:r w:rsidRPr="00651CCA">
        <w:rPr>
          <w:rFonts w:ascii="標楷體" w:eastAsia="標楷體" w:hint="eastAsia"/>
          <w:bCs/>
        </w:rPr>
        <w:t>依據</w:t>
      </w:r>
      <w:r w:rsidR="00FD4027" w:rsidRPr="00651CCA">
        <w:rPr>
          <w:rFonts w:ascii="標楷體" w:eastAsia="標楷體" w:hint="eastAsia"/>
          <w:bCs/>
        </w:rPr>
        <w:t>衛生福利部中央健康保險署組織法</w:t>
      </w:r>
      <w:r w:rsidRPr="00651CCA">
        <w:rPr>
          <w:rFonts w:ascii="標楷體" w:eastAsia="標楷體" w:hint="eastAsia"/>
          <w:bCs/>
        </w:rPr>
        <w:t>及全民健康保險法等規定，設立全民健康保險基金。該基金</w:t>
      </w:r>
      <w:r w:rsidR="0077674E" w:rsidRPr="00651CCA">
        <w:rPr>
          <w:rFonts w:ascii="標楷體" w:eastAsia="標楷體" w:hint="eastAsia"/>
          <w:bCs/>
        </w:rPr>
        <w:t>1</w:t>
      </w:r>
      <w:r w:rsidR="0054172D" w:rsidRPr="00651CCA">
        <w:rPr>
          <w:rFonts w:ascii="標楷體" w:eastAsia="標楷體" w:hint="eastAsia"/>
          <w:bCs/>
        </w:rPr>
        <w:t>1</w:t>
      </w:r>
      <w:r w:rsidR="00CD2340">
        <w:rPr>
          <w:rFonts w:ascii="標楷體" w:eastAsia="標楷體" w:hint="eastAsia"/>
          <w:bCs/>
        </w:rPr>
        <w:t>4</w:t>
      </w:r>
      <w:r w:rsidRPr="00651CCA">
        <w:rPr>
          <w:rFonts w:ascii="標楷體" w:eastAsia="標楷體" w:hint="eastAsia"/>
          <w:bCs/>
        </w:rPr>
        <w:t>年度各項營運計畫及預算之執行等，經予書面審核，並派員就地抽查</w:t>
      </w:r>
      <w:r w:rsidR="00234B06" w:rsidRPr="00651CCA">
        <w:rPr>
          <w:rFonts w:ascii="標楷體" w:eastAsia="標楷體" w:hint="eastAsia"/>
          <w:bCs/>
        </w:rPr>
        <w:t>，</w:t>
      </w:r>
      <w:r w:rsidRPr="00651CCA">
        <w:rPr>
          <w:rFonts w:ascii="標楷體" w:eastAsia="標楷體" w:hint="eastAsia"/>
          <w:bCs/>
        </w:rPr>
        <w:t>茲將查核結果說明如次：</w:t>
      </w:r>
    </w:p>
    <w:p w14:paraId="4BF90A32" w14:textId="77777777" w:rsidR="00EF54D5" w:rsidRPr="00651CCA" w:rsidRDefault="00EF54D5" w:rsidP="009C4493">
      <w:pPr>
        <w:overflowPunct w:val="0"/>
        <w:spacing w:beforeLines="30" w:before="108"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1.　營運計畫實施情形之查核</w:t>
      </w:r>
    </w:p>
    <w:p w14:paraId="2C08FAD4" w14:textId="192E6688" w:rsidR="00EF54D5" w:rsidRPr="00651CCA" w:rsidRDefault="0054172D" w:rsidP="009C4493">
      <w:pPr>
        <w:overflowPunct w:val="0"/>
        <w:spacing w:line="566" w:lineRule="exact"/>
        <w:ind w:firstLineChars="200" w:firstLine="480"/>
        <w:jc w:val="both"/>
        <w:outlineLvl w:val="0"/>
        <w:rPr>
          <w:rFonts w:ascii="標楷體" w:eastAsia="標楷體"/>
          <w:bCs/>
        </w:rPr>
      </w:pPr>
      <w:r w:rsidRPr="00651CCA">
        <w:rPr>
          <w:rFonts w:ascii="標楷體" w:eastAsia="標楷體" w:hint="eastAsia"/>
          <w:bCs/>
        </w:rPr>
        <w:t>該基金主要營運計畫係於保險對象在保險有效期間，發生疾病、傷害、生育事故時，依全民健康保險法規定給予保險給付。11</w:t>
      </w:r>
      <w:r w:rsidR="00CD2340">
        <w:rPr>
          <w:rFonts w:ascii="標楷體" w:eastAsia="標楷體" w:hint="eastAsia"/>
          <w:bCs/>
        </w:rPr>
        <w:t>4</w:t>
      </w:r>
      <w:r w:rsidRPr="00651CCA">
        <w:rPr>
          <w:rFonts w:ascii="標楷體" w:eastAsia="標楷體" w:hint="eastAsia"/>
          <w:bCs/>
        </w:rPr>
        <w:t>年度預計支付保險給付</w:t>
      </w:r>
      <w:r w:rsidR="00CD2340" w:rsidRPr="00CD2340">
        <w:rPr>
          <w:rFonts w:ascii="標楷體" w:eastAsia="標楷體" w:hint="eastAsia"/>
          <w:bCs/>
        </w:rPr>
        <w:t>8,580億4,039萬餘元</w:t>
      </w:r>
      <w:r w:rsidRPr="00651CCA">
        <w:rPr>
          <w:rFonts w:ascii="標楷體" w:eastAsia="標楷體" w:hint="eastAsia"/>
          <w:bCs/>
        </w:rPr>
        <w:t>，實際支付</w:t>
      </w:r>
      <w:r w:rsidR="00CD2340" w:rsidRPr="00CD2340">
        <w:rPr>
          <w:rFonts w:ascii="標楷體" w:eastAsia="標楷體" w:hint="eastAsia"/>
          <w:bCs/>
        </w:rPr>
        <w:t>8,325億49萬餘元</w:t>
      </w:r>
      <w:r w:rsidRPr="00651CCA">
        <w:rPr>
          <w:rFonts w:ascii="標楷體" w:eastAsia="標楷體" w:hint="eastAsia"/>
          <w:bCs/>
        </w:rPr>
        <w:t>，較預計</w:t>
      </w:r>
      <w:r w:rsidR="00FC7FC6" w:rsidRPr="00651CCA">
        <w:rPr>
          <w:rFonts w:ascii="標楷體" w:eastAsia="標楷體" w:hint="eastAsia"/>
          <w:bCs/>
        </w:rPr>
        <w:t>減少</w:t>
      </w:r>
      <w:r w:rsidR="00CD2340" w:rsidRPr="00CD2340">
        <w:rPr>
          <w:rFonts w:ascii="標楷體" w:eastAsia="標楷體" w:hint="eastAsia"/>
          <w:bCs/>
        </w:rPr>
        <w:t>255億3,990萬餘元，約2.98％</w:t>
      </w:r>
      <w:r w:rsidRPr="00651CCA">
        <w:rPr>
          <w:rFonts w:ascii="標楷體" w:eastAsia="標楷體" w:hint="eastAsia"/>
          <w:bCs/>
        </w:rPr>
        <w:t>，主</w:t>
      </w:r>
      <w:r w:rsidR="00CD2340" w:rsidRPr="00CD2340">
        <w:rPr>
          <w:rFonts w:ascii="標楷體" w:eastAsia="標楷體" w:hint="eastAsia"/>
          <w:bCs/>
        </w:rPr>
        <w:t>要係113年度健保醫療給付費用總額結算金額較預計減少及專款項目執行結餘</w:t>
      </w:r>
      <w:r w:rsidRPr="00651CCA">
        <w:rPr>
          <w:rFonts w:ascii="標楷體" w:eastAsia="標楷體" w:hint="eastAsia"/>
          <w:bCs/>
        </w:rPr>
        <w:t>。</w:t>
      </w:r>
    </w:p>
    <w:p w14:paraId="6F8B689C" w14:textId="77777777" w:rsidR="00EF54D5" w:rsidRPr="00651CCA" w:rsidRDefault="00EF54D5" w:rsidP="009C4493">
      <w:pPr>
        <w:overflowPunct w:val="0"/>
        <w:spacing w:beforeLines="30" w:before="108"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2.　預算執行情形之審核</w:t>
      </w:r>
    </w:p>
    <w:p w14:paraId="52392175" w14:textId="2CEFA31A" w:rsidR="00EF54D5" w:rsidRPr="00651CCA" w:rsidRDefault="0054172D" w:rsidP="00FF0165">
      <w:pPr>
        <w:overflowPunct w:val="0"/>
        <w:spacing w:line="566" w:lineRule="exact"/>
        <w:ind w:firstLineChars="200" w:firstLine="504"/>
        <w:jc w:val="both"/>
        <w:outlineLvl w:val="0"/>
        <w:rPr>
          <w:rFonts w:ascii="標楷體" w:eastAsia="標楷體"/>
          <w:bCs/>
          <w:spacing w:val="6"/>
        </w:rPr>
      </w:pPr>
      <w:r w:rsidRPr="00651CCA">
        <w:rPr>
          <w:rFonts w:ascii="標楷體" w:eastAsia="標楷體" w:hint="eastAsia"/>
          <w:bCs/>
          <w:spacing w:val="6"/>
        </w:rPr>
        <w:t>11</w:t>
      </w:r>
      <w:r w:rsidR="00CD2340">
        <w:rPr>
          <w:rFonts w:ascii="標楷體" w:eastAsia="標楷體" w:hint="eastAsia"/>
          <w:bCs/>
          <w:spacing w:val="6"/>
        </w:rPr>
        <w:t>4</w:t>
      </w:r>
      <w:r w:rsidRPr="00651CCA">
        <w:rPr>
          <w:rFonts w:ascii="標楷體" w:eastAsia="標楷體" w:hint="eastAsia"/>
          <w:bCs/>
          <w:spacing w:val="6"/>
        </w:rPr>
        <w:t>年度決算審核結果，</w:t>
      </w:r>
      <w:r w:rsidR="004E005F" w:rsidRPr="00651CCA">
        <w:rPr>
          <w:rFonts w:ascii="標楷體" w:eastAsia="標楷體" w:hint="eastAsia"/>
          <w:bCs/>
          <w:spacing w:val="6"/>
        </w:rPr>
        <w:t>全民健康保險保費收支、其他業務收入及業務費用、業務外收入及費用等收支結餘</w:t>
      </w:r>
      <w:r w:rsidR="00CD2340">
        <w:rPr>
          <w:rFonts w:ascii="標楷體" w:eastAsia="標楷體" w:hint="eastAsia"/>
          <w:bCs/>
          <w:spacing w:val="6"/>
        </w:rPr>
        <w:t>468</w:t>
      </w:r>
      <w:r w:rsidR="00FD02A5" w:rsidRPr="00651CCA">
        <w:rPr>
          <w:rFonts w:ascii="標楷體" w:eastAsia="標楷體" w:hint="eastAsia"/>
          <w:bCs/>
          <w:spacing w:val="6"/>
        </w:rPr>
        <w:t>億</w:t>
      </w:r>
      <w:r w:rsidR="00FC7FC6" w:rsidRPr="00651CCA">
        <w:rPr>
          <w:rFonts w:ascii="標楷體" w:eastAsia="標楷體" w:hint="eastAsia"/>
          <w:bCs/>
          <w:spacing w:val="6"/>
        </w:rPr>
        <w:t>1</w:t>
      </w:r>
      <w:r w:rsidR="00CD2340">
        <w:rPr>
          <w:rFonts w:ascii="標楷體" w:eastAsia="標楷體"/>
          <w:bCs/>
          <w:spacing w:val="6"/>
        </w:rPr>
        <w:t>,</w:t>
      </w:r>
      <w:r w:rsidR="00CD2340">
        <w:rPr>
          <w:rFonts w:ascii="標楷體" w:eastAsia="標楷體" w:hint="eastAsia"/>
          <w:bCs/>
          <w:spacing w:val="6"/>
        </w:rPr>
        <w:t>913</w:t>
      </w:r>
      <w:r w:rsidR="00FD02A5" w:rsidRPr="00651CCA">
        <w:rPr>
          <w:rFonts w:ascii="標楷體" w:eastAsia="標楷體" w:hint="eastAsia"/>
          <w:bCs/>
          <w:spacing w:val="6"/>
        </w:rPr>
        <w:t>萬餘元</w:t>
      </w:r>
      <w:r w:rsidRPr="00651CCA">
        <w:rPr>
          <w:rFonts w:ascii="標楷體" w:eastAsia="標楷體" w:hint="eastAsia"/>
          <w:bCs/>
          <w:spacing w:val="6"/>
        </w:rPr>
        <w:t>，</w:t>
      </w:r>
      <w:r w:rsidR="00840F5C" w:rsidRPr="00651CCA">
        <w:rPr>
          <w:rFonts w:ascii="標楷體" w:eastAsia="標楷體" w:hint="eastAsia"/>
          <w:bCs/>
          <w:spacing w:val="6"/>
        </w:rPr>
        <w:t>經依全民健康保險法規定悉數提存安全準備，審定本期賸餘為零，與預算數相同</w:t>
      </w:r>
      <w:r w:rsidRPr="00651CCA">
        <w:rPr>
          <w:rFonts w:ascii="標楷體" w:eastAsia="標楷體" w:hint="eastAsia"/>
          <w:bCs/>
          <w:spacing w:val="6"/>
        </w:rPr>
        <w:t>。</w:t>
      </w:r>
      <w:r w:rsidR="00840F5C" w:rsidRPr="00651CCA">
        <w:rPr>
          <w:rFonts w:ascii="標楷體" w:eastAsia="標楷體" w:hint="eastAsia"/>
          <w:bCs/>
          <w:spacing w:val="6"/>
        </w:rPr>
        <w:t>又11</w:t>
      </w:r>
      <w:r w:rsidR="00CD2340">
        <w:rPr>
          <w:rFonts w:ascii="標楷體" w:eastAsia="標楷體"/>
          <w:bCs/>
          <w:spacing w:val="6"/>
        </w:rPr>
        <w:t>4</w:t>
      </w:r>
      <w:r w:rsidR="00840F5C" w:rsidRPr="00651CCA">
        <w:rPr>
          <w:rFonts w:ascii="標楷體" w:eastAsia="標楷體" w:hint="eastAsia"/>
          <w:bCs/>
          <w:spacing w:val="6"/>
        </w:rPr>
        <w:t>年度保險費等收支結餘，倘未提存安全準備，其實際本期賸餘為</w:t>
      </w:r>
      <w:r w:rsidR="00CD2340">
        <w:rPr>
          <w:rFonts w:ascii="標楷體" w:eastAsia="標楷體" w:hint="eastAsia"/>
          <w:bCs/>
          <w:spacing w:val="6"/>
        </w:rPr>
        <w:t>468</w:t>
      </w:r>
      <w:r w:rsidR="00CD2340" w:rsidRPr="00651CCA">
        <w:rPr>
          <w:rFonts w:ascii="標楷體" w:eastAsia="標楷體" w:hint="eastAsia"/>
          <w:bCs/>
          <w:spacing w:val="6"/>
        </w:rPr>
        <w:t>億1</w:t>
      </w:r>
      <w:r w:rsidR="00CD2340">
        <w:rPr>
          <w:rFonts w:ascii="標楷體" w:eastAsia="標楷體"/>
          <w:bCs/>
          <w:spacing w:val="6"/>
        </w:rPr>
        <w:t>,</w:t>
      </w:r>
      <w:r w:rsidR="00CD2340">
        <w:rPr>
          <w:rFonts w:ascii="標楷體" w:eastAsia="標楷體" w:hint="eastAsia"/>
          <w:bCs/>
          <w:spacing w:val="6"/>
        </w:rPr>
        <w:t>913</w:t>
      </w:r>
      <w:r w:rsidR="00CD2340" w:rsidRPr="00651CCA">
        <w:rPr>
          <w:rFonts w:ascii="標楷體" w:eastAsia="標楷體" w:hint="eastAsia"/>
          <w:bCs/>
          <w:spacing w:val="6"/>
        </w:rPr>
        <w:t>萬餘元</w:t>
      </w:r>
      <w:r w:rsidR="00840F5C" w:rsidRPr="00651CCA">
        <w:rPr>
          <w:rFonts w:ascii="標楷體" w:eastAsia="標楷體" w:hint="eastAsia"/>
          <w:bCs/>
          <w:spacing w:val="6"/>
        </w:rPr>
        <w:t>，</w:t>
      </w:r>
      <w:r w:rsidR="00B03B36" w:rsidRPr="00651CCA">
        <w:rPr>
          <w:rFonts w:ascii="標楷體" w:eastAsia="標楷體" w:hint="eastAsia"/>
          <w:bCs/>
          <w:spacing w:val="6"/>
        </w:rPr>
        <w:t>與</w:t>
      </w:r>
      <w:r w:rsidR="00840F5C" w:rsidRPr="00651CCA">
        <w:rPr>
          <w:rFonts w:ascii="標楷體" w:eastAsia="標楷體" w:hint="eastAsia"/>
          <w:bCs/>
          <w:spacing w:val="6"/>
        </w:rPr>
        <w:t>同基礎之預算</w:t>
      </w:r>
      <w:r w:rsidR="00B03B36" w:rsidRPr="00651CCA">
        <w:rPr>
          <w:rFonts w:ascii="標楷體" w:eastAsia="標楷體" w:hint="eastAsia"/>
          <w:bCs/>
          <w:spacing w:val="6"/>
        </w:rPr>
        <w:t>短絀</w:t>
      </w:r>
      <w:r w:rsidR="00CD2340">
        <w:rPr>
          <w:rFonts w:ascii="標楷體" w:eastAsia="標楷體"/>
          <w:bCs/>
          <w:spacing w:val="6"/>
        </w:rPr>
        <w:t>459</w:t>
      </w:r>
      <w:r w:rsidR="00B03B36" w:rsidRPr="00651CCA">
        <w:rPr>
          <w:rFonts w:ascii="標楷體" w:eastAsia="標楷體" w:hint="eastAsia"/>
          <w:bCs/>
          <w:spacing w:val="6"/>
        </w:rPr>
        <w:t>億</w:t>
      </w:r>
      <w:r w:rsidR="00CD2340">
        <w:rPr>
          <w:rFonts w:ascii="標楷體" w:eastAsia="標楷體" w:hint="eastAsia"/>
          <w:bCs/>
          <w:spacing w:val="6"/>
        </w:rPr>
        <w:t>9</w:t>
      </w:r>
      <w:r w:rsidR="00FC7FC6" w:rsidRPr="00651CCA">
        <w:rPr>
          <w:rFonts w:ascii="標楷體" w:eastAsia="標楷體" w:hint="eastAsia"/>
          <w:bCs/>
          <w:spacing w:val="6"/>
        </w:rPr>
        <w:t>,</w:t>
      </w:r>
      <w:r w:rsidR="00CD2340">
        <w:rPr>
          <w:rFonts w:ascii="標楷體" w:eastAsia="標楷體"/>
          <w:bCs/>
          <w:spacing w:val="6"/>
        </w:rPr>
        <w:t>430</w:t>
      </w:r>
      <w:r w:rsidR="00B03B36" w:rsidRPr="00651CCA">
        <w:rPr>
          <w:rFonts w:ascii="標楷體" w:eastAsia="標楷體" w:hint="eastAsia"/>
          <w:bCs/>
          <w:spacing w:val="6"/>
        </w:rPr>
        <w:t>萬</w:t>
      </w:r>
      <w:r w:rsidR="00FF0165" w:rsidRPr="00651CCA">
        <w:rPr>
          <w:rFonts w:ascii="標楷體" w:eastAsia="標楷體" w:hint="eastAsia"/>
          <w:bCs/>
          <w:spacing w:val="6"/>
        </w:rPr>
        <w:t>餘</w:t>
      </w:r>
      <w:r w:rsidR="00B03B36" w:rsidRPr="00651CCA">
        <w:rPr>
          <w:rFonts w:ascii="標楷體" w:eastAsia="標楷體" w:hint="eastAsia"/>
          <w:bCs/>
          <w:spacing w:val="6"/>
        </w:rPr>
        <w:t>元，相距</w:t>
      </w:r>
      <w:r w:rsidR="00CD2340">
        <w:rPr>
          <w:rFonts w:ascii="標楷體" w:eastAsia="標楷體"/>
          <w:bCs/>
          <w:spacing w:val="6"/>
        </w:rPr>
        <w:t>928</w:t>
      </w:r>
      <w:r w:rsidR="00FD02A5" w:rsidRPr="00651CCA">
        <w:rPr>
          <w:rFonts w:ascii="標楷體" w:eastAsia="標楷體" w:hint="eastAsia"/>
          <w:bCs/>
          <w:spacing w:val="6"/>
        </w:rPr>
        <w:t>億</w:t>
      </w:r>
      <w:r w:rsidR="00CD2340">
        <w:rPr>
          <w:rFonts w:ascii="標楷體" w:eastAsia="標楷體" w:hint="eastAsia"/>
          <w:bCs/>
          <w:spacing w:val="6"/>
        </w:rPr>
        <w:t>1</w:t>
      </w:r>
      <w:r w:rsidR="00FD02A5" w:rsidRPr="00651CCA">
        <w:rPr>
          <w:rFonts w:ascii="標楷體" w:eastAsia="標楷體" w:hint="eastAsia"/>
          <w:bCs/>
          <w:spacing w:val="6"/>
        </w:rPr>
        <w:t>,</w:t>
      </w:r>
      <w:r w:rsidR="00FC7FC6" w:rsidRPr="00651CCA">
        <w:rPr>
          <w:rFonts w:ascii="標楷體" w:eastAsia="標楷體" w:hint="eastAsia"/>
          <w:bCs/>
          <w:spacing w:val="6"/>
        </w:rPr>
        <w:t>3</w:t>
      </w:r>
      <w:r w:rsidR="00CD2340">
        <w:rPr>
          <w:rFonts w:ascii="標楷體" w:eastAsia="標楷體"/>
          <w:bCs/>
          <w:spacing w:val="6"/>
        </w:rPr>
        <w:t>43</w:t>
      </w:r>
      <w:r w:rsidR="00FD02A5" w:rsidRPr="00651CCA">
        <w:rPr>
          <w:rFonts w:ascii="標楷體" w:eastAsia="標楷體" w:hint="eastAsia"/>
          <w:bCs/>
          <w:spacing w:val="6"/>
        </w:rPr>
        <w:t>萬餘元</w:t>
      </w:r>
      <w:r w:rsidR="00B03B36" w:rsidRPr="00651CCA">
        <w:rPr>
          <w:rFonts w:ascii="標楷體" w:eastAsia="標楷體" w:hint="eastAsia"/>
          <w:bCs/>
          <w:spacing w:val="6"/>
        </w:rPr>
        <w:t>，主要係保費收入較預計增加所致。</w:t>
      </w:r>
    </w:p>
    <w:p w14:paraId="74C557D9" w14:textId="77777777" w:rsidR="00EF54D5" w:rsidRPr="00651CCA" w:rsidRDefault="00EF54D5" w:rsidP="009C4493">
      <w:pPr>
        <w:overflowPunct w:val="0"/>
        <w:spacing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3.　餘絀及撥補之審定</w:t>
      </w:r>
    </w:p>
    <w:p w14:paraId="51C81193" w14:textId="3FA832D5" w:rsidR="00EF54D5" w:rsidRPr="00651CCA" w:rsidRDefault="00EF54D5" w:rsidP="009C4493">
      <w:pPr>
        <w:overflowPunct w:val="0"/>
        <w:spacing w:line="566" w:lineRule="exact"/>
        <w:ind w:firstLineChars="550" w:firstLine="1342"/>
        <w:jc w:val="both"/>
        <w:outlineLvl w:val="0"/>
        <w:rPr>
          <w:rFonts w:ascii="標楷體" w:eastAsia="標楷體"/>
          <w:bCs/>
        </w:rPr>
      </w:pPr>
      <w:r w:rsidRPr="00651CCA">
        <w:rPr>
          <w:rFonts w:ascii="標楷體" w:eastAsia="標楷體" w:hint="eastAsia"/>
          <w:bCs/>
          <w:spacing w:val="2"/>
        </w:rPr>
        <w:t>（1）</w:t>
      </w:r>
      <w:r w:rsidRPr="00651CCA">
        <w:rPr>
          <w:rFonts w:ascii="標楷體" w:eastAsia="標楷體" w:hint="eastAsia"/>
          <w:bCs/>
        </w:rPr>
        <w:t xml:space="preserve">　餘絀審定　</w:t>
      </w:r>
      <w:r w:rsidR="0054172D" w:rsidRPr="00651CCA">
        <w:rPr>
          <w:rFonts w:ascii="標楷體" w:eastAsia="標楷體" w:hint="eastAsia"/>
          <w:bCs/>
        </w:rPr>
        <w:t>11</w:t>
      </w:r>
      <w:r w:rsidR="00CD2340">
        <w:rPr>
          <w:rFonts w:ascii="標楷體" w:eastAsia="標楷體"/>
          <w:bCs/>
        </w:rPr>
        <w:t>4</w:t>
      </w:r>
      <w:r w:rsidR="0054172D" w:rsidRPr="00651CCA">
        <w:rPr>
          <w:rFonts w:ascii="標楷體" w:eastAsia="標楷體" w:hint="eastAsia"/>
          <w:bCs/>
        </w:rPr>
        <w:t>年度決算經行政院核定無餘絀數，本部依法審核修正減列業務收入</w:t>
      </w:r>
      <w:r w:rsidR="00CD2340">
        <w:rPr>
          <w:rFonts w:ascii="標楷體" w:eastAsia="標楷體"/>
          <w:bCs/>
        </w:rPr>
        <w:t>27</w:t>
      </w:r>
      <w:r w:rsidR="009C4493" w:rsidRPr="00651CCA">
        <w:rPr>
          <w:rFonts w:ascii="標楷體" w:eastAsia="標楷體" w:hint="eastAsia"/>
          <w:bCs/>
        </w:rPr>
        <w:t>,</w:t>
      </w:r>
      <w:r w:rsidR="00CD2340">
        <w:rPr>
          <w:rFonts w:ascii="標楷體" w:eastAsia="標楷體"/>
          <w:bCs/>
        </w:rPr>
        <w:t>254</w:t>
      </w:r>
      <w:r w:rsidR="009C4493" w:rsidRPr="00651CCA">
        <w:rPr>
          <w:rFonts w:ascii="標楷體" w:eastAsia="標楷體" w:hint="eastAsia"/>
          <w:bCs/>
        </w:rPr>
        <w:t>,</w:t>
      </w:r>
      <w:r w:rsidR="00CD2340">
        <w:rPr>
          <w:rFonts w:ascii="標楷體" w:eastAsia="標楷體"/>
          <w:bCs/>
        </w:rPr>
        <w:t>529</w:t>
      </w:r>
      <w:r w:rsidR="0054172D" w:rsidRPr="00651CCA">
        <w:rPr>
          <w:rFonts w:ascii="標楷體" w:eastAsia="標楷體" w:hint="eastAsia"/>
          <w:bCs/>
        </w:rPr>
        <w:t>元、業務成本與費用</w:t>
      </w:r>
      <w:r w:rsidR="00CD2340">
        <w:rPr>
          <w:rFonts w:ascii="標楷體" w:eastAsia="標楷體"/>
          <w:bCs/>
        </w:rPr>
        <w:t>27</w:t>
      </w:r>
      <w:r w:rsidR="00CD2340" w:rsidRPr="00651CCA">
        <w:rPr>
          <w:rFonts w:ascii="標楷體" w:eastAsia="標楷體" w:hint="eastAsia"/>
          <w:bCs/>
        </w:rPr>
        <w:t>,</w:t>
      </w:r>
      <w:r w:rsidR="00CD2340">
        <w:rPr>
          <w:rFonts w:ascii="標楷體" w:eastAsia="標楷體"/>
          <w:bCs/>
        </w:rPr>
        <w:t>254</w:t>
      </w:r>
      <w:r w:rsidR="00CD2340" w:rsidRPr="00651CCA">
        <w:rPr>
          <w:rFonts w:ascii="標楷體" w:eastAsia="標楷體" w:hint="eastAsia"/>
          <w:bCs/>
        </w:rPr>
        <w:t>,</w:t>
      </w:r>
      <w:r w:rsidR="00CD2340">
        <w:rPr>
          <w:rFonts w:ascii="標楷體" w:eastAsia="標楷體"/>
          <w:bCs/>
        </w:rPr>
        <w:t>529</w:t>
      </w:r>
      <w:r w:rsidR="0054172D" w:rsidRPr="00651CCA">
        <w:rPr>
          <w:rFonts w:ascii="標楷體" w:eastAsia="標楷體" w:hint="eastAsia"/>
          <w:bCs/>
        </w:rPr>
        <w:t>元，收支互抵，餘絀未有增減，予以照數審定。</w:t>
      </w:r>
    </w:p>
    <w:p w14:paraId="0357040E" w14:textId="130394C3" w:rsidR="00234B06" w:rsidRPr="00651CCA" w:rsidRDefault="00EF54D5" w:rsidP="009C4493">
      <w:pPr>
        <w:tabs>
          <w:tab w:val="left" w:pos="2172"/>
          <w:tab w:val="left" w:pos="3360"/>
        </w:tabs>
        <w:overflowPunct w:val="0"/>
        <w:spacing w:line="566" w:lineRule="exact"/>
        <w:ind w:firstLineChars="550" w:firstLine="1320"/>
        <w:jc w:val="both"/>
        <w:outlineLvl w:val="0"/>
        <w:rPr>
          <w:rFonts w:ascii="標楷體" w:eastAsia="標楷體"/>
          <w:bCs/>
        </w:rPr>
      </w:pPr>
      <w:r w:rsidRPr="00651CCA">
        <w:rPr>
          <w:rFonts w:ascii="標楷體" w:eastAsia="標楷體" w:hint="eastAsia"/>
          <w:bCs/>
        </w:rPr>
        <w:t>（2</w:t>
      </w:r>
      <w:r w:rsidR="00265EAB" w:rsidRPr="00651CCA">
        <w:rPr>
          <w:rFonts w:ascii="標楷體" w:eastAsia="標楷體" w:hint="eastAsia"/>
          <w:bCs/>
        </w:rPr>
        <w:t>）</w:t>
      </w:r>
      <w:r w:rsidR="00902D3E" w:rsidRPr="00651CCA">
        <w:rPr>
          <w:rFonts w:ascii="標楷體" w:eastAsia="標楷體" w:hint="eastAsia"/>
          <w:bCs/>
        </w:rPr>
        <w:t xml:space="preserve">　</w:t>
      </w:r>
      <w:r w:rsidR="00265EAB" w:rsidRPr="00651CCA">
        <w:rPr>
          <w:rFonts w:ascii="標楷體" w:eastAsia="標楷體" w:hint="eastAsia"/>
          <w:bCs/>
        </w:rPr>
        <w:t>餘絀撥補</w:t>
      </w:r>
      <w:r w:rsidR="00902D3E" w:rsidRPr="00651CCA">
        <w:rPr>
          <w:rFonts w:ascii="標楷體" w:eastAsia="標楷體" w:hint="eastAsia"/>
          <w:bCs/>
        </w:rPr>
        <w:t xml:space="preserve">　</w:t>
      </w:r>
      <w:r w:rsidR="0054172D" w:rsidRPr="00651CCA">
        <w:rPr>
          <w:rFonts w:ascii="標楷體" w:eastAsia="標楷體" w:hint="eastAsia"/>
          <w:bCs/>
        </w:rPr>
        <w:t>11</w:t>
      </w:r>
      <w:r w:rsidR="00CD2340">
        <w:rPr>
          <w:rFonts w:ascii="標楷體" w:eastAsia="標楷體"/>
          <w:bCs/>
        </w:rPr>
        <w:t>4</w:t>
      </w:r>
      <w:r w:rsidR="0054172D" w:rsidRPr="00651CCA">
        <w:rPr>
          <w:rFonts w:ascii="標楷體" w:eastAsia="標楷體" w:hint="eastAsia"/>
          <w:bCs/>
        </w:rPr>
        <w:t>年度決算審定無餘絀數，亦無撥補事項。</w:t>
      </w:r>
    </w:p>
    <w:p w14:paraId="3C4343C9" w14:textId="77777777" w:rsidR="00EF54D5" w:rsidRPr="00651CCA" w:rsidRDefault="00EF54D5" w:rsidP="009C4493">
      <w:pPr>
        <w:overflowPunct w:val="0"/>
        <w:spacing w:line="566" w:lineRule="exact"/>
        <w:ind w:firstLineChars="450" w:firstLine="1261"/>
        <w:jc w:val="both"/>
        <w:outlineLvl w:val="0"/>
        <w:rPr>
          <w:rFonts w:ascii="標楷體" w:eastAsia="標楷體"/>
          <w:b/>
          <w:bCs/>
          <w:sz w:val="28"/>
        </w:rPr>
      </w:pPr>
      <w:r w:rsidRPr="00651CCA">
        <w:rPr>
          <w:rFonts w:ascii="標楷體" w:eastAsia="標楷體" w:hint="eastAsia"/>
          <w:b/>
          <w:bCs/>
          <w:sz w:val="28"/>
        </w:rPr>
        <w:t>4.　現金流量之查核</w:t>
      </w:r>
    </w:p>
    <w:p w14:paraId="7B8C406C" w14:textId="4A18708E" w:rsidR="00AB2AB8" w:rsidRPr="00651CCA" w:rsidRDefault="0054172D" w:rsidP="009C4493">
      <w:pPr>
        <w:widowControl/>
        <w:overflowPunct w:val="0"/>
        <w:spacing w:line="566" w:lineRule="exact"/>
        <w:ind w:firstLineChars="200" w:firstLine="496"/>
        <w:jc w:val="both"/>
        <w:rPr>
          <w:rFonts w:ascii="標楷體" w:eastAsia="標楷體" w:hAnsi="標楷體" w:cs="標楷體"/>
          <w:spacing w:val="4"/>
        </w:rPr>
      </w:pPr>
      <w:r w:rsidRPr="00651CCA">
        <w:rPr>
          <w:rFonts w:ascii="標楷體" w:eastAsia="標楷體" w:hAnsi="標楷體" w:cs="標楷體" w:hint="eastAsia"/>
          <w:spacing w:val="4"/>
        </w:rPr>
        <w:t>11</w:t>
      </w:r>
      <w:r w:rsidR="00CD2340">
        <w:rPr>
          <w:rFonts w:ascii="標楷體" w:eastAsia="標楷體" w:hAnsi="標楷體" w:cs="標楷體"/>
          <w:spacing w:val="4"/>
        </w:rPr>
        <w:t>4</w:t>
      </w:r>
      <w:r w:rsidRPr="00651CCA">
        <w:rPr>
          <w:rFonts w:ascii="標楷體" w:eastAsia="標楷體" w:hAnsi="標楷體" w:cs="標楷體" w:hint="eastAsia"/>
          <w:spacing w:val="4"/>
        </w:rPr>
        <w:t>年度期初現金及約當現金</w:t>
      </w:r>
      <w:r w:rsidR="00CD2340" w:rsidRPr="00CD2340">
        <w:rPr>
          <w:rFonts w:ascii="標楷體" w:eastAsia="標楷體" w:hAnsi="標楷體" w:cs="標楷體" w:hint="eastAsia"/>
          <w:spacing w:val="4"/>
        </w:rPr>
        <w:t>143億4,240萬餘元</w:t>
      </w:r>
      <w:r w:rsidRPr="00651CCA">
        <w:rPr>
          <w:rFonts w:ascii="標楷體" w:eastAsia="標楷體" w:hAnsi="標楷體" w:cs="標楷體" w:hint="eastAsia"/>
          <w:spacing w:val="4"/>
        </w:rPr>
        <w:t>，經業務、投資及籌資活動結果，現金及約當現金</w:t>
      </w:r>
      <w:r w:rsidR="00CD2340" w:rsidRPr="00CD2340">
        <w:rPr>
          <w:rFonts w:ascii="標楷體" w:eastAsia="標楷體" w:hAnsi="標楷體" w:cs="標楷體" w:hint="eastAsia"/>
          <w:spacing w:val="4"/>
        </w:rPr>
        <w:t>淨增56億5,004萬餘元</w:t>
      </w:r>
      <w:r w:rsidRPr="00651CCA">
        <w:rPr>
          <w:rFonts w:ascii="標楷體" w:eastAsia="標楷體" w:hAnsi="標楷體" w:cs="標楷體" w:hint="eastAsia"/>
          <w:spacing w:val="4"/>
        </w:rPr>
        <w:t>，期末現金及約當現金為</w:t>
      </w:r>
      <w:r w:rsidR="00CD2340" w:rsidRPr="00CD2340">
        <w:rPr>
          <w:rFonts w:ascii="標楷體" w:eastAsia="標楷體" w:hAnsi="標楷體" w:cs="標楷體" w:hint="eastAsia"/>
          <w:spacing w:val="4"/>
        </w:rPr>
        <w:t>199億9,245萬餘元</w:t>
      </w:r>
      <w:r w:rsidRPr="00651CCA">
        <w:rPr>
          <w:rFonts w:ascii="標楷體" w:eastAsia="標楷體" w:hAnsi="標楷體" w:cs="標楷體" w:hint="eastAsia"/>
          <w:spacing w:val="4"/>
        </w:rPr>
        <w:t>；</w:t>
      </w:r>
      <w:r w:rsidR="00C742F7" w:rsidRPr="00C742F7">
        <w:rPr>
          <w:rFonts w:ascii="標楷體" w:eastAsia="標楷體" w:hAnsi="標楷體" w:cs="標楷體" w:hint="eastAsia"/>
          <w:spacing w:val="4"/>
        </w:rPr>
        <w:t>其現金及約當現金淨增數較預算淨增數</w:t>
      </w:r>
      <w:r w:rsidR="00CD2340" w:rsidRPr="00CD2340">
        <w:rPr>
          <w:rFonts w:ascii="標楷體" w:eastAsia="標楷體" w:hAnsi="標楷體" w:cs="標楷體" w:hint="eastAsia"/>
          <w:spacing w:val="4"/>
        </w:rPr>
        <w:t>154億1,224萬餘元</w:t>
      </w:r>
      <w:r w:rsidR="006E25EA" w:rsidRPr="00651CCA">
        <w:rPr>
          <w:rFonts w:ascii="標楷體" w:eastAsia="標楷體" w:hAnsi="標楷體" w:cs="標楷體" w:hint="eastAsia"/>
          <w:spacing w:val="4"/>
        </w:rPr>
        <w:t>，</w:t>
      </w:r>
      <w:r w:rsidR="00CD2340" w:rsidRPr="00CD2340">
        <w:rPr>
          <w:rFonts w:ascii="標楷體" w:eastAsia="標楷體" w:hAnsi="標楷體" w:cs="標楷體" w:hint="eastAsia"/>
          <w:spacing w:val="4"/>
        </w:rPr>
        <w:t>減少97億6,219萬餘元</w:t>
      </w:r>
      <w:r w:rsidRPr="00651CCA">
        <w:rPr>
          <w:rFonts w:ascii="標楷體" w:eastAsia="標楷體" w:hAnsi="標楷體" w:cs="標楷體" w:hint="eastAsia"/>
          <w:spacing w:val="4"/>
        </w:rPr>
        <w:t>，</w:t>
      </w:r>
      <w:r w:rsidR="009C4493" w:rsidRPr="00651CCA">
        <w:rPr>
          <w:rFonts w:ascii="標楷體" w:eastAsia="標楷體" w:hAnsi="標楷體" w:cs="標楷體" w:hint="eastAsia"/>
          <w:spacing w:val="4"/>
        </w:rPr>
        <w:t>主要係增提安全準備金</w:t>
      </w:r>
      <w:r w:rsidRPr="00651CCA">
        <w:rPr>
          <w:rFonts w:ascii="標楷體" w:eastAsia="標楷體" w:hAnsi="標楷體" w:cs="標楷體" w:hint="eastAsia"/>
          <w:spacing w:val="4"/>
        </w:rPr>
        <w:t>，</w:t>
      </w:r>
      <w:r w:rsidR="00764409" w:rsidRPr="00651CCA">
        <w:rPr>
          <w:rFonts w:ascii="標楷體" w:eastAsia="標楷體" w:hAnsi="標楷體" w:cs="標楷體" w:hint="eastAsia"/>
          <w:spacing w:val="4"/>
        </w:rPr>
        <w:t>投資活動產生淨現金流出所致。</w:t>
      </w:r>
    </w:p>
    <w:p w14:paraId="0364D212" w14:textId="77777777" w:rsidR="005E6E9F" w:rsidRPr="00651CCA" w:rsidRDefault="005E6E9F" w:rsidP="005E6E9F">
      <w:pPr>
        <w:overflowPunct w:val="0"/>
        <w:spacing w:line="520" w:lineRule="exact"/>
        <w:ind w:firstLineChars="450" w:firstLine="1261"/>
        <w:jc w:val="both"/>
        <w:outlineLvl w:val="0"/>
        <w:rPr>
          <w:rFonts w:ascii="標楷體" w:eastAsia="標楷體"/>
          <w:b/>
          <w:bCs/>
          <w:sz w:val="28"/>
        </w:rPr>
      </w:pPr>
      <w:r w:rsidRPr="00651CCA">
        <w:rPr>
          <w:rFonts w:ascii="標楷體" w:eastAsia="標楷體" w:hint="eastAsia"/>
          <w:b/>
          <w:bCs/>
          <w:sz w:val="28"/>
        </w:rPr>
        <w:lastRenderedPageBreak/>
        <w:t>5.　重要審核意見</w:t>
      </w:r>
    </w:p>
    <w:p w14:paraId="4DDBBFC0" w14:textId="4591F9B4" w:rsidR="005E6E9F" w:rsidRPr="00613DAB" w:rsidRDefault="005E6E9F" w:rsidP="004068F5">
      <w:pPr>
        <w:pStyle w:val="af9"/>
        <w:overflowPunct w:val="0"/>
        <w:spacing w:beforeLines="0" w:before="0" w:afterLines="0" w:after="0" w:line="600" w:lineRule="exact"/>
        <w:ind w:firstLineChars="450" w:firstLine="1261"/>
        <w:rPr>
          <w:rFonts w:ascii="標楷體" w:hAnsi="標楷體"/>
          <w:bCs w:val="0"/>
          <w:kern w:val="0"/>
        </w:rPr>
      </w:pPr>
      <w:r w:rsidRPr="00613DAB">
        <w:rPr>
          <w:rFonts w:ascii="標楷體" w:hAnsi="標楷體" w:hint="eastAsia"/>
          <w:bCs w:val="0"/>
          <w:kern w:val="0"/>
        </w:rPr>
        <w:t xml:space="preserve">（1）　</w:t>
      </w:r>
      <w:bookmarkStart w:id="0" w:name="_Hlk233193033"/>
      <w:r w:rsidRPr="006564C1">
        <w:rPr>
          <w:rFonts w:ascii="標楷體" w:hAnsi="標楷體" w:hint="eastAsia"/>
          <w:bCs w:val="0"/>
          <w:kern w:val="0"/>
        </w:rPr>
        <w:t>政府為確保</w:t>
      </w:r>
      <w:r w:rsidRPr="001E0D1F">
        <w:rPr>
          <w:rFonts w:ascii="標楷體" w:hAnsi="標楷體" w:hint="eastAsia"/>
          <w:bCs w:val="0"/>
          <w:kern w:val="0"/>
        </w:rPr>
        <w:t>健保</w:t>
      </w:r>
      <w:r w:rsidRPr="006564C1">
        <w:rPr>
          <w:rFonts w:ascii="標楷體" w:hAnsi="標楷體" w:hint="eastAsia"/>
          <w:bCs w:val="0"/>
          <w:kern w:val="0"/>
        </w:rPr>
        <w:t>永續經營，</w:t>
      </w:r>
      <w:r w:rsidR="0035417A">
        <w:rPr>
          <w:rFonts w:ascii="標楷體" w:hAnsi="標楷體" w:hint="eastAsia"/>
          <w:bCs w:val="0"/>
          <w:kern w:val="0"/>
        </w:rPr>
        <w:t>持續推動健保</w:t>
      </w:r>
      <w:r w:rsidRPr="006564C1">
        <w:rPr>
          <w:rFonts w:ascii="標楷體" w:hAnsi="標楷體" w:hint="eastAsia"/>
          <w:bCs w:val="0"/>
          <w:kern w:val="0"/>
        </w:rPr>
        <w:t>制度改革，惟</w:t>
      </w:r>
      <w:r w:rsidR="0035417A">
        <w:rPr>
          <w:rFonts w:ascii="標楷體" w:hAnsi="標楷體" w:hint="eastAsia"/>
          <w:bCs w:val="0"/>
          <w:kern w:val="0"/>
        </w:rPr>
        <w:t>論質計酬方案</w:t>
      </w:r>
      <w:r w:rsidR="0035417A" w:rsidRPr="0035417A">
        <w:rPr>
          <w:rFonts w:ascii="標楷體" w:hAnsi="標楷體" w:hint="eastAsia"/>
          <w:bCs w:val="0"/>
          <w:kern w:val="0"/>
        </w:rPr>
        <w:t>支付規模及收案照護率成長有限</w:t>
      </w:r>
      <w:r w:rsidRPr="006564C1">
        <w:rPr>
          <w:rFonts w:ascii="標楷體" w:hAnsi="標楷體" w:hint="eastAsia"/>
          <w:bCs w:val="0"/>
          <w:kern w:val="0"/>
        </w:rPr>
        <w:t>，復</w:t>
      </w:r>
      <w:r w:rsidRPr="001E0D1F">
        <w:rPr>
          <w:rFonts w:ascii="標楷體" w:hAnsi="標楷體" w:hint="eastAsia"/>
          <w:bCs w:val="0"/>
          <w:kern w:val="0"/>
        </w:rPr>
        <w:t>健保</w:t>
      </w:r>
      <w:r w:rsidR="0035417A">
        <w:rPr>
          <w:rFonts w:ascii="標楷體" w:hAnsi="標楷體" w:hint="eastAsia"/>
          <w:bCs w:val="0"/>
          <w:kern w:val="0"/>
        </w:rPr>
        <w:t>基</w:t>
      </w:r>
      <w:r w:rsidRPr="001E0D1F">
        <w:rPr>
          <w:rFonts w:ascii="標楷體" w:hAnsi="標楷體" w:hint="eastAsia"/>
          <w:bCs w:val="0"/>
          <w:kern w:val="0"/>
        </w:rPr>
        <w:t>金</w:t>
      </w:r>
      <w:r w:rsidRPr="006564C1">
        <w:rPr>
          <w:rFonts w:ascii="標楷體" w:hAnsi="標楷體" w:hint="eastAsia"/>
          <w:bCs w:val="0"/>
          <w:kern w:val="0"/>
        </w:rPr>
        <w:t>收支結構失衡，仰賴政府財政資源挹注，允宜妥謀收支制度改革措施，並精進現行支付及誘因機制設計，以維護</w:t>
      </w:r>
      <w:r w:rsidR="0035417A">
        <w:rPr>
          <w:rFonts w:ascii="標楷體" w:hAnsi="標楷體" w:hint="eastAsia"/>
          <w:bCs w:val="0"/>
          <w:kern w:val="0"/>
        </w:rPr>
        <w:t>健保</w:t>
      </w:r>
      <w:r w:rsidRPr="006564C1">
        <w:rPr>
          <w:rFonts w:ascii="標楷體" w:hAnsi="標楷體" w:hint="eastAsia"/>
          <w:bCs w:val="0"/>
          <w:kern w:val="0"/>
        </w:rPr>
        <w:t>財務健全</w:t>
      </w:r>
      <w:bookmarkEnd w:id="0"/>
      <w:r>
        <w:rPr>
          <w:rFonts w:ascii="標楷體" w:hAnsi="標楷體" w:hint="eastAsia"/>
          <w:bCs w:val="0"/>
          <w:kern w:val="0"/>
        </w:rPr>
        <w:t>。</w:t>
      </w:r>
    </w:p>
    <w:p w14:paraId="0257FFF8" w14:textId="77777777" w:rsidR="005E6E9F" w:rsidRPr="00AE1BB7" w:rsidRDefault="005E6E9F" w:rsidP="004068F5">
      <w:pPr>
        <w:pStyle w:val="af9"/>
        <w:overflowPunct w:val="0"/>
        <w:spacing w:beforeLines="0" w:before="0" w:afterLines="0" w:after="0" w:line="610" w:lineRule="exact"/>
        <w:ind w:firstLine="480"/>
        <w:rPr>
          <w:rFonts w:ascii="標楷體" w:hAnsi="標楷體"/>
          <w:b w:val="0"/>
          <w:sz w:val="24"/>
          <w:szCs w:val="24"/>
        </w:rPr>
      </w:pPr>
      <w:r w:rsidRPr="00AE1BB7">
        <w:rPr>
          <w:rFonts w:ascii="標楷體" w:hAnsi="標楷體" w:hint="eastAsia"/>
          <w:b w:val="0"/>
          <w:sz w:val="24"/>
          <w:szCs w:val="24"/>
        </w:rPr>
        <w:t>政府為提供國人普及、低負擔、高品質之醫療照護服務，開辦全民健康保險（下稱健保），並設置</w:t>
      </w:r>
      <w:bookmarkStart w:id="1" w:name="_Hlk232495367"/>
      <w:r w:rsidRPr="00AE1BB7">
        <w:rPr>
          <w:rFonts w:ascii="標楷體" w:hAnsi="標楷體" w:hint="eastAsia"/>
          <w:b w:val="0"/>
          <w:sz w:val="24"/>
          <w:szCs w:val="24"/>
        </w:rPr>
        <w:t>全民健康保險基金（下稱健保基金）</w:t>
      </w:r>
      <w:bookmarkEnd w:id="1"/>
      <w:r w:rsidRPr="00AE1BB7">
        <w:rPr>
          <w:rFonts w:ascii="標楷體" w:hAnsi="標楷體" w:hint="eastAsia"/>
          <w:b w:val="0"/>
          <w:sz w:val="24"/>
          <w:szCs w:val="24"/>
        </w:rPr>
        <w:t>，進行各項保險財源之收繳，及醫療費用之給付。復為實踐健康臺灣之國政願景，達成提升國人平均餘命，同時降低不健康年數之目標，由衛生福利部（下稱衛福部）提出願景規劃，設定「確保健保永續經營」等重點工作</w:t>
      </w:r>
      <w:r>
        <w:rPr>
          <w:rFonts w:ascii="標楷體" w:hAnsi="標楷體" w:hint="eastAsia"/>
          <w:b w:val="0"/>
          <w:sz w:val="24"/>
          <w:szCs w:val="24"/>
        </w:rPr>
        <w:t>，並由中央健康保險署（下稱健保署）推動</w:t>
      </w:r>
      <w:r w:rsidRPr="00AE1BB7">
        <w:rPr>
          <w:rFonts w:ascii="標楷體" w:hAnsi="標楷體" w:hint="eastAsia"/>
          <w:b w:val="0"/>
          <w:sz w:val="24"/>
          <w:szCs w:val="24"/>
        </w:rPr>
        <w:t>。經查健保基金財務及營運管理情形，核有下列事項：</w:t>
      </w:r>
    </w:p>
    <w:p w14:paraId="0503910F" w14:textId="6D28B9BB" w:rsidR="005E6E9F" w:rsidRPr="0085471A" w:rsidRDefault="005E6E9F" w:rsidP="004068F5">
      <w:pPr>
        <w:pStyle w:val="af9"/>
        <w:overflowPunct w:val="0"/>
        <w:spacing w:beforeLines="0" w:before="0" w:afterLines="0" w:after="0" w:line="610" w:lineRule="exact"/>
        <w:ind w:firstLineChars="700" w:firstLine="1962"/>
        <w:rPr>
          <w:rFonts w:ascii="標楷體" w:hAnsi="標楷體"/>
          <w:b w:val="0"/>
          <w:sz w:val="24"/>
          <w:szCs w:val="24"/>
        </w:rPr>
      </w:pPr>
      <w:r w:rsidRPr="002D65D4">
        <w:rPr>
          <w:rFonts w:hAnsi="標楷體" w:hint="eastAsia"/>
          <w:noProof/>
          <w:color w:val="000000" w:themeColor="text1"/>
          <w:lang w:val="zh-TW"/>
        </w:rPr>
        <mc:AlternateContent>
          <mc:Choice Requires="wps">
            <w:drawing>
              <wp:anchor distT="0" distB="0" distL="114300" distR="114300" simplePos="0" relativeHeight="251660288" behindDoc="0" locked="0" layoutInCell="1" allowOverlap="1" wp14:anchorId="4AB7311F" wp14:editId="11258853">
                <wp:simplePos x="0" y="0"/>
                <wp:positionH relativeFrom="column">
                  <wp:posOffset>2465070</wp:posOffset>
                </wp:positionH>
                <wp:positionV relativeFrom="paragraph">
                  <wp:posOffset>2132330</wp:posOffset>
                </wp:positionV>
                <wp:extent cx="4030980" cy="2921000"/>
                <wp:effectExtent l="0" t="0" r="0" b="12700"/>
                <wp:wrapSquare wrapText="bothSides"/>
                <wp:docPr id="13" name="文字方塊 13"/>
                <wp:cNvGraphicFramePr/>
                <a:graphic xmlns:a="http://schemas.openxmlformats.org/drawingml/2006/main">
                  <a:graphicData uri="http://schemas.microsoft.com/office/word/2010/wordprocessingShape">
                    <wps:wsp>
                      <wps:cNvSpPr txBox="1"/>
                      <wps:spPr>
                        <a:xfrm>
                          <a:off x="0" y="0"/>
                          <a:ext cx="4030980" cy="2921000"/>
                        </a:xfrm>
                        <a:prstGeom prst="rect">
                          <a:avLst/>
                        </a:prstGeom>
                        <a:noFill/>
                        <a:ln w="6350">
                          <a:noFill/>
                        </a:ln>
                        <a:effectLst/>
                      </wps:spPr>
                      <wps:txbx>
                        <w:txbxContent>
                          <w:p w14:paraId="62AF5A48" w14:textId="77777777" w:rsidR="005E6E9F" w:rsidRDefault="005E6E9F" w:rsidP="005E6E9F">
                            <w:pPr>
                              <w:spacing w:afterLines="20" w:after="72" w:line="240" w:lineRule="exact"/>
                              <w:jc w:val="center"/>
                              <w:rPr>
                                <w:rFonts w:ascii="標楷體" w:eastAsia="標楷體" w:hAnsi="標楷體"/>
                                <w:b/>
                              </w:rPr>
                            </w:pPr>
                            <w:r>
                              <w:rPr>
                                <w:rFonts w:ascii="標楷體" w:eastAsia="標楷體" w:hAnsi="標楷體" w:hint="eastAsia"/>
                                <w:b/>
                              </w:rPr>
                              <w:t>表</w:t>
                            </w:r>
                            <w:r>
                              <w:rPr>
                                <w:rFonts w:ascii="標楷體" w:eastAsia="標楷體" w:hAnsi="標楷體"/>
                                <w:b/>
                                <w:color w:val="000000" w:themeColor="text1"/>
                              </w:rPr>
                              <w:t>1</w:t>
                            </w:r>
                            <w:r>
                              <w:rPr>
                                <w:rFonts w:ascii="標楷體" w:eastAsia="標楷體" w:hAnsi="標楷體" w:hint="eastAsia"/>
                                <w:b/>
                              </w:rPr>
                              <w:t xml:space="preserve">　</w:t>
                            </w:r>
                            <w:r w:rsidRPr="009C7A2E">
                              <w:rPr>
                                <w:rFonts w:ascii="標楷體" w:eastAsia="標楷體" w:hAnsi="標楷體" w:hint="eastAsia"/>
                                <w:b/>
                              </w:rPr>
                              <w:t>健保各項支付方式醫療</w:t>
                            </w:r>
                            <w:r>
                              <w:rPr>
                                <w:rFonts w:ascii="標楷體" w:eastAsia="標楷體" w:hAnsi="標楷體" w:hint="eastAsia"/>
                                <w:b/>
                              </w:rPr>
                              <w:t>給付</w:t>
                            </w:r>
                            <w:r w:rsidRPr="009C7A2E">
                              <w:rPr>
                                <w:rFonts w:ascii="標楷體" w:eastAsia="標楷體" w:hAnsi="標楷體" w:hint="eastAsia"/>
                                <w:b/>
                              </w:rPr>
                              <w:t>費用占比分析</w:t>
                            </w:r>
                          </w:p>
                          <w:p w14:paraId="7C277097" w14:textId="77777777" w:rsidR="005E6E9F" w:rsidRPr="0092435A" w:rsidRDefault="005E6E9F" w:rsidP="007B70CF">
                            <w:pPr>
                              <w:spacing w:line="200" w:lineRule="exact"/>
                              <w:ind w:rightChars="-41" w:right="-98"/>
                              <w:jc w:val="right"/>
                              <w:rPr>
                                <w:rFonts w:ascii="標楷體" w:eastAsia="標楷體" w:hAnsi="標楷體"/>
                                <w:bCs/>
                                <w:sz w:val="20"/>
                                <w:szCs w:val="20"/>
                              </w:rPr>
                            </w:pPr>
                            <w:r>
                              <w:rPr>
                                <w:rFonts w:ascii="標楷體" w:eastAsia="標楷體" w:hAnsi="標楷體" w:hint="eastAsia"/>
                                <w:bCs/>
                                <w:sz w:val="20"/>
                                <w:szCs w:val="20"/>
                              </w:rPr>
                              <w:t>單位：％</w:t>
                            </w:r>
                          </w:p>
                          <w:tbl>
                            <w:tblPr>
                              <w:tblW w:w="6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5"/>
                              <w:gridCol w:w="1134"/>
                              <w:gridCol w:w="1134"/>
                              <w:gridCol w:w="1134"/>
                              <w:gridCol w:w="1134"/>
                              <w:gridCol w:w="1134"/>
                            </w:tblGrid>
                            <w:tr w:rsidR="005E6E9F" w:rsidRPr="002530AF" w14:paraId="6256FAEE" w14:textId="77777777" w:rsidTr="002530AF">
                              <w:tc>
                                <w:tcPr>
                                  <w:tcW w:w="475" w:type="dxa"/>
                                  <w:shd w:val="clear" w:color="auto" w:fill="auto"/>
                                  <w:noWrap/>
                                  <w:vAlign w:val="center"/>
                                  <w:hideMark/>
                                </w:tcPr>
                                <w:p w14:paraId="10175B67"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年度</w:t>
                                  </w:r>
                                </w:p>
                              </w:tc>
                              <w:tc>
                                <w:tcPr>
                                  <w:tcW w:w="1134" w:type="dxa"/>
                                  <w:shd w:val="clear" w:color="auto" w:fill="auto"/>
                                  <w:vAlign w:val="center"/>
                                  <w:hideMark/>
                                </w:tcPr>
                                <w:p w14:paraId="6B1A2C59"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論量計酬</w:t>
                                  </w:r>
                                </w:p>
                              </w:tc>
                              <w:tc>
                                <w:tcPr>
                                  <w:tcW w:w="1134" w:type="dxa"/>
                                  <w:shd w:val="clear" w:color="auto" w:fill="auto"/>
                                  <w:vAlign w:val="center"/>
                                  <w:hideMark/>
                                </w:tcPr>
                                <w:p w14:paraId="6624396E" w14:textId="6823213E" w:rsidR="005E6E9F" w:rsidRPr="002530AF" w:rsidRDefault="005E6E9F" w:rsidP="007B70CF">
                                  <w:pPr>
                                    <w:widowControl/>
                                    <w:spacing w:line="240" w:lineRule="exact"/>
                                    <w:ind w:leftChars="10" w:left="24" w:rightChars="10" w:right="24"/>
                                    <w:jc w:val="both"/>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住院診斷關聯群支付制度</w:t>
                                  </w:r>
                                  <w:r w:rsidR="007B70CF">
                                    <w:rPr>
                                      <w:rFonts w:ascii="標楷體" w:eastAsia="標楷體" w:hAnsi="標楷體" w:cs="新細明體" w:hint="eastAsia"/>
                                      <w:color w:val="000000"/>
                                      <w:kern w:val="0"/>
                                      <w:sz w:val="20"/>
                                      <w:szCs w:val="20"/>
                                    </w:rPr>
                                    <w:t>（</w:t>
                                  </w:r>
                                  <w:r w:rsidRPr="002530AF">
                                    <w:rPr>
                                      <w:rFonts w:ascii="標楷體" w:eastAsia="標楷體" w:hAnsi="標楷體" w:cs="新細明體" w:hint="eastAsia"/>
                                      <w:color w:val="000000"/>
                                      <w:kern w:val="0"/>
                                      <w:sz w:val="20"/>
                                      <w:szCs w:val="20"/>
                                    </w:rPr>
                                    <w:t>DRG</w:t>
                                  </w:r>
                                  <w:r w:rsidR="007B70CF">
                                    <w:rPr>
                                      <w:rFonts w:ascii="標楷體" w:eastAsia="標楷體" w:hAnsi="標楷體" w:cs="新細明體" w:hint="eastAsia"/>
                                      <w:color w:val="000000"/>
                                      <w:kern w:val="0"/>
                                      <w:sz w:val="20"/>
                                      <w:szCs w:val="20"/>
                                    </w:rPr>
                                    <w:t>）</w:t>
                                  </w:r>
                                </w:p>
                              </w:tc>
                              <w:tc>
                                <w:tcPr>
                                  <w:tcW w:w="1134" w:type="dxa"/>
                                  <w:shd w:val="clear" w:color="auto" w:fill="auto"/>
                                  <w:vAlign w:val="center"/>
                                  <w:hideMark/>
                                </w:tcPr>
                                <w:p w14:paraId="16BC2EC5"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論病例計酬</w:t>
                                  </w:r>
                                </w:p>
                              </w:tc>
                              <w:tc>
                                <w:tcPr>
                                  <w:tcW w:w="1134" w:type="dxa"/>
                                  <w:shd w:val="clear" w:color="auto" w:fill="auto"/>
                                  <w:noWrap/>
                                  <w:vAlign w:val="center"/>
                                  <w:hideMark/>
                                </w:tcPr>
                                <w:p w14:paraId="4C5AEE11"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論日計酬</w:t>
                                  </w:r>
                                </w:p>
                              </w:tc>
                              <w:tc>
                                <w:tcPr>
                                  <w:tcW w:w="1134" w:type="dxa"/>
                                  <w:shd w:val="clear" w:color="auto" w:fill="auto"/>
                                  <w:vAlign w:val="center"/>
                                  <w:hideMark/>
                                </w:tcPr>
                                <w:p w14:paraId="576BEC59"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論質計酬</w:t>
                                  </w:r>
                                </w:p>
                              </w:tc>
                            </w:tr>
                            <w:tr w:rsidR="00AA7D8F" w:rsidRPr="002530AF" w14:paraId="230332DE" w14:textId="77777777" w:rsidTr="004068F5">
                              <w:trPr>
                                <w:trHeight w:val="295"/>
                              </w:trPr>
                              <w:tc>
                                <w:tcPr>
                                  <w:tcW w:w="475" w:type="dxa"/>
                                  <w:shd w:val="clear" w:color="auto" w:fill="auto"/>
                                  <w:vAlign w:val="center"/>
                                  <w:hideMark/>
                                </w:tcPr>
                                <w:p w14:paraId="3DE56C2E"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105</w:t>
                                  </w:r>
                                </w:p>
                              </w:tc>
                              <w:tc>
                                <w:tcPr>
                                  <w:tcW w:w="1134" w:type="dxa"/>
                                  <w:shd w:val="clear" w:color="auto" w:fill="auto"/>
                                  <w:noWrap/>
                                  <w:vAlign w:val="center"/>
                                  <w:hideMark/>
                                </w:tcPr>
                                <w:p w14:paraId="2573F3E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91.76</w:t>
                                  </w:r>
                                </w:p>
                              </w:tc>
                              <w:tc>
                                <w:tcPr>
                                  <w:tcW w:w="1134" w:type="dxa"/>
                                  <w:shd w:val="clear" w:color="auto" w:fill="auto"/>
                                  <w:noWrap/>
                                  <w:vAlign w:val="center"/>
                                  <w:hideMark/>
                                </w:tcPr>
                                <w:p w14:paraId="6C5FF067"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6.02</w:t>
                                  </w:r>
                                </w:p>
                              </w:tc>
                              <w:tc>
                                <w:tcPr>
                                  <w:tcW w:w="1134" w:type="dxa"/>
                                  <w:shd w:val="clear" w:color="auto" w:fill="auto"/>
                                  <w:noWrap/>
                                  <w:hideMark/>
                                </w:tcPr>
                                <w:p w14:paraId="37968E50" w14:textId="2D518152"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1.47 </w:t>
                                  </w:r>
                                </w:p>
                              </w:tc>
                              <w:tc>
                                <w:tcPr>
                                  <w:tcW w:w="1134" w:type="dxa"/>
                                  <w:shd w:val="clear" w:color="auto" w:fill="auto"/>
                                  <w:noWrap/>
                                  <w:vAlign w:val="center"/>
                                  <w:hideMark/>
                                </w:tcPr>
                                <w:p w14:paraId="25DE664F"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0.59</w:t>
                                  </w:r>
                                </w:p>
                              </w:tc>
                              <w:tc>
                                <w:tcPr>
                                  <w:tcW w:w="1134" w:type="dxa"/>
                                  <w:shd w:val="clear" w:color="auto" w:fill="auto"/>
                                  <w:noWrap/>
                                  <w:vAlign w:val="center"/>
                                  <w:hideMark/>
                                </w:tcPr>
                                <w:p w14:paraId="6007B6F8"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0.16</w:t>
                                  </w:r>
                                </w:p>
                              </w:tc>
                            </w:tr>
                            <w:tr w:rsidR="00AA7D8F" w:rsidRPr="002530AF" w14:paraId="399FBFC8" w14:textId="77777777" w:rsidTr="004068F5">
                              <w:trPr>
                                <w:trHeight w:val="295"/>
                              </w:trPr>
                              <w:tc>
                                <w:tcPr>
                                  <w:tcW w:w="475" w:type="dxa"/>
                                  <w:shd w:val="clear" w:color="auto" w:fill="auto"/>
                                  <w:vAlign w:val="center"/>
                                  <w:hideMark/>
                                </w:tcPr>
                                <w:p w14:paraId="4CC34245"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106</w:t>
                                  </w:r>
                                </w:p>
                              </w:tc>
                              <w:tc>
                                <w:tcPr>
                                  <w:tcW w:w="1134" w:type="dxa"/>
                                  <w:shd w:val="clear" w:color="auto" w:fill="auto"/>
                                  <w:noWrap/>
                                  <w:vAlign w:val="center"/>
                                  <w:hideMark/>
                                </w:tcPr>
                                <w:p w14:paraId="79D21FD0"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91.93</w:t>
                                  </w:r>
                                </w:p>
                              </w:tc>
                              <w:tc>
                                <w:tcPr>
                                  <w:tcW w:w="1134" w:type="dxa"/>
                                  <w:shd w:val="clear" w:color="auto" w:fill="auto"/>
                                  <w:noWrap/>
                                  <w:vAlign w:val="center"/>
                                  <w:hideMark/>
                                </w:tcPr>
                                <w:p w14:paraId="0D1B6B19"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5.88</w:t>
                                  </w:r>
                                </w:p>
                              </w:tc>
                              <w:tc>
                                <w:tcPr>
                                  <w:tcW w:w="1134" w:type="dxa"/>
                                  <w:shd w:val="clear" w:color="auto" w:fill="auto"/>
                                  <w:noWrap/>
                                  <w:hideMark/>
                                </w:tcPr>
                                <w:p w14:paraId="6FE84D5C" w14:textId="2BB474B1"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1.43 </w:t>
                                  </w:r>
                                </w:p>
                              </w:tc>
                              <w:tc>
                                <w:tcPr>
                                  <w:tcW w:w="1134" w:type="dxa"/>
                                  <w:shd w:val="clear" w:color="auto" w:fill="auto"/>
                                  <w:noWrap/>
                                  <w:vAlign w:val="center"/>
                                  <w:hideMark/>
                                </w:tcPr>
                                <w:p w14:paraId="3DECB3D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0.60</w:t>
                                  </w:r>
                                </w:p>
                              </w:tc>
                              <w:tc>
                                <w:tcPr>
                                  <w:tcW w:w="1134" w:type="dxa"/>
                                  <w:shd w:val="clear" w:color="auto" w:fill="auto"/>
                                  <w:noWrap/>
                                  <w:vAlign w:val="center"/>
                                  <w:hideMark/>
                                </w:tcPr>
                                <w:p w14:paraId="3CBCFF6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0.17</w:t>
                                  </w:r>
                                </w:p>
                              </w:tc>
                            </w:tr>
                            <w:tr w:rsidR="00AA7D8F" w:rsidRPr="002530AF" w14:paraId="4A2ECB2D" w14:textId="77777777" w:rsidTr="004068F5">
                              <w:trPr>
                                <w:trHeight w:val="295"/>
                              </w:trPr>
                              <w:tc>
                                <w:tcPr>
                                  <w:tcW w:w="475" w:type="dxa"/>
                                  <w:shd w:val="clear" w:color="auto" w:fill="auto"/>
                                  <w:vAlign w:val="center"/>
                                  <w:hideMark/>
                                </w:tcPr>
                                <w:p w14:paraId="408D2490"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107</w:t>
                                  </w:r>
                                </w:p>
                              </w:tc>
                              <w:tc>
                                <w:tcPr>
                                  <w:tcW w:w="1134" w:type="dxa"/>
                                  <w:shd w:val="clear" w:color="auto" w:fill="auto"/>
                                  <w:noWrap/>
                                  <w:vAlign w:val="center"/>
                                  <w:hideMark/>
                                </w:tcPr>
                                <w:p w14:paraId="01C0780A"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91.95</w:t>
                                  </w:r>
                                </w:p>
                              </w:tc>
                              <w:tc>
                                <w:tcPr>
                                  <w:tcW w:w="1134" w:type="dxa"/>
                                  <w:shd w:val="clear" w:color="auto" w:fill="auto"/>
                                  <w:noWrap/>
                                  <w:vAlign w:val="center"/>
                                  <w:hideMark/>
                                </w:tcPr>
                                <w:p w14:paraId="4FC9D54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5.86</w:t>
                                  </w:r>
                                </w:p>
                              </w:tc>
                              <w:tc>
                                <w:tcPr>
                                  <w:tcW w:w="1134" w:type="dxa"/>
                                  <w:shd w:val="clear" w:color="auto" w:fill="auto"/>
                                  <w:noWrap/>
                                  <w:hideMark/>
                                </w:tcPr>
                                <w:p w14:paraId="0D08B143" w14:textId="650D609B"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1.38 </w:t>
                                  </w:r>
                                </w:p>
                              </w:tc>
                              <w:tc>
                                <w:tcPr>
                                  <w:tcW w:w="1134" w:type="dxa"/>
                                  <w:shd w:val="clear" w:color="auto" w:fill="auto"/>
                                  <w:noWrap/>
                                  <w:vAlign w:val="center"/>
                                  <w:hideMark/>
                                </w:tcPr>
                                <w:p w14:paraId="218509FE"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0.62</w:t>
                                  </w:r>
                                </w:p>
                              </w:tc>
                              <w:tc>
                                <w:tcPr>
                                  <w:tcW w:w="1134" w:type="dxa"/>
                                  <w:shd w:val="clear" w:color="auto" w:fill="auto"/>
                                  <w:noWrap/>
                                  <w:vAlign w:val="center"/>
                                  <w:hideMark/>
                                </w:tcPr>
                                <w:p w14:paraId="07DD2706"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0.19</w:t>
                                  </w:r>
                                </w:p>
                              </w:tc>
                            </w:tr>
                            <w:tr w:rsidR="00AA7D8F" w:rsidRPr="002530AF" w14:paraId="10CA5898" w14:textId="77777777" w:rsidTr="004068F5">
                              <w:trPr>
                                <w:trHeight w:val="295"/>
                              </w:trPr>
                              <w:tc>
                                <w:tcPr>
                                  <w:tcW w:w="475" w:type="dxa"/>
                                  <w:shd w:val="clear" w:color="auto" w:fill="auto"/>
                                  <w:vAlign w:val="center"/>
                                  <w:hideMark/>
                                </w:tcPr>
                                <w:p w14:paraId="00354775"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108</w:t>
                                  </w:r>
                                </w:p>
                              </w:tc>
                              <w:tc>
                                <w:tcPr>
                                  <w:tcW w:w="1134" w:type="dxa"/>
                                  <w:shd w:val="clear" w:color="auto" w:fill="auto"/>
                                  <w:noWrap/>
                                  <w:vAlign w:val="center"/>
                                  <w:hideMark/>
                                </w:tcPr>
                                <w:p w14:paraId="1702F94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92.01</w:t>
                                  </w:r>
                                </w:p>
                              </w:tc>
                              <w:tc>
                                <w:tcPr>
                                  <w:tcW w:w="1134" w:type="dxa"/>
                                  <w:shd w:val="clear" w:color="auto" w:fill="auto"/>
                                  <w:noWrap/>
                                  <w:vAlign w:val="center"/>
                                  <w:hideMark/>
                                </w:tcPr>
                                <w:p w14:paraId="6821948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5.77</w:t>
                                  </w:r>
                                </w:p>
                              </w:tc>
                              <w:tc>
                                <w:tcPr>
                                  <w:tcW w:w="1134" w:type="dxa"/>
                                  <w:shd w:val="clear" w:color="auto" w:fill="auto"/>
                                  <w:noWrap/>
                                  <w:hideMark/>
                                </w:tcPr>
                                <w:p w14:paraId="6B4BB352" w14:textId="2A57FE0A"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1.38 </w:t>
                                  </w:r>
                                </w:p>
                              </w:tc>
                              <w:tc>
                                <w:tcPr>
                                  <w:tcW w:w="1134" w:type="dxa"/>
                                  <w:shd w:val="clear" w:color="auto" w:fill="auto"/>
                                  <w:noWrap/>
                                  <w:vAlign w:val="center"/>
                                  <w:hideMark/>
                                </w:tcPr>
                                <w:p w14:paraId="522B509E"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0.64</w:t>
                                  </w:r>
                                </w:p>
                              </w:tc>
                              <w:tc>
                                <w:tcPr>
                                  <w:tcW w:w="1134" w:type="dxa"/>
                                  <w:shd w:val="clear" w:color="auto" w:fill="auto"/>
                                  <w:noWrap/>
                                  <w:vAlign w:val="center"/>
                                  <w:hideMark/>
                                </w:tcPr>
                                <w:p w14:paraId="62C092B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0.20</w:t>
                                  </w:r>
                                </w:p>
                              </w:tc>
                            </w:tr>
                            <w:tr w:rsidR="00AA7D8F" w:rsidRPr="002530AF" w14:paraId="3BC73803" w14:textId="77777777" w:rsidTr="004068F5">
                              <w:trPr>
                                <w:trHeight w:val="295"/>
                              </w:trPr>
                              <w:tc>
                                <w:tcPr>
                                  <w:tcW w:w="475" w:type="dxa"/>
                                  <w:shd w:val="clear" w:color="auto" w:fill="auto"/>
                                  <w:vAlign w:val="center"/>
                                  <w:hideMark/>
                                </w:tcPr>
                                <w:p w14:paraId="3DB58354"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109</w:t>
                                  </w:r>
                                </w:p>
                              </w:tc>
                              <w:tc>
                                <w:tcPr>
                                  <w:tcW w:w="1134" w:type="dxa"/>
                                  <w:shd w:val="clear" w:color="auto" w:fill="auto"/>
                                  <w:noWrap/>
                                  <w:vAlign w:val="center"/>
                                  <w:hideMark/>
                                </w:tcPr>
                                <w:p w14:paraId="777C0B9F"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92.35</w:t>
                                  </w:r>
                                </w:p>
                              </w:tc>
                              <w:tc>
                                <w:tcPr>
                                  <w:tcW w:w="1134" w:type="dxa"/>
                                  <w:shd w:val="clear" w:color="auto" w:fill="auto"/>
                                  <w:noWrap/>
                                  <w:vAlign w:val="center"/>
                                  <w:hideMark/>
                                </w:tcPr>
                                <w:p w14:paraId="6CD6D85B"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5.51</w:t>
                                  </w:r>
                                </w:p>
                              </w:tc>
                              <w:tc>
                                <w:tcPr>
                                  <w:tcW w:w="1134" w:type="dxa"/>
                                  <w:shd w:val="clear" w:color="auto" w:fill="auto"/>
                                  <w:noWrap/>
                                  <w:hideMark/>
                                </w:tcPr>
                                <w:p w14:paraId="0937162B" w14:textId="433F8F25"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1.28 </w:t>
                                  </w:r>
                                </w:p>
                              </w:tc>
                              <w:tc>
                                <w:tcPr>
                                  <w:tcW w:w="1134" w:type="dxa"/>
                                  <w:shd w:val="clear" w:color="auto" w:fill="auto"/>
                                  <w:noWrap/>
                                  <w:vAlign w:val="center"/>
                                  <w:hideMark/>
                                </w:tcPr>
                                <w:p w14:paraId="215A33E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0.65</w:t>
                                  </w:r>
                                </w:p>
                              </w:tc>
                              <w:tc>
                                <w:tcPr>
                                  <w:tcW w:w="1134" w:type="dxa"/>
                                  <w:shd w:val="clear" w:color="auto" w:fill="auto"/>
                                  <w:noWrap/>
                                  <w:vAlign w:val="center"/>
                                  <w:hideMark/>
                                </w:tcPr>
                                <w:p w14:paraId="1C852ACA"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0.21</w:t>
                                  </w:r>
                                </w:p>
                              </w:tc>
                            </w:tr>
                            <w:tr w:rsidR="00AA7D8F" w:rsidRPr="002530AF" w14:paraId="3064A444" w14:textId="77777777" w:rsidTr="004068F5">
                              <w:trPr>
                                <w:trHeight w:val="295"/>
                              </w:trPr>
                              <w:tc>
                                <w:tcPr>
                                  <w:tcW w:w="475" w:type="dxa"/>
                                  <w:shd w:val="clear" w:color="auto" w:fill="auto"/>
                                  <w:vAlign w:val="center"/>
                                  <w:hideMark/>
                                </w:tcPr>
                                <w:p w14:paraId="64BCA082"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110</w:t>
                                  </w:r>
                                </w:p>
                              </w:tc>
                              <w:tc>
                                <w:tcPr>
                                  <w:tcW w:w="1134" w:type="dxa"/>
                                  <w:shd w:val="clear" w:color="auto" w:fill="auto"/>
                                  <w:noWrap/>
                                  <w:vAlign w:val="center"/>
                                  <w:hideMark/>
                                </w:tcPr>
                                <w:p w14:paraId="336677C4"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92.89</w:t>
                                  </w:r>
                                </w:p>
                              </w:tc>
                              <w:tc>
                                <w:tcPr>
                                  <w:tcW w:w="1134" w:type="dxa"/>
                                  <w:shd w:val="clear" w:color="auto" w:fill="auto"/>
                                  <w:noWrap/>
                                  <w:vAlign w:val="center"/>
                                  <w:hideMark/>
                                </w:tcPr>
                                <w:p w14:paraId="7D0D5A30"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5.08</w:t>
                                  </w:r>
                                </w:p>
                              </w:tc>
                              <w:tc>
                                <w:tcPr>
                                  <w:tcW w:w="1134" w:type="dxa"/>
                                  <w:shd w:val="clear" w:color="auto" w:fill="auto"/>
                                  <w:noWrap/>
                                  <w:hideMark/>
                                </w:tcPr>
                                <w:p w14:paraId="0449E84A" w14:textId="15D9F85B"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1.16 </w:t>
                                  </w:r>
                                </w:p>
                              </w:tc>
                              <w:tc>
                                <w:tcPr>
                                  <w:tcW w:w="1134" w:type="dxa"/>
                                  <w:shd w:val="clear" w:color="auto" w:fill="auto"/>
                                  <w:noWrap/>
                                  <w:vAlign w:val="center"/>
                                  <w:hideMark/>
                                </w:tcPr>
                                <w:p w14:paraId="2261144F"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0.65</w:t>
                                  </w:r>
                                </w:p>
                              </w:tc>
                              <w:tc>
                                <w:tcPr>
                                  <w:tcW w:w="1134" w:type="dxa"/>
                                  <w:shd w:val="clear" w:color="auto" w:fill="auto"/>
                                  <w:noWrap/>
                                  <w:vAlign w:val="center"/>
                                  <w:hideMark/>
                                </w:tcPr>
                                <w:p w14:paraId="0154E1B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0.21</w:t>
                                  </w:r>
                                </w:p>
                              </w:tc>
                            </w:tr>
                            <w:tr w:rsidR="00AA7D8F" w:rsidRPr="002530AF" w14:paraId="33015E2A" w14:textId="77777777" w:rsidTr="004068F5">
                              <w:trPr>
                                <w:trHeight w:val="295"/>
                              </w:trPr>
                              <w:tc>
                                <w:tcPr>
                                  <w:tcW w:w="475" w:type="dxa"/>
                                  <w:shd w:val="clear" w:color="auto" w:fill="auto"/>
                                  <w:vAlign w:val="center"/>
                                  <w:hideMark/>
                                </w:tcPr>
                                <w:p w14:paraId="1FFE9CAC"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111</w:t>
                                  </w:r>
                                </w:p>
                              </w:tc>
                              <w:tc>
                                <w:tcPr>
                                  <w:tcW w:w="1134" w:type="dxa"/>
                                  <w:shd w:val="clear" w:color="auto" w:fill="auto"/>
                                  <w:noWrap/>
                                  <w:vAlign w:val="center"/>
                                  <w:hideMark/>
                                </w:tcPr>
                                <w:p w14:paraId="05CD3AE8"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92.85</w:t>
                                  </w:r>
                                </w:p>
                              </w:tc>
                              <w:tc>
                                <w:tcPr>
                                  <w:tcW w:w="1134" w:type="dxa"/>
                                  <w:shd w:val="clear" w:color="auto" w:fill="auto"/>
                                  <w:noWrap/>
                                  <w:vAlign w:val="center"/>
                                  <w:hideMark/>
                                </w:tcPr>
                                <w:p w14:paraId="2D598BE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5.11</w:t>
                                  </w:r>
                                </w:p>
                              </w:tc>
                              <w:tc>
                                <w:tcPr>
                                  <w:tcW w:w="1134" w:type="dxa"/>
                                  <w:shd w:val="clear" w:color="auto" w:fill="auto"/>
                                  <w:noWrap/>
                                  <w:hideMark/>
                                </w:tcPr>
                                <w:p w14:paraId="5F589576" w14:textId="7D021DC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1.17 </w:t>
                                  </w:r>
                                </w:p>
                              </w:tc>
                              <w:tc>
                                <w:tcPr>
                                  <w:tcW w:w="1134" w:type="dxa"/>
                                  <w:shd w:val="clear" w:color="auto" w:fill="auto"/>
                                  <w:noWrap/>
                                  <w:vAlign w:val="center"/>
                                  <w:hideMark/>
                                </w:tcPr>
                                <w:p w14:paraId="646ABA13"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0.65</w:t>
                                  </w:r>
                                </w:p>
                              </w:tc>
                              <w:tc>
                                <w:tcPr>
                                  <w:tcW w:w="1134" w:type="dxa"/>
                                  <w:shd w:val="clear" w:color="auto" w:fill="auto"/>
                                  <w:noWrap/>
                                  <w:vAlign w:val="center"/>
                                  <w:hideMark/>
                                </w:tcPr>
                                <w:p w14:paraId="6D716A21"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0.22</w:t>
                                  </w:r>
                                </w:p>
                              </w:tc>
                            </w:tr>
                            <w:tr w:rsidR="00AA7D8F" w:rsidRPr="002530AF" w14:paraId="37D00D35" w14:textId="77777777" w:rsidTr="004068F5">
                              <w:trPr>
                                <w:trHeight w:val="295"/>
                              </w:trPr>
                              <w:tc>
                                <w:tcPr>
                                  <w:tcW w:w="475" w:type="dxa"/>
                                  <w:shd w:val="clear" w:color="auto" w:fill="auto"/>
                                  <w:noWrap/>
                                  <w:vAlign w:val="center"/>
                                  <w:hideMark/>
                                </w:tcPr>
                                <w:p w14:paraId="56863391"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112</w:t>
                                  </w:r>
                                </w:p>
                              </w:tc>
                              <w:tc>
                                <w:tcPr>
                                  <w:tcW w:w="1134" w:type="dxa"/>
                                  <w:shd w:val="clear" w:color="auto" w:fill="auto"/>
                                  <w:noWrap/>
                                  <w:vAlign w:val="center"/>
                                  <w:hideMark/>
                                </w:tcPr>
                                <w:p w14:paraId="7575385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92.55</w:t>
                                  </w:r>
                                </w:p>
                              </w:tc>
                              <w:tc>
                                <w:tcPr>
                                  <w:tcW w:w="1134" w:type="dxa"/>
                                  <w:shd w:val="clear" w:color="auto" w:fill="auto"/>
                                  <w:noWrap/>
                                  <w:vAlign w:val="center"/>
                                  <w:hideMark/>
                                </w:tcPr>
                                <w:p w14:paraId="2D0016D6"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5.36</w:t>
                                  </w:r>
                                </w:p>
                              </w:tc>
                              <w:tc>
                                <w:tcPr>
                                  <w:tcW w:w="1134" w:type="dxa"/>
                                  <w:shd w:val="clear" w:color="auto" w:fill="auto"/>
                                  <w:noWrap/>
                                  <w:hideMark/>
                                </w:tcPr>
                                <w:p w14:paraId="7778DB7E" w14:textId="2C6ABA3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1.18 </w:t>
                                  </w:r>
                                </w:p>
                              </w:tc>
                              <w:tc>
                                <w:tcPr>
                                  <w:tcW w:w="1134" w:type="dxa"/>
                                  <w:shd w:val="clear" w:color="auto" w:fill="auto"/>
                                  <w:noWrap/>
                                  <w:vAlign w:val="center"/>
                                  <w:hideMark/>
                                </w:tcPr>
                                <w:p w14:paraId="7289631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0.68</w:t>
                                  </w:r>
                                </w:p>
                              </w:tc>
                              <w:tc>
                                <w:tcPr>
                                  <w:tcW w:w="1134" w:type="dxa"/>
                                  <w:shd w:val="clear" w:color="auto" w:fill="auto"/>
                                  <w:noWrap/>
                                  <w:vAlign w:val="center"/>
                                  <w:hideMark/>
                                </w:tcPr>
                                <w:p w14:paraId="1BAC309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0.23</w:t>
                                  </w:r>
                                </w:p>
                              </w:tc>
                            </w:tr>
                            <w:tr w:rsidR="00AA7D8F" w:rsidRPr="002530AF" w14:paraId="087FA351" w14:textId="77777777" w:rsidTr="004068F5">
                              <w:trPr>
                                <w:trHeight w:val="295"/>
                              </w:trPr>
                              <w:tc>
                                <w:tcPr>
                                  <w:tcW w:w="475" w:type="dxa"/>
                                  <w:shd w:val="clear" w:color="auto" w:fill="auto"/>
                                  <w:noWrap/>
                                  <w:vAlign w:val="center"/>
                                  <w:hideMark/>
                                </w:tcPr>
                                <w:p w14:paraId="43977EA0"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113</w:t>
                                  </w:r>
                                </w:p>
                              </w:tc>
                              <w:tc>
                                <w:tcPr>
                                  <w:tcW w:w="1134" w:type="dxa"/>
                                  <w:shd w:val="clear" w:color="auto" w:fill="auto"/>
                                  <w:noWrap/>
                                  <w:vAlign w:val="center"/>
                                  <w:hideMark/>
                                </w:tcPr>
                                <w:p w14:paraId="25E187D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92.57</w:t>
                                  </w:r>
                                </w:p>
                              </w:tc>
                              <w:tc>
                                <w:tcPr>
                                  <w:tcW w:w="1134" w:type="dxa"/>
                                  <w:shd w:val="clear" w:color="auto" w:fill="auto"/>
                                  <w:noWrap/>
                                  <w:vAlign w:val="center"/>
                                  <w:hideMark/>
                                </w:tcPr>
                                <w:p w14:paraId="5824C9B3"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5.36</w:t>
                                  </w:r>
                                </w:p>
                              </w:tc>
                              <w:tc>
                                <w:tcPr>
                                  <w:tcW w:w="1134" w:type="dxa"/>
                                  <w:shd w:val="clear" w:color="auto" w:fill="auto"/>
                                  <w:noWrap/>
                                  <w:hideMark/>
                                </w:tcPr>
                                <w:p w14:paraId="165AB145" w14:textId="01DCABCE"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1.14 </w:t>
                                  </w:r>
                                </w:p>
                              </w:tc>
                              <w:tc>
                                <w:tcPr>
                                  <w:tcW w:w="1134" w:type="dxa"/>
                                  <w:shd w:val="clear" w:color="auto" w:fill="auto"/>
                                  <w:noWrap/>
                                  <w:vAlign w:val="center"/>
                                  <w:hideMark/>
                                </w:tcPr>
                                <w:p w14:paraId="304F645B"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0.68</w:t>
                                  </w:r>
                                </w:p>
                              </w:tc>
                              <w:tc>
                                <w:tcPr>
                                  <w:tcW w:w="1134" w:type="dxa"/>
                                  <w:shd w:val="clear" w:color="auto" w:fill="auto"/>
                                  <w:noWrap/>
                                  <w:vAlign w:val="center"/>
                                  <w:hideMark/>
                                </w:tcPr>
                                <w:p w14:paraId="70C9CB0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0.24</w:t>
                                  </w:r>
                                </w:p>
                              </w:tc>
                            </w:tr>
                            <w:tr w:rsidR="00AA7D8F" w:rsidRPr="002530AF" w14:paraId="3653A937" w14:textId="77777777" w:rsidTr="004068F5">
                              <w:trPr>
                                <w:trHeight w:val="295"/>
                              </w:trPr>
                              <w:tc>
                                <w:tcPr>
                                  <w:tcW w:w="475" w:type="dxa"/>
                                  <w:shd w:val="clear" w:color="auto" w:fill="auto"/>
                                  <w:noWrap/>
                                  <w:vAlign w:val="center"/>
                                  <w:hideMark/>
                                </w:tcPr>
                                <w:p w14:paraId="23A91BFD"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114</w:t>
                                  </w:r>
                                </w:p>
                              </w:tc>
                              <w:tc>
                                <w:tcPr>
                                  <w:tcW w:w="1134" w:type="dxa"/>
                                  <w:shd w:val="clear" w:color="auto" w:fill="auto"/>
                                  <w:noWrap/>
                                  <w:vAlign w:val="center"/>
                                  <w:hideMark/>
                                </w:tcPr>
                                <w:p w14:paraId="29A39047"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92.97</w:t>
                                  </w:r>
                                </w:p>
                              </w:tc>
                              <w:tc>
                                <w:tcPr>
                                  <w:tcW w:w="1134" w:type="dxa"/>
                                  <w:shd w:val="clear" w:color="auto" w:fill="auto"/>
                                  <w:noWrap/>
                                  <w:vAlign w:val="center"/>
                                  <w:hideMark/>
                                </w:tcPr>
                                <w:p w14:paraId="02E2C5B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5.05</w:t>
                                  </w:r>
                                </w:p>
                              </w:tc>
                              <w:tc>
                                <w:tcPr>
                                  <w:tcW w:w="1134" w:type="dxa"/>
                                  <w:shd w:val="clear" w:color="auto" w:fill="auto"/>
                                  <w:noWrap/>
                                  <w:hideMark/>
                                </w:tcPr>
                                <w:p w14:paraId="50C6DF3B" w14:textId="66C6BF7C"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1.06 </w:t>
                                  </w:r>
                                </w:p>
                              </w:tc>
                              <w:tc>
                                <w:tcPr>
                                  <w:tcW w:w="1134" w:type="dxa"/>
                                  <w:shd w:val="clear" w:color="auto" w:fill="auto"/>
                                  <w:noWrap/>
                                  <w:vAlign w:val="center"/>
                                  <w:hideMark/>
                                </w:tcPr>
                                <w:p w14:paraId="786EC2A8"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0.68</w:t>
                                  </w:r>
                                </w:p>
                              </w:tc>
                              <w:tc>
                                <w:tcPr>
                                  <w:tcW w:w="1134" w:type="dxa"/>
                                  <w:shd w:val="clear" w:color="auto" w:fill="auto"/>
                                  <w:noWrap/>
                                  <w:vAlign w:val="center"/>
                                  <w:hideMark/>
                                </w:tcPr>
                                <w:p w14:paraId="4C2EB146"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0.24</w:t>
                                  </w:r>
                                </w:p>
                              </w:tc>
                            </w:tr>
                          </w:tbl>
                          <w:p w14:paraId="428F7434" w14:textId="77777777" w:rsidR="005E6E9F" w:rsidRPr="00787F0B" w:rsidRDefault="005E6E9F" w:rsidP="005E6E9F">
                            <w:pPr>
                              <w:spacing w:line="180" w:lineRule="exact"/>
                              <w:ind w:leftChars="5" w:left="12"/>
                              <w:jc w:val="both"/>
                            </w:pPr>
                            <w:r w:rsidRPr="00787F0B">
                              <w:rPr>
                                <w:rFonts w:ascii="標楷體" w:eastAsia="標楷體" w:hAnsi="標楷體" w:hint="eastAsia"/>
                                <w:sz w:val="18"/>
                                <w:szCs w:val="18"/>
                              </w:rPr>
                              <w:t>資料來源：整理自健保署提供資料。</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7311F" id="_x0000_t202" coordsize="21600,21600" o:spt="202" path="m,l,21600r21600,l21600,xe">
                <v:stroke joinstyle="miter"/>
                <v:path gradientshapeok="t" o:connecttype="rect"/>
              </v:shapetype>
              <v:shape id="文字方塊 13" o:spid="_x0000_s1026" type="#_x0000_t202" style="position:absolute;left:0;text-align:left;margin-left:194.1pt;margin-top:167.9pt;width:317.4pt;height:2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" filled="f" stroked="f" strokeweight=".5pt">
                <v:textbox inset=",0,,0">
                  <w:txbxContent>
                    <w:p w14:paraId="62AF5A48" w14:textId="77777777" w:rsidR="005E6E9F" w:rsidRDefault="005E6E9F" w:rsidP="005E6E9F">
                      <w:pPr>
                        <w:spacing w:afterLines="20" w:after="72" w:line="240" w:lineRule="exact"/>
                        <w:jc w:val="center"/>
                        <w:rPr>
                          <w:rFonts w:ascii="標楷體" w:eastAsia="標楷體" w:hAnsi="標楷體"/>
                          <w:b/>
                        </w:rPr>
                      </w:pPr>
                      <w:r>
                        <w:rPr>
                          <w:rFonts w:ascii="標楷體" w:eastAsia="標楷體" w:hAnsi="標楷體" w:hint="eastAsia"/>
                          <w:b/>
                        </w:rPr>
                        <w:t>表</w:t>
                      </w:r>
                      <w:r>
                        <w:rPr>
                          <w:rFonts w:ascii="標楷體" w:eastAsia="標楷體" w:hAnsi="標楷體"/>
                          <w:b/>
                          <w:color w:val="000000" w:themeColor="text1"/>
                        </w:rPr>
                        <w:t>1</w:t>
                      </w:r>
                      <w:r>
                        <w:rPr>
                          <w:rFonts w:ascii="標楷體" w:eastAsia="標楷體" w:hAnsi="標楷體" w:hint="eastAsia"/>
                          <w:b/>
                        </w:rPr>
                        <w:t xml:space="preserve">　</w:t>
                      </w:r>
                      <w:r w:rsidRPr="009C7A2E">
                        <w:rPr>
                          <w:rFonts w:ascii="標楷體" w:eastAsia="標楷體" w:hAnsi="標楷體" w:hint="eastAsia"/>
                          <w:b/>
                        </w:rPr>
                        <w:t>健保各項支付方式醫療</w:t>
                      </w:r>
                      <w:r>
                        <w:rPr>
                          <w:rFonts w:ascii="標楷體" w:eastAsia="標楷體" w:hAnsi="標楷體" w:hint="eastAsia"/>
                          <w:b/>
                        </w:rPr>
                        <w:t>給付</w:t>
                      </w:r>
                      <w:r w:rsidRPr="009C7A2E">
                        <w:rPr>
                          <w:rFonts w:ascii="標楷體" w:eastAsia="標楷體" w:hAnsi="標楷體" w:hint="eastAsia"/>
                          <w:b/>
                        </w:rPr>
                        <w:t>費用占比分析</w:t>
                      </w:r>
                    </w:p>
                    <w:p w14:paraId="7C277097" w14:textId="77777777" w:rsidR="005E6E9F" w:rsidRPr="0092435A" w:rsidRDefault="005E6E9F" w:rsidP="007B70CF">
                      <w:pPr>
                        <w:spacing w:line="200" w:lineRule="exact"/>
                        <w:ind w:rightChars="-41" w:right="-98"/>
                        <w:jc w:val="right"/>
                        <w:rPr>
                          <w:rFonts w:ascii="標楷體" w:eastAsia="標楷體" w:hAnsi="標楷體"/>
                          <w:bCs/>
                          <w:sz w:val="20"/>
                          <w:szCs w:val="20"/>
                        </w:rPr>
                      </w:pPr>
                      <w:r>
                        <w:rPr>
                          <w:rFonts w:ascii="標楷體" w:eastAsia="標楷體" w:hAnsi="標楷體" w:hint="eastAsia"/>
                          <w:bCs/>
                          <w:sz w:val="20"/>
                          <w:szCs w:val="20"/>
                        </w:rPr>
                        <w:t>單位：％</w:t>
                      </w:r>
                    </w:p>
                    <w:tbl>
                      <w:tblPr>
                        <w:tblW w:w="6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5"/>
                        <w:gridCol w:w="1134"/>
                        <w:gridCol w:w="1134"/>
                        <w:gridCol w:w="1134"/>
                        <w:gridCol w:w="1134"/>
                        <w:gridCol w:w="1134"/>
                      </w:tblGrid>
                      <w:tr w:rsidR="005E6E9F" w:rsidRPr="002530AF" w14:paraId="6256FAEE" w14:textId="77777777" w:rsidTr="002530AF">
                        <w:tc>
                          <w:tcPr>
                            <w:tcW w:w="475" w:type="dxa"/>
                            <w:shd w:val="clear" w:color="auto" w:fill="auto"/>
                            <w:noWrap/>
                            <w:vAlign w:val="center"/>
                            <w:hideMark/>
                          </w:tcPr>
                          <w:p w14:paraId="10175B67"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年度</w:t>
                            </w:r>
                          </w:p>
                        </w:tc>
                        <w:tc>
                          <w:tcPr>
                            <w:tcW w:w="1134" w:type="dxa"/>
                            <w:shd w:val="clear" w:color="auto" w:fill="auto"/>
                            <w:vAlign w:val="center"/>
                            <w:hideMark/>
                          </w:tcPr>
                          <w:p w14:paraId="6B1A2C59"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論量計酬</w:t>
                            </w:r>
                          </w:p>
                        </w:tc>
                        <w:tc>
                          <w:tcPr>
                            <w:tcW w:w="1134" w:type="dxa"/>
                            <w:shd w:val="clear" w:color="auto" w:fill="auto"/>
                            <w:vAlign w:val="center"/>
                            <w:hideMark/>
                          </w:tcPr>
                          <w:p w14:paraId="6624396E" w14:textId="6823213E" w:rsidR="005E6E9F" w:rsidRPr="002530AF" w:rsidRDefault="005E6E9F" w:rsidP="007B70CF">
                            <w:pPr>
                              <w:widowControl/>
                              <w:spacing w:line="240" w:lineRule="exact"/>
                              <w:ind w:leftChars="10" w:left="24" w:rightChars="10" w:right="24"/>
                              <w:jc w:val="both"/>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住院診斷關聯群支付制度</w:t>
                            </w:r>
                            <w:r w:rsidR="007B70CF">
                              <w:rPr>
                                <w:rFonts w:ascii="標楷體" w:eastAsia="標楷體" w:hAnsi="標楷體" w:cs="新細明體" w:hint="eastAsia"/>
                                <w:color w:val="000000"/>
                                <w:kern w:val="0"/>
                                <w:sz w:val="20"/>
                                <w:szCs w:val="20"/>
                              </w:rPr>
                              <w:t>（</w:t>
                            </w:r>
                            <w:r w:rsidRPr="002530AF">
                              <w:rPr>
                                <w:rFonts w:ascii="標楷體" w:eastAsia="標楷體" w:hAnsi="標楷體" w:cs="新細明體" w:hint="eastAsia"/>
                                <w:color w:val="000000"/>
                                <w:kern w:val="0"/>
                                <w:sz w:val="20"/>
                                <w:szCs w:val="20"/>
                              </w:rPr>
                              <w:t>DRG</w:t>
                            </w:r>
                            <w:r w:rsidR="007B70CF">
                              <w:rPr>
                                <w:rFonts w:ascii="標楷體" w:eastAsia="標楷體" w:hAnsi="標楷體" w:cs="新細明體" w:hint="eastAsia"/>
                                <w:color w:val="000000"/>
                                <w:kern w:val="0"/>
                                <w:sz w:val="20"/>
                                <w:szCs w:val="20"/>
                              </w:rPr>
                              <w:t>）</w:t>
                            </w:r>
                          </w:p>
                        </w:tc>
                        <w:tc>
                          <w:tcPr>
                            <w:tcW w:w="1134" w:type="dxa"/>
                            <w:shd w:val="clear" w:color="auto" w:fill="auto"/>
                            <w:vAlign w:val="center"/>
                            <w:hideMark/>
                          </w:tcPr>
                          <w:p w14:paraId="16BC2EC5"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論病例計酬</w:t>
                            </w:r>
                          </w:p>
                        </w:tc>
                        <w:tc>
                          <w:tcPr>
                            <w:tcW w:w="1134" w:type="dxa"/>
                            <w:shd w:val="clear" w:color="auto" w:fill="auto"/>
                            <w:noWrap/>
                            <w:vAlign w:val="center"/>
                            <w:hideMark/>
                          </w:tcPr>
                          <w:p w14:paraId="4C5AEE11"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論日計酬</w:t>
                            </w:r>
                          </w:p>
                        </w:tc>
                        <w:tc>
                          <w:tcPr>
                            <w:tcW w:w="1134" w:type="dxa"/>
                            <w:shd w:val="clear" w:color="auto" w:fill="auto"/>
                            <w:vAlign w:val="center"/>
                            <w:hideMark/>
                          </w:tcPr>
                          <w:p w14:paraId="576BEC59" w14:textId="77777777" w:rsidR="005E6E9F" w:rsidRPr="002530AF" w:rsidRDefault="005E6E9F" w:rsidP="0092435A">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論質計酬</w:t>
                            </w:r>
                          </w:p>
                        </w:tc>
                      </w:tr>
                      <w:tr w:rsidR="00AA7D8F" w:rsidRPr="002530AF" w14:paraId="230332DE" w14:textId="77777777" w:rsidTr="004068F5">
                        <w:trPr>
                          <w:trHeight w:val="295"/>
                        </w:trPr>
                        <w:tc>
                          <w:tcPr>
                            <w:tcW w:w="475" w:type="dxa"/>
                            <w:shd w:val="clear" w:color="auto" w:fill="auto"/>
                            <w:vAlign w:val="center"/>
                            <w:hideMark/>
                          </w:tcPr>
                          <w:p w14:paraId="3DE56C2E"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105</w:t>
                            </w:r>
                          </w:p>
                        </w:tc>
                        <w:tc>
                          <w:tcPr>
                            <w:tcW w:w="1134" w:type="dxa"/>
                            <w:shd w:val="clear" w:color="auto" w:fill="auto"/>
                            <w:noWrap/>
                            <w:vAlign w:val="center"/>
                            <w:hideMark/>
                          </w:tcPr>
                          <w:p w14:paraId="2573F3E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91.76</w:t>
                            </w:r>
                          </w:p>
                        </w:tc>
                        <w:tc>
                          <w:tcPr>
                            <w:tcW w:w="1134" w:type="dxa"/>
                            <w:shd w:val="clear" w:color="auto" w:fill="auto"/>
                            <w:noWrap/>
                            <w:vAlign w:val="center"/>
                            <w:hideMark/>
                          </w:tcPr>
                          <w:p w14:paraId="6C5FF067"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6.02</w:t>
                            </w:r>
                          </w:p>
                        </w:tc>
                        <w:tc>
                          <w:tcPr>
                            <w:tcW w:w="1134" w:type="dxa"/>
                            <w:shd w:val="clear" w:color="auto" w:fill="auto"/>
                            <w:noWrap/>
                            <w:hideMark/>
                          </w:tcPr>
                          <w:p w14:paraId="37968E50" w14:textId="2D518152"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1.47 </w:t>
                            </w:r>
                          </w:p>
                        </w:tc>
                        <w:tc>
                          <w:tcPr>
                            <w:tcW w:w="1134" w:type="dxa"/>
                            <w:shd w:val="clear" w:color="auto" w:fill="auto"/>
                            <w:noWrap/>
                            <w:vAlign w:val="center"/>
                            <w:hideMark/>
                          </w:tcPr>
                          <w:p w14:paraId="25DE664F"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0.59</w:t>
                            </w:r>
                          </w:p>
                        </w:tc>
                        <w:tc>
                          <w:tcPr>
                            <w:tcW w:w="1134" w:type="dxa"/>
                            <w:shd w:val="clear" w:color="auto" w:fill="auto"/>
                            <w:noWrap/>
                            <w:vAlign w:val="center"/>
                            <w:hideMark/>
                          </w:tcPr>
                          <w:p w14:paraId="6007B6F8"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0.16</w:t>
                            </w:r>
                          </w:p>
                        </w:tc>
                      </w:tr>
                      <w:tr w:rsidR="00AA7D8F" w:rsidRPr="002530AF" w14:paraId="399FBFC8" w14:textId="77777777" w:rsidTr="004068F5">
                        <w:trPr>
                          <w:trHeight w:val="295"/>
                        </w:trPr>
                        <w:tc>
                          <w:tcPr>
                            <w:tcW w:w="475" w:type="dxa"/>
                            <w:shd w:val="clear" w:color="auto" w:fill="auto"/>
                            <w:vAlign w:val="center"/>
                            <w:hideMark/>
                          </w:tcPr>
                          <w:p w14:paraId="4CC34245"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106</w:t>
                            </w:r>
                          </w:p>
                        </w:tc>
                        <w:tc>
                          <w:tcPr>
                            <w:tcW w:w="1134" w:type="dxa"/>
                            <w:shd w:val="clear" w:color="auto" w:fill="auto"/>
                            <w:noWrap/>
                            <w:vAlign w:val="center"/>
                            <w:hideMark/>
                          </w:tcPr>
                          <w:p w14:paraId="79D21FD0"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91.93</w:t>
                            </w:r>
                          </w:p>
                        </w:tc>
                        <w:tc>
                          <w:tcPr>
                            <w:tcW w:w="1134" w:type="dxa"/>
                            <w:shd w:val="clear" w:color="auto" w:fill="auto"/>
                            <w:noWrap/>
                            <w:vAlign w:val="center"/>
                            <w:hideMark/>
                          </w:tcPr>
                          <w:p w14:paraId="0D1B6B19"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5.88</w:t>
                            </w:r>
                          </w:p>
                        </w:tc>
                        <w:tc>
                          <w:tcPr>
                            <w:tcW w:w="1134" w:type="dxa"/>
                            <w:shd w:val="clear" w:color="auto" w:fill="auto"/>
                            <w:noWrap/>
                            <w:hideMark/>
                          </w:tcPr>
                          <w:p w14:paraId="6FE84D5C" w14:textId="2BB474B1"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1.43 </w:t>
                            </w:r>
                          </w:p>
                        </w:tc>
                        <w:tc>
                          <w:tcPr>
                            <w:tcW w:w="1134" w:type="dxa"/>
                            <w:shd w:val="clear" w:color="auto" w:fill="auto"/>
                            <w:noWrap/>
                            <w:vAlign w:val="center"/>
                            <w:hideMark/>
                          </w:tcPr>
                          <w:p w14:paraId="3DECB3D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0.60</w:t>
                            </w:r>
                          </w:p>
                        </w:tc>
                        <w:tc>
                          <w:tcPr>
                            <w:tcW w:w="1134" w:type="dxa"/>
                            <w:shd w:val="clear" w:color="auto" w:fill="auto"/>
                            <w:noWrap/>
                            <w:vAlign w:val="center"/>
                            <w:hideMark/>
                          </w:tcPr>
                          <w:p w14:paraId="3CBCFF6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0.17</w:t>
                            </w:r>
                          </w:p>
                        </w:tc>
                      </w:tr>
                      <w:tr w:rsidR="00AA7D8F" w:rsidRPr="002530AF" w14:paraId="4A2ECB2D" w14:textId="77777777" w:rsidTr="004068F5">
                        <w:trPr>
                          <w:trHeight w:val="295"/>
                        </w:trPr>
                        <w:tc>
                          <w:tcPr>
                            <w:tcW w:w="475" w:type="dxa"/>
                            <w:shd w:val="clear" w:color="auto" w:fill="auto"/>
                            <w:vAlign w:val="center"/>
                            <w:hideMark/>
                          </w:tcPr>
                          <w:p w14:paraId="408D2490"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107</w:t>
                            </w:r>
                          </w:p>
                        </w:tc>
                        <w:tc>
                          <w:tcPr>
                            <w:tcW w:w="1134" w:type="dxa"/>
                            <w:shd w:val="clear" w:color="auto" w:fill="auto"/>
                            <w:noWrap/>
                            <w:vAlign w:val="center"/>
                            <w:hideMark/>
                          </w:tcPr>
                          <w:p w14:paraId="01C0780A"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91.95</w:t>
                            </w:r>
                          </w:p>
                        </w:tc>
                        <w:tc>
                          <w:tcPr>
                            <w:tcW w:w="1134" w:type="dxa"/>
                            <w:shd w:val="clear" w:color="auto" w:fill="auto"/>
                            <w:noWrap/>
                            <w:vAlign w:val="center"/>
                            <w:hideMark/>
                          </w:tcPr>
                          <w:p w14:paraId="4FC9D54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5.86</w:t>
                            </w:r>
                          </w:p>
                        </w:tc>
                        <w:tc>
                          <w:tcPr>
                            <w:tcW w:w="1134" w:type="dxa"/>
                            <w:shd w:val="clear" w:color="auto" w:fill="auto"/>
                            <w:noWrap/>
                            <w:hideMark/>
                          </w:tcPr>
                          <w:p w14:paraId="0D08B143" w14:textId="650D609B"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1.38 </w:t>
                            </w:r>
                          </w:p>
                        </w:tc>
                        <w:tc>
                          <w:tcPr>
                            <w:tcW w:w="1134" w:type="dxa"/>
                            <w:shd w:val="clear" w:color="auto" w:fill="auto"/>
                            <w:noWrap/>
                            <w:vAlign w:val="center"/>
                            <w:hideMark/>
                          </w:tcPr>
                          <w:p w14:paraId="218509FE"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0.62</w:t>
                            </w:r>
                          </w:p>
                        </w:tc>
                        <w:tc>
                          <w:tcPr>
                            <w:tcW w:w="1134" w:type="dxa"/>
                            <w:shd w:val="clear" w:color="auto" w:fill="auto"/>
                            <w:noWrap/>
                            <w:vAlign w:val="center"/>
                            <w:hideMark/>
                          </w:tcPr>
                          <w:p w14:paraId="07DD2706"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0.19</w:t>
                            </w:r>
                          </w:p>
                        </w:tc>
                      </w:tr>
                      <w:tr w:rsidR="00AA7D8F" w:rsidRPr="002530AF" w14:paraId="10CA5898" w14:textId="77777777" w:rsidTr="004068F5">
                        <w:trPr>
                          <w:trHeight w:val="295"/>
                        </w:trPr>
                        <w:tc>
                          <w:tcPr>
                            <w:tcW w:w="475" w:type="dxa"/>
                            <w:shd w:val="clear" w:color="auto" w:fill="auto"/>
                            <w:vAlign w:val="center"/>
                            <w:hideMark/>
                          </w:tcPr>
                          <w:p w14:paraId="00354775"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108</w:t>
                            </w:r>
                          </w:p>
                        </w:tc>
                        <w:tc>
                          <w:tcPr>
                            <w:tcW w:w="1134" w:type="dxa"/>
                            <w:shd w:val="clear" w:color="auto" w:fill="auto"/>
                            <w:noWrap/>
                            <w:vAlign w:val="center"/>
                            <w:hideMark/>
                          </w:tcPr>
                          <w:p w14:paraId="1702F94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92.01</w:t>
                            </w:r>
                          </w:p>
                        </w:tc>
                        <w:tc>
                          <w:tcPr>
                            <w:tcW w:w="1134" w:type="dxa"/>
                            <w:shd w:val="clear" w:color="auto" w:fill="auto"/>
                            <w:noWrap/>
                            <w:vAlign w:val="center"/>
                            <w:hideMark/>
                          </w:tcPr>
                          <w:p w14:paraId="6821948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5.77</w:t>
                            </w:r>
                          </w:p>
                        </w:tc>
                        <w:tc>
                          <w:tcPr>
                            <w:tcW w:w="1134" w:type="dxa"/>
                            <w:shd w:val="clear" w:color="auto" w:fill="auto"/>
                            <w:noWrap/>
                            <w:hideMark/>
                          </w:tcPr>
                          <w:p w14:paraId="6B4BB352" w14:textId="2A57FE0A"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1.38 </w:t>
                            </w:r>
                          </w:p>
                        </w:tc>
                        <w:tc>
                          <w:tcPr>
                            <w:tcW w:w="1134" w:type="dxa"/>
                            <w:shd w:val="clear" w:color="auto" w:fill="auto"/>
                            <w:noWrap/>
                            <w:vAlign w:val="center"/>
                            <w:hideMark/>
                          </w:tcPr>
                          <w:p w14:paraId="522B509E"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0.64</w:t>
                            </w:r>
                          </w:p>
                        </w:tc>
                        <w:tc>
                          <w:tcPr>
                            <w:tcW w:w="1134" w:type="dxa"/>
                            <w:shd w:val="clear" w:color="auto" w:fill="auto"/>
                            <w:noWrap/>
                            <w:vAlign w:val="center"/>
                            <w:hideMark/>
                          </w:tcPr>
                          <w:p w14:paraId="62C092B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0.20</w:t>
                            </w:r>
                          </w:p>
                        </w:tc>
                      </w:tr>
                      <w:tr w:rsidR="00AA7D8F" w:rsidRPr="002530AF" w14:paraId="3BC73803" w14:textId="77777777" w:rsidTr="004068F5">
                        <w:trPr>
                          <w:trHeight w:val="295"/>
                        </w:trPr>
                        <w:tc>
                          <w:tcPr>
                            <w:tcW w:w="475" w:type="dxa"/>
                            <w:shd w:val="clear" w:color="auto" w:fill="auto"/>
                            <w:vAlign w:val="center"/>
                            <w:hideMark/>
                          </w:tcPr>
                          <w:p w14:paraId="3DB58354"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109</w:t>
                            </w:r>
                          </w:p>
                        </w:tc>
                        <w:tc>
                          <w:tcPr>
                            <w:tcW w:w="1134" w:type="dxa"/>
                            <w:shd w:val="clear" w:color="auto" w:fill="auto"/>
                            <w:noWrap/>
                            <w:vAlign w:val="center"/>
                            <w:hideMark/>
                          </w:tcPr>
                          <w:p w14:paraId="777C0B9F"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92.35</w:t>
                            </w:r>
                          </w:p>
                        </w:tc>
                        <w:tc>
                          <w:tcPr>
                            <w:tcW w:w="1134" w:type="dxa"/>
                            <w:shd w:val="clear" w:color="auto" w:fill="auto"/>
                            <w:noWrap/>
                            <w:vAlign w:val="center"/>
                            <w:hideMark/>
                          </w:tcPr>
                          <w:p w14:paraId="6CD6D85B"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5.51</w:t>
                            </w:r>
                          </w:p>
                        </w:tc>
                        <w:tc>
                          <w:tcPr>
                            <w:tcW w:w="1134" w:type="dxa"/>
                            <w:shd w:val="clear" w:color="auto" w:fill="auto"/>
                            <w:noWrap/>
                            <w:hideMark/>
                          </w:tcPr>
                          <w:p w14:paraId="0937162B" w14:textId="433F8F25"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1.28 </w:t>
                            </w:r>
                          </w:p>
                        </w:tc>
                        <w:tc>
                          <w:tcPr>
                            <w:tcW w:w="1134" w:type="dxa"/>
                            <w:shd w:val="clear" w:color="auto" w:fill="auto"/>
                            <w:noWrap/>
                            <w:vAlign w:val="center"/>
                            <w:hideMark/>
                          </w:tcPr>
                          <w:p w14:paraId="215A33E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0.65</w:t>
                            </w:r>
                          </w:p>
                        </w:tc>
                        <w:tc>
                          <w:tcPr>
                            <w:tcW w:w="1134" w:type="dxa"/>
                            <w:shd w:val="clear" w:color="auto" w:fill="auto"/>
                            <w:noWrap/>
                            <w:vAlign w:val="center"/>
                            <w:hideMark/>
                          </w:tcPr>
                          <w:p w14:paraId="1C852ACA"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0.21</w:t>
                            </w:r>
                          </w:p>
                        </w:tc>
                      </w:tr>
                      <w:tr w:rsidR="00AA7D8F" w:rsidRPr="002530AF" w14:paraId="3064A444" w14:textId="77777777" w:rsidTr="004068F5">
                        <w:trPr>
                          <w:trHeight w:val="295"/>
                        </w:trPr>
                        <w:tc>
                          <w:tcPr>
                            <w:tcW w:w="475" w:type="dxa"/>
                            <w:shd w:val="clear" w:color="auto" w:fill="auto"/>
                            <w:vAlign w:val="center"/>
                            <w:hideMark/>
                          </w:tcPr>
                          <w:p w14:paraId="64BCA082"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110</w:t>
                            </w:r>
                          </w:p>
                        </w:tc>
                        <w:tc>
                          <w:tcPr>
                            <w:tcW w:w="1134" w:type="dxa"/>
                            <w:shd w:val="clear" w:color="auto" w:fill="auto"/>
                            <w:noWrap/>
                            <w:vAlign w:val="center"/>
                            <w:hideMark/>
                          </w:tcPr>
                          <w:p w14:paraId="336677C4"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92.89</w:t>
                            </w:r>
                          </w:p>
                        </w:tc>
                        <w:tc>
                          <w:tcPr>
                            <w:tcW w:w="1134" w:type="dxa"/>
                            <w:shd w:val="clear" w:color="auto" w:fill="auto"/>
                            <w:noWrap/>
                            <w:vAlign w:val="center"/>
                            <w:hideMark/>
                          </w:tcPr>
                          <w:p w14:paraId="7D0D5A30"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5.08</w:t>
                            </w:r>
                          </w:p>
                        </w:tc>
                        <w:tc>
                          <w:tcPr>
                            <w:tcW w:w="1134" w:type="dxa"/>
                            <w:shd w:val="clear" w:color="auto" w:fill="auto"/>
                            <w:noWrap/>
                            <w:hideMark/>
                          </w:tcPr>
                          <w:p w14:paraId="0449E84A" w14:textId="15D9F85B"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1.16 </w:t>
                            </w:r>
                          </w:p>
                        </w:tc>
                        <w:tc>
                          <w:tcPr>
                            <w:tcW w:w="1134" w:type="dxa"/>
                            <w:shd w:val="clear" w:color="auto" w:fill="auto"/>
                            <w:noWrap/>
                            <w:vAlign w:val="center"/>
                            <w:hideMark/>
                          </w:tcPr>
                          <w:p w14:paraId="2261144F"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0.65</w:t>
                            </w:r>
                          </w:p>
                        </w:tc>
                        <w:tc>
                          <w:tcPr>
                            <w:tcW w:w="1134" w:type="dxa"/>
                            <w:shd w:val="clear" w:color="auto" w:fill="auto"/>
                            <w:noWrap/>
                            <w:vAlign w:val="center"/>
                            <w:hideMark/>
                          </w:tcPr>
                          <w:p w14:paraId="0154E1B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0.21</w:t>
                            </w:r>
                          </w:p>
                        </w:tc>
                      </w:tr>
                      <w:tr w:rsidR="00AA7D8F" w:rsidRPr="002530AF" w14:paraId="33015E2A" w14:textId="77777777" w:rsidTr="004068F5">
                        <w:trPr>
                          <w:trHeight w:val="295"/>
                        </w:trPr>
                        <w:tc>
                          <w:tcPr>
                            <w:tcW w:w="475" w:type="dxa"/>
                            <w:shd w:val="clear" w:color="auto" w:fill="auto"/>
                            <w:vAlign w:val="center"/>
                            <w:hideMark/>
                          </w:tcPr>
                          <w:p w14:paraId="1FFE9CAC"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111</w:t>
                            </w:r>
                          </w:p>
                        </w:tc>
                        <w:tc>
                          <w:tcPr>
                            <w:tcW w:w="1134" w:type="dxa"/>
                            <w:shd w:val="clear" w:color="auto" w:fill="auto"/>
                            <w:noWrap/>
                            <w:vAlign w:val="center"/>
                            <w:hideMark/>
                          </w:tcPr>
                          <w:p w14:paraId="05CD3AE8"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92.85</w:t>
                            </w:r>
                          </w:p>
                        </w:tc>
                        <w:tc>
                          <w:tcPr>
                            <w:tcW w:w="1134" w:type="dxa"/>
                            <w:shd w:val="clear" w:color="auto" w:fill="auto"/>
                            <w:noWrap/>
                            <w:vAlign w:val="center"/>
                            <w:hideMark/>
                          </w:tcPr>
                          <w:p w14:paraId="2D598BE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5.11</w:t>
                            </w:r>
                          </w:p>
                        </w:tc>
                        <w:tc>
                          <w:tcPr>
                            <w:tcW w:w="1134" w:type="dxa"/>
                            <w:shd w:val="clear" w:color="auto" w:fill="auto"/>
                            <w:noWrap/>
                            <w:hideMark/>
                          </w:tcPr>
                          <w:p w14:paraId="5F589576" w14:textId="7D021DC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1.17 </w:t>
                            </w:r>
                          </w:p>
                        </w:tc>
                        <w:tc>
                          <w:tcPr>
                            <w:tcW w:w="1134" w:type="dxa"/>
                            <w:shd w:val="clear" w:color="auto" w:fill="auto"/>
                            <w:noWrap/>
                            <w:vAlign w:val="center"/>
                            <w:hideMark/>
                          </w:tcPr>
                          <w:p w14:paraId="646ABA13"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0.65</w:t>
                            </w:r>
                          </w:p>
                        </w:tc>
                        <w:tc>
                          <w:tcPr>
                            <w:tcW w:w="1134" w:type="dxa"/>
                            <w:shd w:val="clear" w:color="auto" w:fill="auto"/>
                            <w:noWrap/>
                            <w:vAlign w:val="center"/>
                            <w:hideMark/>
                          </w:tcPr>
                          <w:p w14:paraId="6D716A21"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0.22</w:t>
                            </w:r>
                          </w:p>
                        </w:tc>
                      </w:tr>
                      <w:tr w:rsidR="00AA7D8F" w:rsidRPr="002530AF" w14:paraId="37D00D35" w14:textId="77777777" w:rsidTr="004068F5">
                        <w:trPr>
                          <w:trHeight w:val="295"/>
                        </w:trPr>
                        <w:tc>
                          <w:tcPr>
                            <w:tcW w:w="475" w:type="dxa"/>
                            <w:shd w:val="clear" w:color="auto" w:fill="auto"/>
                            <w:noWrap/>
                            <w:vAlign w:val="center"/>
                            <w:hideMark/>
                          </w:tcPr>
                          <w:p w14:paraId="56863391"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112</w:t>
                            </w:r>
                          </w:p>
                        </w:tc>
                        <w:tc>
                          <w:tcPr>
                            <w:tcW w:w="1134" w:type="dxa"/>
                            <w:shd w:val="clear" w:color="auto" w:fill="auto"/>
                            <w:noWrap/>
                            <w:vAlign w:val="center"/>
                            <w:hideMark/>
                          </w:tcPr>
                          <w:p w14:paraId="7575385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92.55</w:t>
                            </w:r>
                          </w:p>
                        </w:tc>
                        <w:tc>
                          <w:tcPr>
                            <w:tcW w:w="1134" w:type="dxa"/>
                            <w:shd w:val="clear" w:color="auto" w:fill="auto"/>
                            <w:noWrap/>
                            <w:vAlign w:val="center"/>
                            <w:hideMark/>
                          </w:tcPr>
                          <w:p w14:paraId="2D0016D6"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5.36</w:t>
                            </w:r>
                          </w:p>
                        </w:tc>
                        <w:tc>
                          <w:tcPr>
                            <w:tcW w:w="1134" w:type="dxa"/>
                            <w:shd w:val="clear" w:color="auto" w:fill="auto"/>
                            <w:noWrap/>
                            <w:hideMark/>
                          </w:tcPr>
                          <w:p w14:paraId="7778DB7E" w14:textId="2C6ABA3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1.18 </w:t>
                            </w:r>
                          </w:p>
                        </w:tc>
                        <w:tc>
                          <w:tcPr>
                            <w:tcW w:w="1134" w:type="dxa"/>
                            <w:shd w:val="clear" w:color="auto" w:fill="auto"/>
                            <w:noWrap/>
                            <w:vAlign w:val="center"/>
                            <w:hideMark/>
                          </w:tcPr>
                          <w:p w14:paraId="7289631C"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0.68</w:t>
                            </w:r>
                          </w:p>
                        </w:tc>
                        <w:tc>
                          <w:tcPr>
                            <w:tcW w:w="1134" w:type="dxa"/>
                            <w:shd w:val="clear" w:color="auto" w:fill="auto"/>
                            <w:noWrap/>
                            <w:vAlign w:val="center"/>
                            <w:hideMark/>
                          </w:tcPr>
                          <w:p w14:paraId="1BAC309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0.23</w:t>
                            </w:r>
                          </w:p>
                        </w:tc>
                      </w:tr>
                      <w:tr w:rsidR="00AA7D8F" w:rsidRPr="002530AF" w14:paraId="087FA351" w14:textId="77777777" w:rsidTr="004068F5">
                        <w:trPr>
                          <w:trHeight w:val="295"/>
                        </w:trPr>
                        <w:tc>
                          <w:tcPr>
                            <w:tcW w:w="475" w:type="dxa"/>
                            <w:shd w:val="clear" w:color="auto" w:fill="auto"/>
                            <w:noWrap/>
                            <w:vAlign w:val="center"/>
                            <w:hideMark/>
                          </w:tcPr>
                          <w:p w14:paraId="43977EA0"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113</w:t>
                            </w:r>
                          </w:p>
                        </w:tc>
                        <w:tc>
                          <w:tcPr>
                            <w:tcW w:w="1134" w:type="dxa"/>
                            <w:shd w:val="clear" w:color="auto" w:fill="auto"/>
                            <w:noWrap/>
                            <w:vAlign w:val="center"/>
                            <w:hideMark/>
                          </w:tcPr>
                          <w:p w14:paraId="25E187D5"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92.57</w:t>
                            </w:r>
                          </w:p>
                        </w:tc>
                        <w:tc>
                          <w:tcPr>
                            <w:tcW w:w="1134" w:type="dxa"/>
                            <w:shd w:val="clear" w:color="auto" w:fill="auto"/>
                            <w:noWrap/>
                            <w:vAlign w:val="center"/>
                            <w:hideMark/>
                          </w:tcPr>
                          <w:p w14:paraId="5824C9B3"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5.36</w:t>
                            </w:r>
                          </w:p>
                        </w:tc>
                        <w:tc>
                          <w:tcPr>
                            <w:tcW w:w="1134" w:type="dxa"/>
                            <w:shd w:val="clear" w:color="auto" w:fill="auto"/>
                            <w:noWrap/>
                            <w:hideMark/>
                          </w:tcPr>
                          <w:p w14:paraId="165AB145" w14:textId="01DCABCE"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1.14 </w:t>
                            </w:r>
                          </w:p>
                        </w:tc>
                        <w:tc>
                          <w:tcPr>
                            <w:tcW w:w="1134" w:type="dxa"/>
                            <w:shd w:val="clear" w:color="auto" w:fill="auto"/>
                            <w:noWrap/>
                            <w:vAlign w:val="center"/>
                            <w:hideMark/>
                          </w:tcPr>
                          <w:p w14:paraId="304F645B"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0.68</w:t>
                            </w:r>
                          </w:p>
                        </w:tc>
                        <w:tc>
                          <w:tcPr>
                            <w:tcW w:w="1134" w:type="dxa"/>
                            <w:shd w:val="clear" w:color="auto" w:fill="auto"/>
                            <w:noWrap/>
                            <w:vAlign w:val="center"/>
                            <w:hideMark/>
                          </w:tcPr>
                          <w:p w14:paraId="70C9CB0D"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0.24</w:t>
                            </w:r>
                          </w:p>
                        </w:tc>
                      </w:tr>
                      <w:tr w:rsidR="00AA7D8F" w:rsidRPr="002530AF" w14:paraId="3653A937" w14:textId="77777777" w:rsidTr="004068F5">
                        <w:trPr>
                          <w:trHeight w:val="295"/>
                        </w:trPr>
                        <w:tc>
                          <w:tcPr>
                            <w:tcW w:w="475" w:type="dxa"/>
                            <w:shd w:val="clear" w:color="auto" w:fill="auto"/>
                            <w:noWrap/>
                            <w:vAlign w:val="center"/>
                            <w:hideMark/>
                          </w:tcPr>
                          <w:p w14:paraId="23A91BFD" w14:textId="77777777" w:rsidR="00AA7D8F" w:rsidRPr="002530AF" w:rsidRDefault="00AA7D8F" w:rsidP="00AA7D8F">
                            <w:pPr>
                              <w:widowControl/>
                              <w:spacing w:line="240" w:lineRule="exact"/>
                              <w:jc w:val="center"/>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114</w:t>
                            </w:r>
                          </w:p>
                        </w:tc>
                        <w:tc>
                          <w:tcPr>
                            <w:tcW w:w="1134" w:type="dxa"/>
                            <w:shd w:val="clear" w:color="auto" w:fill="auto"/>
                            <w:noWrap/>
                            <w:vAlign w:val="center"/>
                            <w:hideMark/>
                          </w:tcPr>
                          <w:p w14:paraId="29A39047"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92.97</w:t>
                            </w:r>
                          </w:p>
                        </w:tc>
                        <w:tc>
                          <w:tcPr>
                            <w:tcW w:w="1134" w:type="dxa"/>
                            <w:shd w:val="clear" w:color="auto" w:fill="auto"/>
                            <w:noWrap/>
                            <w:vAlign w:val="center"/>
                            <w:hideMark/>
                          </w:tcPr>
                          <w:p w14:paraId="02E2C5B2"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5.05</w:t>
                            </w:r>
                          </w:p>
                        </w:tc>
                        <w:tc>
                          <w:tcPr>
                            <w:tcW w:w="1134" w:type="dxa"/>
                            <w:shd w:val="clear" w:color="auto" w:fill="auto"/>
                            <w:noWrap/>
                            <w:hideMark/>
                          </w:tcPr>
                          <w:p w14:paraId="50C6DF3B" w14:textId="66C6BF7C"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AA7D8F">
                              <w:rPr>
                                <w:rFonts w:ascii="標楷體" w:eastAsia="標楷體" w:hAnsi="標楷體" w:cs="新細明體"/>
                                <w:color w:val="000000"/>
                                <w:kern w:val="0"/>
                                <w:sz w:val="20"/>
                                <w:szCs w:val="20"/>
                              </w:rPr>
                              <w:t xml:space="preserve">1.06 </w:t>
                            </w:r>
                          </w:p>
                        </w:tc>
                        <w:tc>
                          <w:tcPr>
                            <w:tcW w:w="1134" w:type="dxa"/>
                            <w:shd w:val="clear" w:color="auto" w:fill="auto"/>
                            <w:noWrap/>
                            <w:vAlign w:val="center"/>
                            <w:hideMark/>
                          </w:tcPr>
                          <w:p w14:paraId="786EC2A8"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0.68</w:t>
                            </w:r>
                          </w:p>
                        </w:tc>
                        <w:tc>
                          <w:tcPr>
                            <w:tcW w:w="1134" w:type="dxa"/>
                            <w:shd w:val="clear" w:color="auto" w:fill="auto"/>
                            <w:noWrap/>
                            <w:vAlign w:val="center"/>
                            <w:hideMark/>
                          </w:tcPr>
                          <w:p w14:paraId="4C2EB146" w14:textId="77777777" w:rsidR="00AA7D8F" w:rsidRPr="002530AF" w:rsidRDefault="00AA7D8F" w:rsidP="00AA7D8F">
                            <w:pPr>
                              <w:widowControl/>
                              <w:spacing w:line="240" w:lineRule="exact"/>
                              <w:jc w:val="right"/>
                              <w:rPr>
                                <w:rFonts w:ascii="標楷體" w:eastAsia="標楷體" w:hAnsi="標楷體" w:cs="新細明體"/>
                                <w:color w:val="000000"/>
                                <w:kern w:val="0"/>
                                <w:sz w:val="20"/>
                                <w:szCs w:val="20"/>
                              </w:rPr>
                            </w:pPr>
                            <w:r w:rsidRPr="002530AF">
                              <w:rPr>
                                <w:rFonts w:ascii="標楷體" w:eastAsia="標楷體" w:hAnsi="標楷體" w:cs="新細明體" w:hint="eastAsia"/>
                                <w:color w:val="000000"/>
                                <w:kern w:val="0"/>
                                <w:sz w:val="20"/>
                                <w:szCs w:val="20"/>
                              </w:rPr>
                              <w:t>0.24</w:t>
                            </w:r>
                          </w:p>
                        </w:tc>
                      </w:tr>
                    </w:tbl>
                    <w:p w14:paraId="428F7434" w14:textId="77777777" w:rsidR="005E6E9F" w:rsidRPr="00787F0B" w:rsidRDefault="005E6E9F" w:rsidP="005E6E9F">
                      <w:pPr>
                        <w:spacing w:line="180" w:lineRule="exact"/>
                        <w:ind w:leftChars="5" w:left="12"/>
                        <w:jc w:val="both"/>
                      </w:pPr>
                      <w:r w:rsidRPr="00787F0B">
                        <w:rPr>
                          <w:rFonts w:ascii="標楷體" w:eastAsia="標楷體" w:hAnsi="標楷體" w:hint="eastAsia"/>
                          <w:sz w:val="18"/>
                          <w:szCs w:val="18"/>
                        </w:rPr>
                        <w:t>資料來源：整理自健保署提供資料。</w:t>
                      </w:r>
                    </w:p>
                  </w:txbxContent>
                </v:textbox>
                <w10:wrap type="square"/>
              </v:shape>
            </w:pict>
          </mc:Fallback>
        </mc:AlternateContent>
      </w:r>
      <w:r>
        <w:rPr>
          <w:rFonts w:ascii="標楷體" w:hAnsi="標楷體" w:hint="eastAsia"/>
          <w:sz w:val="24"/>
          <w:szCs w:val="24"/>
        </w:rPr>
        <w:t xml:space="preserve">A.　</w:t>
      </w:r>
      <w:r w:rsidRPr="007644E1">
        <w:rPr>
          <w:rFonts w:ascii="標楷體" w:hAnsi="標楷體" w:hint="eastAsia"/>
          <w:sz w:val="24"/>
          <w:szCs w:val="24"/>
        </w:rPr>
        <w:t>為引導醫療院所提供病患連續性醫療照護，提升醫療服務品質及資源運用效率，</w:t>
      </w:r>
      <w:r w:rsidR="00FD51E6">
        <w:rPr>
          <w:rFonts w:ascii="標楷體" w:hAnsi="標楷體" w:hint="eastAsia"/>
          <w:sz w:val="24"/>
          <w:szCs w:val="24"/>
        </w:rPr>
        <w:t>持續</w:t>
      </w:r>
      <w:r w:rsidRPr="007644E1">
        <w:rPr>
          <w:rFonts w:ascii="標楷體" w:hAnsi="標楷體" w:hint="eastAsia"/>
          <w:sz w:val="24"/>
          <w:szCs w:val="24"/>
        </w:rPr>
        <w:t>推動</w:t>
      </w:r>
      <w:r w:rsidR="00FD51E6">
        <w:rPr>
          <w:rFonts w:ascii="標楷體" w:hAnsi="標楷體" w:hint="eastAsia"/>
          <w:sz w:val="24"/>
          <w:szCs w:val="24"/>
        </w:rPr>
        <w:t>健保支</w:t>
      </w:r>
      <w:r w:rsidRPr="007644E1">
        <w:rPr>
          <w:rFonts w:ascii="標楷體" w:hAnsi="標楷體" w:hint="eastAsia"/>
          <w:sz w:val="24"/>
          <w:szCs w:val="24"/>
        </w:rPr>
        <w:t>付</w:t>
      </w:r>
      <w:r w:rsidR="00FD51E6">
        <w:rPr>
          <w:rFonts w:ascii="標楷體" w:hAnsi="標楷體" w:hint="eastAsia"/>
          <w:sz w:val="24"/>
          <w:szCs w:val="24"/>
        </w:rPr>
        <w:t>制度</w:t>
      </w:r>
      <w:r w:rsidRPr="007644E1">
        <w:rPr>
          <w:rFonts w:ascii="標楷體" w:hAnsi="標楷體" w:hint="eastAsia"/>
          <w:sz w:val="24"/>
          <w:szCs w:val="24"/>
        </w:rPr>
        <w:t>改革，惟</w:t>
      </w:r>
      <w:r w:rsidR="00FD51E6">
        <w:rPr>
          <w:rFonts w:ascii="標楷體" w:hAnsi="標楷體" w:hint="eastAsia"/>
          <w:sz w:val="24"/>
          <w:szCs w:val="24"/>
        </w:rPr>
        <w:t>論質計酬</w:t>
      </w:r>
      <w:r w:rsidRPr="007644E1">
        <w:rPr>
          <w:rFonts w:ascii="標楷體" w:hAnsi="標楷體" w:hint="eastAsia"/>
          <w:sz w:val="24"/>
          <w:szCs w:val="24"/>
        </w:rPr>
        <w:t>方案支付規模及收案照護率成長有限，方案整合</w:t>
      </w:r>
      <w:r w:rsidR="00C11390">
        <w:rPr>
          <w:rFonts w:ascii="標楷體" w:hAnsi="標楷體" w:hint="eastAsia"/>
          <w:sz w:val="24"/>
          <w:szCs w:val="24"/>
        </w:rPr>
        <w:t>及配套措施</w:t>
      </w:r>
      <w:r w:rsidR="00FD51E6">
        <w:rPr>
          <w:rFonts w:ascii="標楷體" w:hAnsi="標楷體" w:hint="eastAsia"/>
          <w:sz w:val="24"/>
          <w:szCs w:val="24"/>
        </w:rPr>
        <w:t>亦待加速推進</w:t>
      </w:r>
      <w:r w:rsidRPr="007644E1">
        <w:rPr>
          <w:rFonts w:ascii="標楷體" w:hAnsi="標楷體" w:hint="eastAsia"/>
          <w:sz w:val="24"/>
          <w:szCs w:val="24"/>
        </w:rPr>
        <w:t>：</w:t>
      </w:r>
      <w:r w:rsidRPr="007644E1">
        <w:rPr>
          <w:rFonts w:ascii="標楷體" w:hAnsi="標楷體" w:hint="eastAsia"/>
          <w:b w:val="0"/>
          <w:bCs w:val="0"/>
          <w:sz w:val="24"/>
          <w:szCs w:val="24"/>
        </w:rPr>
        <w:t>政府為確保</w:t>
      </w:r>
      <w:r w:rsidRPr="009F64D4">
        <w:rPr>
          <w:rFonts w:ascii="標楷體" w:hAnsi="標楷體" w:hint="eastAsia"/>
          <w:b w:val="0"/>
          <w:bCs w:val="0"/>
          <w:sz w:val="24"/>
          <w:szCs w:val="24"/>
        </w:rPr>
        <w:t>健保永續經營，已提出</w:t>
      </w:r>
      <w:r w:rsidR="00FD51E6">
        <w:rPr>
          <w:rFonts w:ascii="標楷體" w:hAnsi="標楷體" w:hint="eastAsia"/>
          <w:b w:val="0"/>
          <w:bCs w:val="0"/>
          <w:sz w:val="24"/>
          <w:szCs w:val="24"/>
        </w:rPr>
        <w:t>多項</w:t>
      </w:r>
      <w:r w:rsidRPr="009F64D4">
        <w:rPr>
          <w:rFonts w:ascii="標楷體" w:hAnsi="標楷體" w:hint="eastAsia"/>
          <w:b w:val="0"/>
          <w:bCs w:val="0"/>
          <w:sz w:val="24"/>
          <w:szCs w:val="24"/>
        </w:rPr>
        <w:t>健保改革目標，除持續籌措多元財源外，並提出支付制度改革方向，包括將醫療給付模式，由治療疾病導向之論量計酬，轉變為以健康成果導向之論質計酬（Pay for Performance, P4P）模式，並自90年10月起，陸續推動氣喘等10項健保醫療給付改善方案（下稱論質計酬方案），透由品質與結果導向支付機制，引導醫療院所提供患者全人之連續性醫療照護，以提升醫療服務品質及資源運用效率。惟論質計酬方案推動以來，近10</w:t>
      </w:r>
      <w:r w:rsidR="00C11390" w:rsidRPr="009F64D4">
        <w:rPr>
          <w:rFonts w:ascii="標楷體" w:hAnsi="標楷體" w:hint="eastAsia"/>
          <w:b w:val="0"/>
          <w:bCs w:val="0"/>
          <w:sz w:val="24"/>
          <w:szCs w:val="24"/>
        </w:rPr>
        <w:t>年度</w:t>
      </w:r>
      <w:r w:rsidRPr="009F64D4">
        <w:rPr>
          <w:rFonts w:ascii="標楷體" w:hAnsi="標楷體" w:hint="eastAsia"/>
          <w:b w:val="0"/>
          <w:bCs w:val="0"/>
          <w:sz w:val="24"/>
          <w:szCs w:val="24"/>
        </w:rPr>
        <w:t>（105至114</w:t>
      </w:r>
      <w:r w:rsidR="00C11390" w:rsidRPr="009F64D4">
        <w:rPr>
          <w:rFonts w:ascii="標楷體" w:hAnsi="標楷體" w:hint="eastAsia"/>
          <w:b w:val="0"/>
          <w:bCs w:val="0"/>
          <w:sz w:val="24"/>
          <w:szCs w:val="24"/>
        </w:rPr>
        <w:t>年度</w:t>
      </w:r>
      <w:r w:rsidRPr="009F64D4">
        <w:rPr>
          <w:rFonts w:ascii="標楷體" w:hAnsi="標楷體" w:hint="eastAsia"/>
          <w:b w:val="0"/>
          <w:bCs w:val="0"/>
          <w:sz w:val="24"/>
          <w:szCs w:val="24"/>
        </w:rPr>
        <w:t>）其支付規模占</w:t>
      </w:r>
      <w:r>
        <w:rPr>
          <w:rFonts w:ascii="標楷體" w:hAnsi="標楷體" w:hint="eastAsia"/>
          <w:b w:val="0"/>
          <w:bCs w:val="0"/>
          <w:sz w:val="24"/>
          <w:szCs w:val="24"/>
        </w:rPr>
        <w:t>健保</w:t>
      </w:r>
      <w:r w:rsidRPr="009F64D4">
        <w:rPr>
          <w:rFonts w:ascii="標楷體" w:hAnsi="標楷體" w:hint="eastAsia"/>
          <w:b w:val="0"/>
          <w:bCs w:val="0"/>
          <w:sz w:val="24"/>
          <w:szCs w:val="24"/>
        </w:rPr>
        <w:t>醫療給付費用總額之比率尚未及</w:t>
      </w:r>
      <w:r w:rsidRPr="009F64D4">
        <w:rPr>
          <w:rFonts w:ascii="標楷體" w:hAnsi="標楷體" w:hint="eastAsia"/>
          <w:b w:val="0"/>
          <w:bCs w:val="0"/>
          <w:sz w:val="24"/>
          <w:szCs w:val="24"/>
        </w:rPr>
        <w:lastRenderedPageBreak/>
        <w:t>1％，同期間「</w:t>
      </w:r>
      <w:r w:rsidRPr="009F64D4">
        <w:rPr>
          <w:rFonts w:ascii="標楷體" w:hAnsi="標楷體"/>
          <w:b w:val="0"/>
          <w:bCs w:val="0"/>
          <w:sz w:val="24"/>
          <w:szCs w:val="24"/>
        </w:rPr>
        <w:t>論量計酬</w:t>
      </w:r>
      <w:r w:rsidRPr="009F64D4">
        <w:rPr>
          <w:rFonts w:ascii="標楷體" w:hAnsi="標楷體" w:hint="eastAsia"/>
          <w:b w:val="0"/>
          <w:bCs w:val="0"/>
          <w:sz w:val="24"/>
          <w:szCs w:val="24"/>
        </w:rPr>
        <w:t>」之比率</w:t>
      </w:r>
      <w:r w:rsidR="00FD51E6">
        <w:rPr>
          <w:rFonts w:ascii="標楷體" w:hAnsi="標楷體" w:hint="eastAsia"/>
          <w:b w:val="0"/>
          <w:bCs w:val="0"/>
          <w:sz w:val="24"/>
          <w:szCs w:val="24"/>
        </w:rPr>
        <w:t>則</w:t>
      </w:r>
      <w:r w:rsidRPr="009F64D4">
        <w:rPr>
          <w:rFonts w:ascii="標楷體" w:hAnsi="標楷體" w:hint="eastAsia"/>
          <w:b w:val="0"/>
          <w:bCs w:val="0"/>
          <w:sz w:val="24"/>
          <w:szCs w:val="24"/>
        </w:rPr>
        <w:t>由91.76％</w:t>
      </w:r>
      <w:r w:rsidRPr="009F64D4">
        <w:rPr>
          <w:rFonts w:ascii="標楷體" w:hAnsi="標楷體"/>
          <w:b w:val="0"/>
          <w:bCs w:val="0"/>
          <w:sz w:val="24"/>
          <w:szCs w:val="24"/>
        </w:rPr>
        <w:t>增加至</w:t>
      </w:r>
      <w:r w:rsidRPr="009F64D4">
        <w:rPr>
          <w:rFonts w:ascii="標楷體" w:hAnsi="標楷體" w:hint="eastAsia"/>
          <w:b w:val="0"/>
          <w:bCs w:val="0"/>
          <w:sz w:val="24"/>
          <w:szCs w:val="24"/>
        </w:rPr>
        <w:t>92.97％，健保支付制度仍以論量計酬為主</w:t>
      </w:r>
      <w:r>
        <w:rPr>
          <w:rFonts w:ascii="標楷體" w:hAnsi="標楷體" w:hint="eastAsia"/>
          <w:b w:val="0"/>
          <w:bCs w:val="0"/>
          <w:sz w:val="24"/>
          <w:szCs w:val="24"/>
        </w:rPr>
        <w:t>（表1）</w:t>
      </w:r>
      <w:r w:rsidRPr="009F64D4">
        <w:rPr>
          <w:rFonts w:ascii="標楷體" w:hAnsi="標楷體" w:hint="eastAsia"/>
          <w:b w:val="0"/>
          <w:bCs w:val="0"/>
          <w:sz w:val="24"/>
          <w:szCs w:val="24"/>
        </w:rPr>
        <w:t>，不利引導院所轉向品質與健康結果導向之照護模式</w:t>
      </w:r>
      <w:r w:rsidR="00FD51E6">
        <w:rPr>
          <w:rFonts w:ascii="標楷體" w:hAnsi="標楷體" w:hint="eastAsia"/>
          <w:b w:val="0"/>
          <w:bCs w:val="0"/>
          <w:sz w:val="24"/>
          <w:szCs w:val="24"/>
        </w:rPr>
        <w:t>。復</w:t>
      </w:r>
      <w:r w:rsidRPr="009F64D4">
        <w:rPr>
          <w:rFonts w:ascii="標楷體" w:hAnsi="標楷體" w:hint="eastAsia"/>
          <w:b w:val="0"/>
          <w:bCs w:val="0"/>
          <w:sz w:val="24"/>
          <w:szCs w:val="24"/>
        </w:rPr>
        <w:t>經分析</w:t>
      </w:r>
      <w:r w:rsidR="00FD51E6">
        <w:rPr>
          <w:rFonts w:ascii="標楷體" w:hAnsi="標楷體" w:hint="eastAsia"/>
          <w:b w:val="0"/>
          <w:bCs w:val="0"/>
          <w:sz w:val="24"/>
          <w:szCs w:val="24"/>
        </w:rPr>
        <w:t>各類</w:t>
      </w:r>
      <w:r w:rsidRPr="009F64D4">
        <w:rPr>
          <w:rFonts w:ascii="標楷體" w:hAnsi="標楷體" w:hint="eastAsia"/>
          <w:b w:val="0"/>
          <w:bCs w:val="0"/>
          <w:sz w:val="24"/>
          <w:szCs w:val="24"/>
        </w:rPr>
        <w:t>論質計酬方案</w:t>
      </w:r>
      <w:r w:rsidR="00FD51E6">
        <w:rPr>
          <w:rFonts w:ascii="標楷體" w:hAnsi="標楷體" w:hint="eastAsia"/>
          <w:b w:val="0"/>
          <w:bCs w:val="0"/>
          <w:sz w:val="24"/>
          <w:szCs w:val="24"/>
        </w:rPr>
        <w:t>執行</w:t>
      </w:r>
      <w:r w:rsidRPr="009F64D4">
        <w:rPr>
          <w:rFonts w:ascii="標楷體" w:hAnsi="標楷體" w:hint="eastAsia"/>
          <w:b w:val="0"/>
          <w:bCs w:val="0"/>
          <w:sz w:val="24"/>
          <w:szCs w:val="24"/>
        </w:rPr>
        <w:t>結</w:t>
      </w:r>
      <w:r w:rsidR="004068F5" w:rsidRPr="00043F00">
        <w:rPr>
          <w:rFonts w:ascii="標楷體" w:hAnsi="標楷體" w:cs="標楷體"/>
          <w:noProof/>
          <w:szCs w:val="32"/>
          <w:shd w:val="pct15" w:color="auto" w:fill="FFFFFF"/>
        </w:rPr>
        <mc:AlternateContent>
          <mc:Choice Requires="wps">
            <w:drawing>
              <wp:anchor distT="0" distB="0" distL="144145" distR="71755" simplePos="0" relativeHeight="251672576" behindDoc="1" locked="0" layoutInCell="1" allowOverlap="1" wp14:anchorId="736A8F59" wp14:editId="736CFF32">
                <wp:simplePos x="0" y="0"/>
                <wp:positionH relativeFrom="column">
                  <wp:posOffset>3736340</wp:posOffset>
                </wp:positionH>
                <wp:positionV relativeFrom="paragraph">
                  <wp:posOffset>899795</wp:posOffset>
                </wp:positionV>
                <wp:extent cx="2750185" cy="3714750"/>
                <wp:effectExtent l="0" t="0" r="12065"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0185" cy="3714750"/>
                        </a:xfrm>
                        <a:prstGeom prst="rect">
                          <a:avLst/>
                        </a:prstGeom>
                        <a:noFill/>
                        <a:ln w="9525">
                          <a:noFill/>
                          <a:miter lim="800000"/>
                          <a:headEnd/>
                          <a:tailEnd/>
                        </a:ln>
                      </wps:spPr>
                      <wps:txbx>
                        <w:txbxContent>
                          <w:p w14:paraId="4185FB5C" w14:textId="77777777" w:rsidR="00FD51E6" w:rsidRPr="00E259F6" w:rsidRDefault="00FD51E6" w:rsidP="00FD51E6">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b/>
                                <w:szCs w:val="28"/>
                              </w:rPr>
                              <w:t>2</w:t>
                            </w:r>
                            <w:r w:rsidRPr="0083054F">
                              <w:rPr>
                                <w:rFonts w:ascii="標楷體" w:eastAsia="標楷體" w:hAnsi="標楷體"/>
                                <w:b/>
                                <w:szCs w:val="28"/>
                              </w:rPr>
                              <w:t xml:space="preserve">　</w:t>
                            </w:r>
                            <w:r w:rsidRPr="00A633D0">
                              <w:rPr>
                                <w:rFonts w:ascii="標楷體" w:eastAsia="標楷體" w:hAnsi="標楷體" w:hint="eastAsia"/>
                                <w:b/>
                                <w:spacing w:val="-6"/>
                                <w:szCs w:val="28"/>
                              </w:rPr>
                              <w:t>健保論質計酬支付方案收案照護率</w:t>
                            </w:r>
                          </w:p>
                          <w:p w14:paraId="4C08C586" w14:textId="77777777" w:rsidR="00FD51E6" w:rsidRDefault="00FD51E6" w:rsidP="007B70CF">
                            <w:pPr>
                              <w:spacing w:beforeLines="20" w:before="72" w:line="200" w:lineRule="exact"/>
                              <w:ind w:rightChars="26" w:right="62"/>
                              <w:jc w:val="right"/>
                              <w:rPr>
                                <w:rFonts w:ascii="標楷體" w:eastAsia="標楷體" w:hAnsi="標楷體"/>
                                <w:sz w:val="20"/>
                                <w:szCs w:val="20"/>
                              </w:rPr>
                            </w:pPr>
                            <w:r w:rsidRPr="0034726D">
                              <w:rPr>
                                <w:rFonts w:ascii="標楷體" w:eastAsia="標楷體" w:hAnsi="標楷體" w:hint="eastAsia"/>
                                <w:sz w:val="20"/>
                                <w:szCs w:val="20"/>
                              </w:rPr>
                              <w:t>單位：</w:t>
                            </w:r>
                            <w:r w:rsidRPr="00A633D0">
                              <w:rPr>
                                <w:rFonts w:ascii="標楷體" w:eastAsia="標楷體" w:hAnsi="標楷體" w:hint="eastAsia"/>
                                <w:sz w:val="20"/>
                                <w:szCs w:val="20"/>
                              </w:rPr>
                              <w:t>％</w:t>
                            </w:r>
                          </w:p>
                          <w:tbl>
                            <w:tblPr>
                              <w:tblW w:w="4253" w:type="dxa"/>
                              <w:tblLayout w:type="fixed"/>
                              <w:tblCellMar>
                                <w:left w:w="28" w:type="dxa"/>
                                <w:right w:w="28" w:type="dxa"/>
                              </w:tblCellMar>
                              <w:tblLook w:val="04A0" w:firstRow="1" w:lastRow="0" w:firstColumn="1" w:lastColumn="0" w:noHBand="0" w:noVBand="1"/>
                            </w:tblPr>
                            <w:tblGrid>
                              <w:gridCol w:w="1871"/>
                              <w:gridCol w:w="794"/>
                              <w:gridCol w:w="794"/>
                              <w:gridCol w:w="794"/>
                            </w:tblGrid>
                            <w:tr w:rsidR="00FD51E6" w:rsidRPr="00770DB6" w14:paraId="2AB82D93" w14:textId="77777777" w:rsidTr="004068F5">
                              <w:trPr>
                                <w:trHeight w:val="567"/>
                              </w:trPr>
                              <w:tc>
                                <w:tcPr>
                                  <w:tcW w:w="1871" w:type="dxa"/>
                                  <w:tcBorders>
                                    <w:top w:val="single" w:sz="4" w:space="0" w:color="auto"/>
                                    <w:left w:val="single" w:sz="4" w:space="0" w:color="auto"/>
                                    <w:bottom w:val="single" w:sz="4" w:space="0" w:color="auto"/>
                                    <w:right w:val="single" w:sz="4" w:space="0" w:color="auto"/>
                                    <w:tl2br w:val="single" w:sz="4" w:space="0" w:color="000000"/>
                                  </w:tcBorders>
                                  <w:hideMark/>
                                </w:tcPr>
                                <w:p w14:paraId="078E7C00" w14:textId="77777777" w:rsidR="00FD51E6" w:rsidRPr="00770DB6" w:rsidRDefault="00FD51E6" w:rsidP="003450FC">
                                  <w:pPr>
                                    <w:spacing w:line="240" w:lineRule="exact"/>
                                    <w:jc w:val="right"/>
                                    <w:rPr>
                                      <w:rFonts w:ascii="標楷體" w:eastAsia="標楷體" w:hAnsi="標楷體"/>
                                      <w:sz w:val="20"/>
                                      <w:szCs w:val="20"/>
                                    </w:rPr>
                                  </w:pPr>
                                  <w:r w:rsidRPr="00770DB6">
                                    <w:rPr>
                                      <w:rFonts w:ascii="標楷體" w:eastAsia="標楷體" w:hAnsi="標楷體" w:hint="eastAsia"/>
                                      <w:sz w:val="20"/>
                                      <w:szCs w:val="20"/>
                                    </w:rPr>
                                    <w:t>年度</w:t>
                                  </w:r>
                                </w:p>
                                <w:p w14:paraId="0037C912" w14:textId="77777777" w:rsidR="00FD51E6" w:rsidRPr="00770DB6" w:rsidRDefault="00FD51E6" w:rsidP="003450FC">
                                  <w:pPr>
                                    <w:spacing w:line="240" w:lineRule="exact"/>
                                    <w:rPr>
                                      <w:rFonts w:ascii="標楷體" w:eastAsia="標楷體" w:hAnsi="標楷體"/>
                                      <w:sz w:val="20"/>
                                      <w:szCs w:val="20"/>
                                    </w:rPr>
                                  </w:pPr>
                                  <w:r w:rsidRPr="00770DB6">
                                    <w:rPr>
                                      <w:rFonts w:ascii="標楷體" w:eastAsia="標楷體" w:hAnsi="標楷體" w:hint="eastAsia"/>
                                      <w:sz w:val="20"/>
                                      <w:szCs w:val="20"/>
                                    </w:rPr>
                                    <w:t>論質方案</w:t>
                                  </w:r>
                                </w:p>
                              </w:tc>
                              <w:tc>
                                <w:tcPr>
                                  <w:tcW w:w="794" w:type="dxa"/>
                                  <w:tcBorders>
                                    <w:top w:val="single" w:sz="4" w:space="0" w:color="auto"/>
                                    <w:left w:val="nil"/>
                                    <w:bottom w:val="single" w:sz="4" w:space="0" w:color="auto"/>
                                    <w:right w:val="single" w:sz="4" w:space="0" w:color="auto"/>
                                  </w:tcBorders>
                                  <w:vAlign w:val="center"/>
                                  <w:hideMark/>
                                </w:tcPr>
                                <w:p w14:paraId="77296C6F" w14:textId="77777777" w:rsidR="00FD51E6" w:rsidRPr="00770DB6" w:rsidRDefault="00FD51E6" w:rsidP="003450FC">
                                  <w:pPr>
                                    <w:spacing w:line="240" w:lineRule="exact"/>
                                    <w:jc w:val="center"/>
                                    <w:rPr>
                                      <w:rFonts w:ascii="標楷體" w:eastAsia="標楷體" w:hAnsi="標楷體"/>
                                      <w:sz w:val="20"/>
                                      <w:szCs w:val="20"/>
                                    </w:rPr>
                                  </w:pPr>
                                  <w:r w:rsidRPr="00770DB6">
                                    <w:rPr>
                                      <w:rFonts w:ascii="標楷體" w:eastAsia="標楷體" w:hAnsi="標楷體" w:hint="eastAsia"/>
                                      <w:sz w:val="20"/>
                                      <w:szCs w:val="20"/>
                                    </w:rPr>
                                    <w:t>112</w:t>
                                  </w:r>
                                </w:p>
                              </w:tc>
                              <w:tc>
                                <w:tcPr>
                                  <w:tcW w:w="794" w:type="dxa"/>
                                  <w:tcBorders>
                                    <w:top w:val="single" w:sz="4" w:space="0" w:color="auto"/>
                                    <w:left w:val="nil"/>
                                    <w:bottom w:val="single" w:sz="4" w:space="0" w:color="auto"/>
                                    <w:right w:val="single" w:sz="4" w:space="0" w:color="auto"/>
                                  </w:tcBorders>
                                  <w:vAlign w:val="center"/>
                                  <w:hideMark/>
                                </w:tcPr>
                                <w:p w14:paraId="0B31E7AC" w14:textId="77777777" w:rsidR="00FD51E6" w:rsidRPr="00770DB6" w:rsidRDefault="00FD51E6" w:rsidP="003450FC">
                                  <w:pPr>
                                    <w:spacing w:line="240" w:lineRule="exact"/>
                                    <w:jc w:val="center"/>
                                    <w:rPr>
                                      <w:rFonts w:ascii="標楷體" w:eastAsia="標楷體" w:hAnsi="標楷體"/>
                                      <w:sz w:val="20"/>
                                      <w:szCs w:val="20"/>
                                    </w:rPr>
                                  </w:pPr>
                                  <w:r w:rsidRPr="00770DB6">
                                    <w:rPr>
                                      <w:rFonts w:ascii="標楷體" w:eastAsia="標楷體" w:hAnsi="標楷體" w:hint="eastAsia"/>
                                      <w:sz w:val="20"/>
                                      <w:szCs w:val="20"/>
                                    </w:rPr>
                                    <w:t>113</w:t>
                                  </w:r>
                                </w:p>
                              </w:tc>
                              <w:tc>
                                <w:tcPr>
                                  <w:tcW w:w="794" w:type="dxa"/>
                                  <w:tcBorders>
                                    <w:top w:val="single" w:sz="4" w:space="0" w:color="auto"/>
                                    <w:left w:val="nil"/>
                                    <w:bottom w:val="single" w:sz="4" w:space="0" w:color="auto"/>
                                    <w:right w:val="single" w:sz="4" w:space="0" w:color="auto"/>
                                  </w:tcBorders>
                                  <w:vAlign w:val="center"/>
                                  <w:hideMark/>
                                </w:tcPr>
                                <w:p w14:paraId="14917167" w14:textId="77777777" w:rsidR="00FD51E6" w:rsidRPr="00770DB6" w:rsidRDefault="00FD51E6" w:rsidP="003450FC">
                                  <w:pPr>
                                    <w:spacing w:line="240" w:lineRule="exact"/>
                                    <w:jc w:val="center"/>
                                    <w:rPr>
                                      <w:rFonts w:ascii="標楷體" w:eastAsia="標楷體" w:hAnsi="標楷體"/>
                                      <w:sz w:val="20"/>
                                      <w:szCs w:val="20"/>
                                    </w:rPr>
                                  </w:pPr>
                                  <w:r w:rsidRPr="00770DB6">
                                    <w:rPr>
                                      <w:rFonts w:ascii="標楷體" w:eastAsia="標楷體" w:hAnsi="標楷體" w:hint="eastAsia"/>
                                      <w:sz w:val="20"/>
                                      <w:szCs w:val="20"/>
                                    </w:rPr>
                                    <w:t>114</w:t>
                                  </w:r>
                                </w:p>
                              </w:tc>
                            </w:tr>
                            <w:tr w:rsidR="00FD51E6" w:rsidRPr="00770DB6" w14:paraId="77DD31B0"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6B919DF"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氣喘</w:t>
                                  </w:r>
                                </w:p>
                              </w:tc>
                              <w:tc>
                                <w:tcPr>
                                  <w:tcW w:w="794" w:type="dxa"/>
                                  <w:tcBorders>
                                    <w:top w:val="nil"/>
                                    <w:left w:val="nil"/>
                                    <w:bottom w:val="single" w:sz="4" w:space="0" w:color="auto"/>
                                    <w:right w:val="single" w:sz="4" w:space="0" w:color="auto"/>
                                  </w:tcBorders>
                                  <w:noWrap/>
                                  <w:vAlign w:val="center"/>
                                  <w:hideMark/>
                                </w:tcPr>
                                <w:p w14:paraId="36226611"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38.1</w:t>
                                  </w:r>
                                </w:p>
                              </w:tc>
                              <w:tc>
                                <w:tcPr>
                                  <w:tcW w:w="794" w:type="dxa"/>
                                  <w:tcBorders>
                                    <w:top w:val="nil"/>
                                    <w:left w:val="nil"/>
                                    <w:bottom w:val="single" w:sz="4" w:space="0" w:color="auto"/>
                                    <w:right w:val="single" w:sz="4" w:space="0" w:color="auto"/>
                                  </w:tcBorders>
                                  <w:noWrap/>
                                  <w:vAlign w:val="center"/>
                                  <w:hideMark/>
                                </w:tcPr>
                                <w:p w14:paraId="60B25CEF"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36.7</w:t>
                                  </w:r>
                                </w:p>
                              </w:tc>
                              <w:tc>
                                <w:tcPr>
                                  <w:tcW w:w="794" w:type="dxa"/>
                                  <w:tcBorders>
                                    <w:top w:val="nil"/>
                                    <w:left w:val="nil"/>
                                    <w:bottom w:val="single" w:sz="4" w:space="0" w:color="auto"/>
                                    <w:right w:val="single" w:sz="4" w:space="0" w:color="auto"/>
                                  </w:tcBorders>
                                  <w:noWrap/>
                                  <w:vAlign w:val="center"/>
                                  <w:hideMark/>
                                </w:tcPr>
                                <w:p w14:paraId="35A436F5"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shd w:val="pct15" w:color="auto" w:fill="FFFFFF"/>
                                    </w:rPr>
                                    <w:t>36.1</w:t>
                                  </w:r>
                                </w:p>
                              </w:tc>
                            </w:tr>
                            <w:tr w:rsidR="00FD51E6" w:rsidRPr="00770DB6" w14:paraId="1FCB4B50"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BC82139"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糖尿病</w:t>
                                  </w:r>
                                </w:p>
                              </w:tc>
                              <w:tc>
                                <w:tcPr>
                                  <w:tcW w:w="794" w:type="dxa"/>
                                  <w:tcBorders>
                                    <w:top w:val="nil"/>
                                    <w:left w:val="nil"/>
                                    <w:bottom w:val="single" w:sz="4" w:space="0" w:color="auto"/>
                                    <w:right w:val="single" w:sz="4" w:space="0" w:color="auto"/>
                                  </w:tcBorders>
                                  <w:noWrap/>
                                  <w:vAlign w:val="center"/>
                                  <w:hideMark/>
                                </w:tcPr>
                                <w:p w14:paraId="47AF845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62.4</w:t>
                                  </w:r>
                                </w:p>
                              </w:tc>
                              <w:tc>
                                <w:tcPr>
                                  <w:tcW w:w="794" w:type="dxa"/>
                                  <w:tcBorders>
                                    <w:top w:val="nil"/>
                                    <w:left w:val="nil"/>
                                    <w:bottom w:val="single" w:sz="4" w:space="0" w:color="auto"/>
                                    <w:right w:val="single" w:sz="4" w:space="0" w:color="auto"/>
                                  </w:tcBorders>
                                  <w:noWrap/>
                                  <w:vAlign w:val="center"/>
                                  <w:hideMark/>
                                </w:tcPr>
                                <w:p w14:paraId="3373CD9A"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64.0</w:t>
                                  </w:r>
                                </w:p>
                              </w:tc>
                              <w:tc>
                                <w:tcPr>
                                  <w:tcW w:w="794" w:type="dxa"/>
                                  <w:tcBorders>
                                    <w:top w:val="nil"/>
                                    <w:left w:val="nil"/>
                                    <w:bottom w:val="single" w:sz="4" w:space="0" w:color="auto"/>
                                    <w:right w:val="single" w:sz="4" w:space="0" w:color="auto"/>
                                  </w:tcBorders>
                                  <w:noWrap/>
                                  <w:vAlign w:val="center"/>
                                  <w:hideMark/>
                                </w:tcPr>
                                <w:p w14:paraId="7CA34CEE"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64.7</w:t>
                                  </w:r>
                                </w:p>
                              </w:tc>
                            </w:tr>
                            <w:tr w:rsidR="00FD51E6" w:rsidRPr="00770DB6" w14:paraId="556243F4"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5514F17C"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乳癌</w:t>
                                  </w:r>
                                </w:p>
                              </w:tc>
                              <w:tc>
                                <w:tcPr>
                                  <w:tcW w:w="794" w:type="dxa"/>
                                  <w:tcBorders>
                                    <w:top w:val="nil"/>
                                    <w:left w:val="nil"/>
                                    <w:bottom w:val="single" w:sz="4" w:space="0" w:color="auto"/>
                                    <w:right w:val="single" w:sz="4" w:space="0" w:color="auto"/>
                                  </w:tcBorders>
                                  <w:noWrap/>
                                  <w:vAlign w:val="center"/>
                                  <w:hideMark/>
                                </w:tcPr>
                                <w:p w14:paraId="1F810F7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6.1</w:t>
                                  </w:r>
                                </w:p>
                              </w:tc>
                              <w:tc>
                                <w:tcPr>
                                  <w:tcW w:w="794" w:type="dxa"/>
                                  <w:tcBorders>
                                    <w:top w:val="nil"/>
                                    <w:left w:val="nil"/>
                                    <w:bottom w:val="single" w:sz="4" w:space="0" w:color="auto"/>
                                    <w:right w:val="single" w:sz="4" w:space="0" w:color="auto"/>
                                  </w:tcBorders>
                                  <w:noWrap/>
                                  <w:vAlign w:val="center"/>
                                  <w:hideMark/>
                                </w:tcPr>
                                <w:p w14:paraId="353A436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5.8</w:t>
                                  </w:r>
                                </w:p>
                              </w:tc>
                              <w:tc>
                                <w:tcPr>
                                  <w:tcW w:w="794" w:type="dxa"/>
                                  <w:tcBorders>
                                    <w:top w:val="nil"/>
                                    <w:left w:val="nil"/>
                                    <w:bottom w:val="single" w:sz="4" w:space="0" w:color="auto"/>
                                    <w:right w:val="single" w:sz="4" w:space="0" w:color="auto"/>
                                  </w:tcBorders>
                                  <w:noWrap/>
                                  <w:vAlign w:val="center"/>
                                  <w:hideMark/>
                                </w:tcPr>
                                <w:p w14:paraId="1737DE9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shd w:val="pct15" w:color="auto" w:fill="FFFFFF"/>
                                    </w:rPr>
                                    <w:t>5.8</w:t>
                                  </w:r>
                                </w:p>
                              </w:tc>
                            </w:tr>
                            <w:tr w:rsidR="00FD51E6" w:rsidRPr="00770DB6" w14:paraId="7851FF6B"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35D5DB55"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思覺失調</w:t>
                                  </w:r>
                                </w:p>
                              </w:tc>
                              <w:tc>
                                <w:tcPr>
                                  <w:tcW w:w="794" w:type="dxa"/>
                                  <w:tcBorders>
                                    <w:top w:val="nil"/>
                                    <w:left w:val="nil"/>
                                    <w:bottom w:val="single" w:sz="4" w:space="0" w:color="auto"/>
                                    <w:right w:val="single" w:sz="4" w:space="0" w:color="auto"/>
                                  </w:tcBorders>
                                  <w:noWrap/>
                                  <w:vAlign w:val="center"/>
                                  <w:hideMark/>
                                </w:tcPr>
                                <w:p w14:paraId="684C10B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61.6</w:t>
                                  </w:r>
                                </w:p>
                              </w:tc>
                              <w:tc>
                                <w:tcPr>
                                  <w:tcW w:w="794" w:type="dxa"/>
                                  <w:tcBorders>
                                    <w:top w:val="nil"/>
                                    <w:left w:val="nil"/>
                                    <w:bottom w:val="single" w:sz="4" w:space="0" w:color="auto"/>
                                    <w:right w:val="single" w:sz="4" w:space="0" w:color="auto"/>
                                  </w:tcBorders>
                                  <w:noWrap/>
                                  <w:vAlign w:val="center"/>
                                  <w:hideMark/>
                                </w:tcPr>
                                <w:p w14:paraId="492AF9BA"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62.1</w:t>
                                  </w:r>
                                </w:p>
                              </w:tc>
                              <w:tc>
                                <w:tcPr>
                                  <w:tcW w:w="794" w:type="dxa"/>
                                  <w:tcBorders>
                                    <w:top w:val="nil"/>
                                    <w:left w:val="nil"/>
                                    <w:bottom w:val="single" w:sz="4" w:space="0" w:color="auto"/>
                                    <w:right w:val="single" w:sz="4" w:space="0" w:color="auto"/>
                                  </w:tcBorders>
                                  <w:noWrap/>
                                  <w:vAlign w:val="center"/>
                                  <w:hideMark/>
                                </w:tcPr>
                                <w:p w14:paraId="10BB30F6"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62.4</w:t>
                                  </w:r>
                                </w:p>
                              </w:tc>
                            </w:tr>
                            <w:tr w:rsidR="00FD51E6" w:rsidRPr="00770DB6" w14:paraId="76B136D8"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CC09298"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B型C型肝炎帶原者</w:t>
                                  </w:r>
                                </w:p>
                              </w:tc>
                              <w:tc>
                                <w:tcPr>
                                  <w:tcW w:w="794" w:type="dxa"/>
                                  <w:tcBorders>
                                    <w:top w:val="nil"/>
                                    <w:left w:val="nil"/>
                                    <w:bottom w:val="single" w:sz="4" w:space="0" w:color="auto"/>
                                    <w:right w:val="single" w:sz="4" w:space="0" w:color="auto"/>
                                  </w:tcBorders>
                                  <w:noWrap/>
                                  <w:vAlign w:val="center"/>
                                  <w:hideMark/>
                                </w:tcPr>
                                <w:p w14:paraId="02C4D2A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46.4</w:t>
                                  </w:r>
                                </w:p>
                              </w:tc>
                              <w:tc>
                                <w:tcPr>
                                  <w:tcW w:w="794" w:type="dxa"/>
                                  <w:tcBorders>
                                    <w:top w:val="nil"/>
                                    <w:left w:val="nil"/>
                                    <w:bottom w:val="single" w:sz="4" w:space="0" w:color="auto"/>
                                    <w:right w:val="single" w:sz="4" w:space="0" w:color="auto"/>
                                  </w:tcBorders>
                                  <w:noWrap/>
                                  <w:vAlign w:val="center"/>
                                  <w:hideMark/>
                                </w:tcPr>
                                <w:p w14:paraId="53D0EBE9"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48.1</w:t>
                                  </w:r>
                                </w:p>
                              </w:tc>
                              <w:tc>
                                <w:tcPr>
                                  <w:tcW w:w="794" w:type="dxa"/>
                                  <w:tcBorders>
                                    <w:top w:val="nil"/>
                                    <w:left w:val="nil"/>
                                    <w:bottom w:val="single" w:sz="4" w:space="0" w:color="auto"/>
                                    <w:right w:val="single" w:sz="4" w:space="0" w:color="auto"/>
                                  </w:tcBorders>
                                  <w:noWrap/>
                                  <w:vAlign w:val="center"/>
                                  <w:hideMark/>
                                </w:tcPr>
                                <w:p w14:paraId="10F734C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48.3</w:t>
                                  </w:r>
                                </w:p>
                              </w:tc>
                            </w:tr>
                            <w:tr w:rsidR="00FD51E6" w:rsidRPr="00770DB6" w14:paraId="45DE2F84"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0791FA47"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初期慢性腎臟病</w:t>
                                  </w:r>
                                </w:p>
                              </w:tc>
                              <w:tc>
                                <w:tcPr>
                                  <w:tcW w:w="794" w:type="dxa"/>
                                  <w:tcBorders>
                                    <w:top w:val="nil"/>
                                    <w:left w:val="nil"/>
                                    <w:bottom w:val="single" w:sz="4" w:space="0" w:color="auto"/>
                                    <w:right w:val="single" w:sz="4" w:space="0" w:color="auto"/>
                                  </w:tcBorders>
                                  <w:noWrap/>
                                  <w:vAlign w:val="center"/>
                                  <w:hideMark/>
                                </w:tcPr>
                                <w:p w14:paraId="063B286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36.4</w:t>
                                  </w:r>
                                </w:p>
                              </w:tc>
                              <w:tc>
                                <w:tcPr>
                                  <w:tcW w:w="794" w:type="dxa"/>
                                  <w:tcBorders>
                                    <w:top w:val="nil"/>
                                    <w:left w:val="nil"/>
                                    <w:bottom w:val="single" w:sz="4" w:space="0" w:color="auto"/>
                                    <w:right w:val="single" w:sz="4" w:space="0" w:color="auto"/>
                                  </w:tcBorders>
                                  <w:noWrap/>
                                  <w:vAlign w:val="center"/>
                                  <w:hideMark/>
                                </w:tcPr>
                                <w:p w14:paraId="26888F4B"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38.1</w:t>
                                  </w:r>
                                </w:p>
                              </w:tc>
                              <w:tc>
                                <w:tcPr>
                                  <w:tcW w:w="794" w:type="dxa"/>
                                  <w:tcBorders>
                                    <w:top w:val="nil"/>
                                    <w:left w:val="nil"/>
                                    <w:bottom w:val="single" w:sz="4" w:space="0" w:color="auto"/>
                                    <w:right w:val="single" w:sz="4" w:space="0" w:color="auto"/>
                                  </w:tcBorders>
                                  <w:noWrap/>
                                  <w:vAlign w:val="center"/>
                                  <w:hideMark/>
                                </w:tcPr>
                                <w:p w14:paraId="5FEDEE5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40.8</w:t>
                                  </w:r>
                                </w:p>
                              </w:tc>
                            </w:tr>
                            <w:tr w:rsidR="00FD51E6" w:rsidRPr="00770DB6" w14:paraId="3040FF07"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7D1AA99"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孕產婦全程照護</w:t>
                                  </w:r>
                                </w:p>
                              </w:tc>
                              <w:tc>
                                <w:tcPr>
                                  <w:tcW w:w="794" w:type="dxa"/>
                                  <w:tcBorders>
                                    <w:top w:val="nil"/>
                                    <w:left w:val="nil"/>
                                    <w:bottom w:val="single" w:sz="4" w:space="0" w:color="auto"/>
                                    <w:right w:val="single" w:sz="4" w:space="0" w:color="auto"/>
                                  </w:tcBorders>
                                  <w:noWrap/>
                                  <w:vAlign w:val="center"/>
                                  <w:hideMark/>
                                </w:tcPr>
                                <w:p w14:paraId="418AB30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31.7</w:t>
                                  </w:r>
                                </w:p>
                              </w:tc>
                              <w:tc>
                                <w:tcPr>
                                  <w:tcW w:w="794" w:type="dxa"/>
                                  <w:tcBorders>
                                    <w:top w:val="nil"/>
                                    <w:left w:val="nil"/>
                                    <w:bottom w:val="single" w:sz="4" w:space="0" w:color="auto"/>
                                    <w:right w:val="single" w:sz="4" w:space="0" w:color="auto"/>
                                  </w:tcBorders>
                                  <w:noWrap/>
                                  <w:vAlign w:val="center"/>
                                  <w:hideMark/>
                                </w:tcPr>
                                <w:p w14:paraId="01021E49"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33.3</w:t>
                                  </w:r>
                                </w:p>
                              </w:tc>
                              <w:tc>
                                <w:tcPr>
                                  <w:tcW w:w="794" w:type="dxa"/>
                                  <w:tcBorders>
                                    <w:top w:val="nil"/>
                                    <w:left w:val="nil"/>
                                    <w:bottom w:val="single" w:sz="4" w:space="0" w:color="auto"/>
                                    <w:right w:val="single" w:sz="4" w:space="0" w:color="auto"/>
                                  </w:tcBorders>
                                  <w:noWrap/>
                                  <w:vAlign w:val="center"/>
                                  <w:hideMark/>
                                </w:tcPr>
                                <w:p w14:paraId="49507FBB"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34.6</w:t>
                                  </w:r>
                                </w:p>
                              </w:tc>
                            </w:tr>
                            <w:tr w:rsidR="00FD51E6" w:rsidRPr="00770DB6" w14:paraId="42509472"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48848988"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早期療育</w:t>
                                  </w:r>
                                </w:p>
                              </w:tc>
                              <w:tc>
                                <w:tcPr>
                                  <w:tcW w:w="794" w:type="dxa"/>
                                  <w:tcBorders>
                                    <w:top w:val="nil"/>
                                    <w:left w:val="nil"/>
                                    <w:bottom w:val="single" w:sz="4" w:space="0" w:color="auto"/>
                                    <w:right w:val="single" w:sz="4" w:space="0" w:color="auto"/>
                                  </w:tcBorders>
                                  <w:noWrap/>
                                  <w:vAlign w:val="center"/>
                                  <w:hideMark/>
                                </w:tcPr>
                                <w:p w14:paraId="1F9D0604"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13.4</w:t>
                                  </w:r>
                                </w:p>
                              </w:tc>
                              <w:tc>
                                <w:tcPr>
                                  <w:tcW w:w="794" w:type="dxa"/>
                                  <w:tcBorders>
                                    <w:top w:val="nil"/>
                                    <w:left w:val="nil"/>
                                    <w:bottom w:val="single" w:sz="4" w:space="0" w:color="auto"/>
                                    <w:right w:val="single" w:sz="4" w:space="0" w:color="auto"/>
                                  </w:tcBorders>
                                  <w:noWrap/>
                                  <w:vAlign w:val="center"/>
                                  <w:hideMark/>
                                </w:tcPr>
                                <w:p w14:paraId="65FC9899"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13.3</w:t>
                                  </w:r>
                                </w:p>
                              </w:tc>
                              <w:tc>
                                <w:tcPr>
                                  <w:tcW w:w="794" w:type="dxa"/>
                                  <w:tcBorders>
                                    <w:top w:val="nil"/>
                                    <w:left w:val="nil"/>
                                    <w:bottom w:val="single" w:sz="4" w:space="0" w:color="auto"/>
                                    <w:right w:val="single" w:sz="4" w:space="0" w:color="auto"/>
                                  </w:tcBorders>
                                  <w:noWrap/>
                                  <w:vAlign w:val="center"/>
                                  <w:hideMark/>
                                </w:tcPr>
                                <w:p w14:paraId="26771AE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13.7</w:t>
                                  </w:r>
                                </w:p>
                              </w:tc>
                            </w:tr>
                            <w:tr w:rsidR="00FD51E6" w:rsidRPr="00770DB6" w14:paraId="52D5327A"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285BA28C"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慢性阻塞性肺病</w:t>
                                  </w:r>
                                </w:p>
                              </w:tc>
                              <w:tc>
                                <w:tcPr>
                                  <w:tcW w:w="794" w:type="dxa"/>
                                  <w:tcBorders>
                                    <w:top w:val="nil"/>
                                    <w:left w:val="nil"/>
                                    <w:bottom w:val="single" w:sz="4" w:space="0" w:color="auto"/>
                                    <w:right w:val="single" w:sz="4" w:space="0" w:color="auto"/>
                                  </w:tcBorders>
                                  <w:noWrap/>
                                  <w:vAlign w:val="center"/>
                                  <w:hideMark/>
                                </w:tcPr>
                                <w:p w14:paraId="5E77932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44.5</w:t>
                                  </w:r>
                                </w:p>
                              </w:tc>
                              <w:tc>
                                <w:tcPr>
                                  <w:tcW w:w="794" w:type="dxa"/>
                                  <w:tcBorders>
                                    <w:top w:val="nil"/>
                                    <w:left w:val="nil"/>
                                    <w:bottom w:val="single" w:sz="4" w:space="0" w:color="auto"/>
                                    <w:right w:val="single" w:sz="4" w:space="0" w:color="auto"/>
                                  </w:tcBorders>
                                  <w:noWrap/>
                                  <w:vAlign w:val="center"/>
                                  <w:hideMark/>
                                </w:tcPr>
                                <w:p w14:paraId="2C540A4B"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42.2</w:t>
                                  </w:r>
                                </w:p>
                              </w:tc>
                              <w:tc>
                                <w:tcPr>
                                  <w:tcW w:w="794" w:type="dxa"/>
                                  <w:tcBorders>
                                    <w:top w:val="nil"/>
                                    <w:left w:val="nil"/>
                                    <w:bottom w:val="single" w:sz="4" w:space="0" w:color="auto"/>
                                    <w:right w:val="single" w:sz="4" w:space="0" w:color="auto"/>
                                  </w:tcBorders>
                                  <w:noWrap/>
                                  <w:vAlign w:val="center"/>
                                  <w:hideMark/>
                                </w:tcPr>
                                <w:p w14:paraId="2F1BA6A7"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shd w:val="pct15" w:color="auto" w:fill="FFFFFF"/>
                                    </w:rPr>
                                    <w:t>42.3</w:t>
                                  </w:r>
                                </w:p>
                              </w:tc>
                            </w:tr>
                            <w:tr w:rsidR="00FD51E6" w:rsidRPr="00770DB6" w14:paraId="36675566" w14:textId="77777777" w:rsidTr="004068F5">
                              <w:trPr>
                                <w:trHeight w:val="340"/>
                              </w:trPr>
                              <w:tc>
                                <w:tcPr>
                                  <w:tcW w:w="1871" w:type="dxa"/>
                                  <w:tcBorders>
                                    <w:top w:val="nil"/>
                                    <w:left w:val="single" w:sz="4" w:space="0" w:color="auto"/>
                                    <w:bottom w:val="single" w:sz="4" w:space="0" w:color="auto"/>
                                    <w:right w:val="single" w:sz="4" w:space="0" w:color="auto"/>
                                  </w:tcBorders>
                                  <w:vAlign w:val="center"/>
                                  <w:hideMark/>
                                </w:tcPr>
                                <w:p w14:paraId="57FE5C0B"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糖尿病合併初期慢性腎臟病</w:t>
                                  </w:r>
                                </w:p>
                              </w:tc>
                              <w:tc>
                                <w:tcPr>
                                  <w:tcW w:w="794" w:type="dxa"/>
                                  <w:tcBorders>
                                    <w:top w:val="nil"/>
                                    <w:left w:val="nil"/>
                                    <w:bottom w:val="single" w:sz="4" w:space="0" w:color="auto"/>
                                    <w:right w:val="single" w:sz="4" w:space="0" w:color="auto"/>
                                  </w:tcBorders>
                                  <w:noWrap/>
                                  <w:vAlign w:val="center"/>
                                  <w:hideMark/>
                                </w:tcPr>
                                <w:p w14:paraId="541DF726"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60.4</w:t>
                                  </w:r>
                                </w:p>
                              </w:tc>
                              <w:tc>
                                <w:tcPr>
                                  <w:tcW w:w="794" w:type="dxa"/>
                                  <w:tcBorders>
                                    <w:top w:val="nil"/>
                                    <w:left w:val="nil"/>
                                    <w:bottom w:val="single" w:sz="4" w:space="0" w:color="auto"/>
                                    <w:right w:val="single" w:sz="4" w:space="0" w:color="auto"/>
                                  </w:tcBorders>
                                  <w:noWrap/>
                                  <w:vAlign w:val="center"/>
                                  <w:hideMark/>
                                </w:tcPr>
                                <w:p w14:paraId="1C9F4EE3"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74.7</w:t>
                                  </w:r>
                                </w:p>
                              </w:tc>
                              <w:tc>
                                <w:tcPr>
                                  <w:tcW w:w="794" w:type="dxa"/>
                                  <w:tcBorders>
                                    <w:top w:val="nil"/>
                                    <w:left w:val="nil"/>
                                    <w:bottom w:val="single" w:sz="4" w:space="0" w:color="auto"/>
                                    <w:right w:val="single" w:sz="4" w:space="0" w:color="auto"/>
                                  </w:tcBorders>
                                  <w:noWrap/>
                                  <w:vAlign w:val="center"/>
                                  <w:hideMark/>
                                </w:tcPr>
                                <w:p w14:paraId="26A22B64"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77.7</w:t>
                                  </w:r>
                                </w:p>
                              </w:tc>
                            </w:tr>
                          </w:tbl>
                          <w:p w14:paraId="3543FB21" w14:textId="77777777" w:rsidR="00FD51E6" w:rsidRPr="00A633D0" w:rsidRDefault="00FD51E6" w:rsidP="004068F5">
                            <w:pPr>
                              <w:spacing w:line="240" w:lineRule="exact"/>
                              <w:ind w:left="545" w:rightChars="34" w:right="82" w:hangingChars="303" w:hanging="545"/>
                              <w:jc w:val="both"/>
                              <w:rPr>
                                <w:rFonts w:ascii="標楷體" w:eastAsia="標楷體" w:hAnsi="標楷體"/>
                                <w:sz w:val="18"/>
                                <w:szCs w:val="18"/>
                              </w:rPr>
                            </w:pPr>
                            <w:r>
                              <w:rPr>
                                <w:rFonts w:ascii="標楷體" w:eastAsia="標楷體" w:hAnsi="標楷體" w:hint="eastAsia"/>
                                <w:sz w:val="18"/>
                              </w:rPr>
                              <w:t>註：1</w:t>
                            </w:r>
                            <w:r>
                              <w:rPr>
                                <w:rFonts w:ascii="標楷體" w:eastAsia="標楷體" w:hAnsi="標楷體"/>
                                <w:sz w:val="18"/>
                              </w:rPr>
                              <w:t>.</w:t>
                            </w:r>
                            <w:r w:rsidRPr="00A633D0">
                              <w:rPr>
                                <w:rFonts w:ascii="標楷體" w:eastAsia="標楷體" w:hAnsi="標楷體" w:hint="eastAsia"/>
                                <w:sz w:val="18"/>
                                <w:szCs w:val="18"/>
                              </w:rPr>
                              <w:t>以灰底標註114年度方案照護率分別較112年或113年起下滑者。</w:t>
                            </w:r>
                          </w:p>
                          <w:p w14:paraId="0C05E8FF" w14:textId="79FB00D5" w:rsidR="00FD51E6" w:rsidRDefault="00FD51E6" w:rsidP="004068F5">
                            <w:pPr>
                              <w:spacing w:line="240" w:lineRule="exact"/>
                              <w:ind w:left="490" w:rightChars="20" w:right="48" w:hangingChars="272" w:hanging="490"/>
                              <w:jc w:val="both"/>
                            </w:pPr>
                            <w:r w:rsidRPr="00A633D0">
                              <w:rPr>
                                <w:rFonts w:ascii="標楷體" w:eastAsia="標楷體" w:hAnsi="標楷體" w:hint="eastAsia"/>
                                <w:sz w:val="18"/>
                                <w:szCs w:val="18"/>
                              </w:rPr>
                              <w:t xml:space="preserve">　　</w:t>
                            </w:r>
                            <w:r>
                              <w:rPr>
                                <w:rFonts w:ascii="標楷體" w:eastAsia="標楷體" w:hAnsi="標楷體" w:hint="eastAsia"/>
                                <w:sz w:val="18"/>
                                <w:szCs w:val="18"/>
                              </w:rPr>
                              <w:t>2</w:t>
                            </w:r>
                            <w:r w:rsidRPr="00A633D0">
                              <w:rPr>
                                <w:rFonts w:ascii="標楷體" w:eastAsia="標楷體" w:hAnsi="標楷體" w:hint="eastAsia"/>
                                <w:sz w:val="18"/>
                                <w:szCs w:val="18"/>
                              </w:rPr>
                              <w:t>.資料來源：整理自健保署提供資料</w:t>
                            </w:r>
                            <w:r w:rsidR="00C11390" w:rsidRPr="00A633D0">
                              <w:rPr>
                                <w:rFonts w:ascii="標楷體" w:eastAsia="標楷體" w:hAnsi="標楷體" w:hint="eastAsia"/>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36A8F59" id="文字方塊 2" o:spid="_x0000_s1027" type="#_x0000_t202" style="position:absolute;left:0;text-align:left;margin-left:294.2pt;margin-top:70.85pt;width:216.55pt;height:292.5pt;z-index:-251643904;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" filled="f" stroked="f">
                <v:textbox inset="0,0,0,0">
                  <w:txbxContent>
                    <w:p w14:paraId="4185FB5C" w14:textId="77777777" w:rsidR="00FD51E6" w:rsidRPr="00E259F6" w:rsidRDefault="00FD51E6" w:rsidP="00FD51E6">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b/>
                          <w:szCs w:val="28"/>
                        </w:rPr>
                        <w:t>2</w:t>
                      </w:r>
                      <w:r w:rsidRPr="0083054F">
                        <w:rPr>
                          <w:rFonts w:ascii="標楷體" w:eastAsia="標楷體" w:hAnsi="標楷體"/>
                          <w:b/>
                          <w:szCs w:val="28"/>
                        </w:rPr>
                        <w:t xml:space="preserve">　</w:t>
                      </w:r>
                      <w:r w:rsidRPr="00A633D0">
                        <w:rPr>
                          <w:rFonts w:ascii="標楷體" w:eastAsia="標楷體" w:hAnsi="標楷體" w:hint="eastAsia"/>
                          <w:b/>
                          <w:spacing w:val="-6"/>
                          <w:szCs w:val="28"/>
                        </w:rPr>
                        <w:t>健保論質計酬支付方案收案照護率</w:t>
                      </w:r>
                    </w:p>
                    <w:p w14:paraId="4C08C586" w14:textId="77777777" w:rsidR="00FD51E6" w:rsidRDefault="00FD51E6" w:rsidP="007B70CF">
                      <w:pPr>
                        <w:spacing w:beforeLines="20" w:before="72" w:line="200" w:lineRule="exact"/>
                        <w:ind w:rightChars="26" w:right="62"/>
                        <w:jc w:val="right"/>
                        <w:rPr>
                          <w:rFonts w:ascii="標楷體" w:eastAsia="標楷體" w:hAnsi="標楷體"/>
                          <w:sz w:val="20"/>
                          <w:szCs w:val="20"/>
                        </w:rPr>
                      </w:pPr>
                      <w:r w:rsidRPr="0034726D">
                        <w:rPr>
                          <w:rFonts w:ascii="標楷體" w:eastAsia="標楷體" w:hAnsi="標楷體" w:hint="eastAsia"/>
                          <w:sz w:val="20"/>
                          <w:szCs w:val="20"/>
                        </w:rPr>
                        <w:t>單位：</w:t>
                      </w:r>
                      <w:r w:rsidRPr="00A633D0">
                        <w:rPr>
                          <w:rFonts w:ascii="標楷體" w:eastAsia="標楷體" w:hAnsi="標楷體" w:hint="eastAsia"/>
                          <w:sz w:val="20"/>
                          <w:szCs w:val="20"/>
                        </w:rPr>
                        <w:t>％</w:t>
                      </w:r>
                    </w:p>
                    <w:tbl>
                      <w:tblPr>
                        <w:tblW w:w="4253" w:type="dxa"/>
                        <w:tblLayout w:type="fixed"/>
                        <w:tblCellMar>
                          <w:left w:w="28" w:type="dxa"/>
                          <w:right w:w="28" w:type="dxa"/>
                        </w:tblCellMar>
                        <w:tblLook w:val="04A0" w:firstRow="1" w:lastRow="0" w:firstColumn="1" w:lastColumn="0" w:noHBand="0" w:noVBand="1"/>
                      </w:tblPr>
                      <w:tblGrid>
                        <w:gridCol w:w="1871"/>
                        <w:gridCol w:w="794"/>
                        <w:gridCol w:w="794"/>
                        <w:gridCol w:w="794"/>
                      </w:tblGrid>
                      <w:tr w:rsidR="00FD51E6" w:rsidRPr="00770DB6" w14:paraId="2AB82D93" w14:textId="77777777" w:rsidTr="004068F5">
                        <w:trPr>
                          <w:trHeight w:val="567"/>
                        </w:trPr>
                        <w:tc>
                          <w:tcPr>
                            <w:tcW w:w="1871" w:type="dxa"/>
                            <w:tcBorders>
                              <w:top w:val="single" w:sz="4" w:space="0" w:color="auto"/>
                              <w:left w:val="single" w:sz="4" w:space="0" w:color="auto"/>
                              <w:bottom w:val="single" w:sz="4" w:space="0" w:color="auto"/>
                              <w:right w:val="single" w:sz="4" w:space="0" w:color="auto"/>
                              <w:tl2br w:val="single" w:sz="4" w:space="0" w:color="000000"/>
                            </w:tcBorders>
                            <w:hideMark/>
                          </w:tcPr>
                          <w:p w14:paraId="078E7C00" w14:textId="77777777" w:rsidR="00FD51E6" w:rsidRPr="00770DB6" w:rsidRDefault="00FD51E6" w:rsidP="003450FC">
                            <w:pPr>
                              <w:spacing w:line="240" w:lineRule="exact"/>
                              <w:jc w:val="right"/>
                              <w:rPr>
                                <w:rFonts w:ascii="標楷體" w:eastAsia="標楷體" w:hAnsi="標楷體"/>
                                <w:sz w:val="20"/>
                                <w:szCs w:val="20"/>
                              </w:rPr>
                            </w:pPr>
                            <w:r w:rsidRPr="00770DB6">
                              <w:rPr>
                                <w:rFonts w:ascii="標楷體" w:eastAsia="標楷體" w:hAnsi="標楷體" w:hint="eastAsia"/>
                                <w:sz w:val="20"/>
                                <w:szCs w:val="20"/>
                              </w:rPr>
                              <w:t>年度</w:t>
                            </w:r>
                          </w:p>
                          <w:p w14:paraId="0037C912" w14:textId="77777777" w:rsidR="00FD51E6" w:rsidRPr="00770DB6" w:rsidRDefault="00FD51E6" w:rsidP="003450FC">
                            <w:pPr>
                              <w:spacing w:line="240" w:lineRule="exact"/>
                              <w:rPr>
                                <w:rFonts w:ascii="標楷體" w:eastAsia="標楷體" w:hAnsi="標楷體"/>
                                <w:sz w:val="20"/>
                                <w:szCs w:val="20"/>
                              </w:rPr>
                            </w:pPr>
                            <w:r w:rsidRPr="00770DB6">
                              <w:rPr>
                                <w:rFonts w:ascii="標楷體" w:eastAsia="標楷體" w:hAnsi="標楷體" w:hint="eastAsia"/>
                                <w:sz w:val="20"/>
                                <w:szCs w:val="20"/>
                              </w:rPr>
                              <w:t>論質方案</w:t>
                            </w:r>
                          </w:p>
                        </w:tc>
                        <w:tc>
                          <w:tcPr>
                            <w:tcW w:w="794" w:type="dxa"/>
                            <w:tcBorders>
                              <w:top w:val="single" w:sz="4" w:space="0" w:color="auto"/>
                              <w:left w:val="nil"/>
                              <w:bottom w:val="single" w:sz="4" w:space="0" w:color="auto"/>
                              <w:right w:val="single" w:sz="4" w:space="0" w:color="auto"/>
                            </w:tcBorders>
                            <w:vAlign w:val="center"/>
                            <w:hideMark/>
                          </w:tcPr>
                          <w:p w14:paraId="77296C6F" w14:textId="77777777" w:rsidR="00FD51E6" w:rsidRPr="00770DB6" w:rsidRDefault="00FD51E6" w:rsidP="003450FC">
                            <w:pPr>
                              <w:spacing w:line="240" w:lineRule="exact"/>
                              <w:jc w:val="center"/>
                              <w:rPr>
                                <w:rFonts w:ascii="標楷體" w:eastAsia="標楷體" w:hAnsi="標楷體"/>
                                <w:sz w:val="20"/>
                                <w:szCs w:val="20"/>
                              </w:rPr>
                            </w:pPr>
                            <w:r w:rsidRPr="00770DB6">
                              <w:rPr>
                                <w:rFonts w:ascii="標楷體" w:eastAsia="標楷體" w:hAnsi="標楷體" w:hint="eastAsia"/>
                                <w:sz w:val="20"/>
                                <w:szCs w:val="20"/>
                              </w:rPr>
                              <w:t>112</w:t>
                            </w:r>
                          </w:p>
                        </w:tc>
                        <w:tc>
                          <w:tcPr>
                            <w:tcW w:w="794" w:type="dxa"/>
                            <w:tcBorders>
                              <w:top w:val="single" w:sz="4" w:space="0" w:color="auto"/>
                              <w:left w:val="nil"/>
                              <w:bottom w:val="single" w:sz="4" w:space="0" w:color="auto"/>
                              <w:right w:val="single" w:sz="4" w:space="0" w:color="auto"/>
                            </w:tcBorders>
                            <w:vAlign w:val="center"/>
                            <w:hideMark/>
                          </w:tcPr>
                          <w:p w14:paraId="0B31E7AC" w14:textId="77777777" w:rsidR="00FD51E6" w:rsidRPr="00770DB6" w:rsidRDefault="00FD51E6" w:rsidP="003450FC">
                            <w:pPr>
                              <w:spacing w:line="240" w:lineRule="exact"/>
                              <w:jc w:val="center"/>
                              <w:rPr>
                                <w:rFonts w:ascii="標楷體" w:eastAsia="標楷體" w:hAnsi="標楷體"/>
                                <w:sz w:val="20"/>
                                <w:szCs w:val="20"/>
                              </w:rPr>
                            </w:pPr>
                            <w:r w:rsidRPr="00770DB6">
                              <w:rPr>
                                <w:rFonts w:ascii="標楷體" w:eastAsia="標楷體" w:hAnsi="標楷體" w:hint="eastAsia"/>
                                <w:sz w:val="20"/>
                                <w:szCs w:val="20"/>
                              </w:rPr>
                              <w:t>113</w:t>
                            </w:r>
                          </w:p>
                        </w:tc>
                        <w:tc>
                          <w:tcPr>
                            <w:tcW w:w="794" w:type="dxa"/>
                            <w:tcBorders>
                              <w:top w:val="single" w:sz="4" w:space="0" w:color="auto"/>
                              <w:left w:val="nil"/>
                              <w:bottom w:val="single" w:sz="4" w:space="0" w:color="auto"/>
                              <w:right w:val="single" w:sz="4" w:space="0" w:color="auto"/>
                            </w:tcBorders>
                            <w:vAlign w:val="center"/>
                            <w:hideMark/>
                          </w:tcPr>
                          <w:p w14:paraId="14917167" w14:textId="77777777" w:rsidR="00FD51E6" w:rsidRPr="00770DB6" w:rsidRDefault="00FD51E6" w:rsidP="003450FC">
                            <w:pPr>
                              <w:spacing w:line="240" w:lineRule="exact"/>
                              <w:jc w:val="center"/>
                              <w:rPr>
                                <w:rFonts w:ascii="標楷體" w:eastAsia="標楷體" w:hAnsi="標楷體"/>
                                <w:sz w:val="20"/>
                                <w:szCs w:val="20"/>
                              </w:rPr>
                            </w:pPr>
                            <w:r w:rsidRPr="00770DB6">
                              <w:rPr>
                                <w:rFonts w:ascii="標楷體" w:eastAsia="標楷體" w:hAnsi="標楷體" w:hint="eastAsia"/>
                                <w:sz w:val="20"/>
                                <w:szCs w:val="20"/>
                              </w:rPr>
                              <w:t>114</w:t>
                            </w:r>
                          </w:p>
                        </w:tc>
                      </w:tr>
                      <w:tr w:rsidR="00FD51E6" w:rsidRPr="00770DB6" w14:paraId="77DD31B0"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6B919DF"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氣喘</w:t>
                            </w:r>
                          </w:p>
                        </w:tc>
                        <w:tc>
                          <w:tcPr>
                            <w:tcW w:w="794" w:type="dxa"/>
                            <w:tcBorders>
                              <w:top w:val="nil"/>
                              <w:left w:val="nil"/>
                              <w:bottom w:val="single" w:sz="4" w:space="0" w:color="auto"/>
                              <w:right w:val="single" w:sz="4" w:space="0" w:color="auto"/>
                            </w:tcBorders>
                            <w:noWrap/>
                            <w:vAlign w:val="center"/>
                            <w:hideMark/>
                          </w:tcPr>
                          <w:p w14:paraId="36226611"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38.1</w:t>
                            </w:r>
                          </w:p>
                        </w:tc>
                        <w:tc>
                          <w:tcPr>
                            <w:tcW w:w="794" w:type="dxa"/>
                            <w:tcBorders>
                              <w:top w:val="nil"/>
                              <w:left w:val="nil"/>
                              <w:bottom w:val="single" w:sz="4" w:space="0" w:color="auto"/>
                              <w:right w:val="single" w:sz="4" w:space="0" w:color="auto"/>
                            </w:tcBorders>
                            <w:noWrap/>
                            <w:vAlign w:val="center"/>
                            <w:hideMark/>
                          </w:tcPr>
                          <w:p w14:paraId="60B25CEF"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36.7</w:t>
                            </w:r>
                          </w:p>
                        </w:tc>
                        <w:tc>
                          <w:tcPr>
                            <w:tcW w:w="794" w:type="dxa"/>
                            <w:tcBorders>
                              <w:top w:val="nil"/>
                              <w:left w:val="nil"/>
                              <w:bottom w:val="single" w:sz="4" w:space="0" w:color="auto"/>
                              <w:right w:val="single" w:sz="4" w:space="0" w:color="auto"/>
                            </w:tcBorders>
                            <w:noWrap/>
                            <w:vAlign w:val="center"/>
                            <w:hideMark/>
                          </w:tcPr>
                          <w:p w14:paraId="35A436F5"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shd w:val="pct15" w:color="auto" w:fill="FFFFFF"/>
                              </w:rPr>
                              <w:t>36.1</w:t>
                            </w:r>
                          </w:p>
                        </w:tc>
                      </w:tr>
                      <w:tr w:rsidR="00FD51E6" w:rsidRPr="00770DB6" w14:paraId="1FCB4B50"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BC82139"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糖尿病</w:t>
                            </w:r>
                          </w:p>
                        </w:tc>
                        <w:tc>
                          <w:tcPr>
                            <w:tcW w:w="794" w:type="dxa"/>
                            <w:tcBorders>
                              <w:top w:val="nil"/>
                              <w:left w:val="nil"/>
                              <w:bottom w:val="single" w:sz="4" w:space="0" w:color="auto"/>
                              <w:right w:val="single" w:sz="4" w:space="0" w:color="auto"/>
                            </w:tcBorders>
                            <w:noWrap/>
                            <w:vAlign w:val="center"/>
                            <w:hideMark/>
                          </w:tcPr>
                          <w:p w14:paraId="47AF845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62.4</w:t>
                            </w:r>
                          </w:p>
                        </w:tc>
                        <w:tc>
                          <w:tcPr>
                            <w:tcW w:w="794" w:type="dxa"/>
                            <w:tcBorders>
                              <w:top w:val="nil"/>
                              <w:left w:val="nil"/>
                              <w:bottom w:val="single" w:sz="4" w:space="0" w:color="auto"/>
                              <w:right w:val="single" w:sz="4" w:space="0" w:color="auto"/>
                            </w:tcBorders>
                            <w:noWrap/>
                            <w:vAlign w:val="center"/>
                            <w:hideMark/>
                          </w:tcPr>
                          <w:p w14:paraId="3373CD9A"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64.0</w:t>
                            </w:r>
                          </w:p>
                        </w:tc>
                        <w:tc>
                          <w:tcPr>
                            <w:tcW w:w="794" w:type="dxa"/>
                            <w:tcBorders>
                              <w:top w:val="nil"/>
                              <w:left w:val="nil"/>
                              <w:bottom w:val="single" w:sz="4" w:space="0" w:color="auto"/>
                              <w:right w:val="single" w:sz="4" w:space="0" w:color="auto"/>
                            </w:tcBorders>
                            <w:noWrap/>
                            <w:vAlign w:val="center"/>
                            <w:hideMark/>
                          </w:tcPr>
                          <w:p w14:paraId="7CA34CEE"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64.7</w:t>
                            </w:r>
                          </w:p>
                        </w:tc>
                      </w:tr>
                      <w:tr w:rsidR="00FD51E6" w:rsidRPr="00770DB6" w14:paraId="556243F4"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5514F17C"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乳癌</w:t>
                            </w:r>
                          </w:p>
                        </w:tc>
                        <w:tc>
                          <w:tcPr>
                            <w:tcW w:w="794" w:type="dxa"/>
                            <w:tcBorders>
                              <w:top w:val="nil"/>
                              <w:left w:val="nil"/>
                              <w:bottom w:val="single" w:sz="4" w:space="0" w:color="auto"/>
                              <w:right w:val="single" w:sz="4" w:space="0" w:color="auto"/>
                            </w:tcBorders>
                            <w:noWrap/>
                            <w:vAlign w:val="center"/>
                            <w:hideMark/>
                          </w:tcPr>
                          <w:p w14:paraId="1F810F7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6.1</w:t>
                            </w:r>
                          </w:p>
                        </w:tc>
                        <w:tc>
                          <w:tcPr>
                            <w:tcW w:w="794" w:type="dxa"/>
                            <w:tcBorders>
                              <w:top w:val="nil"/>
                              <w:left w:val="nil"/>
                              <w:bottom w:val="single" w:sz="4" w:space="0" w:color="auto"/>
                              <w:right w:val="single" w:sz="4" w:space="0" w:color="auto"/>
                            </w:tcBorders>
                            <w:noWrap/>
                            <w:vAlign w:val="center"/>
                            <w:hideMark/>
                          </w:tcPr>
                          <w:p w14:paraId="353A436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5.8</w:t>
                            </w:r>
                          </w:p>
                        </w:tc>
                        <w:tc>
                          <w:tcPr>
                            <w:tcW w:w="794" w:type="dxa"/>
                            <w:tcBorders>
                              <w:top w:val="nil"/>
                              <w:left w:val="nil"/>
                              <w:bottom w:val="single" w:sz="4" w:space="0" w:color="auto"/>
                              <w:right w:val="single" w:sz="4" w:space="0" w:color="auto"/>
                            </w:tcBorders>
                            <w:noWrap/>
                            <w:vAlign w:val="center"/>
                            <w:hideMark/>
                          </w:tcPr>
                          <w:p w14:paraId="1737DE9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shd w:val="pct15" w:color="auto" w:fill="FFFFFF"/>
                              </w:rPr>
                              <w:t>5.8</w:t>
                            </w:r>
                          </w:p>
                        </w:tc>
                      </w:tr>
                      <w:tr w:rsidR="00FD51E6" w:rsidRPr="00770DB6" w14:paraId="7851FF6B"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35D5DB55"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思覺失調</w:t>
                            </w:r>
                          </w:p>
                        </w:tc>
                        <w:tc>
                          <w:tcPr>
                            <w:tcW w:w="794" w:type="dxa"/>
                            <w:tcBorders>
                              <w:top w:val="nil"/>
                              <w:left w:val="nil"/>
                              <w:bottom w:val="single" w:sz="4" w:space="0" w:color="auto"/>
                              <w:right w:val="single" w:sz="4" w:space="0" w:color="auto"/>
                            </w:tcBorders>
                            <w:noWrap/>
                            <w:vAlign w:val="center"/>
                            <w:hideMark/>
                          </w:tcPr>
                          <w:p w14:paraId="684C10B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61.6</w:t>
                            </w:r>
                          </w:p>
                        </w:tc>
                        <w:tc>
                          <w:tcPr>
                            <w:tcW w:w="794" w:type="dxa"/>
                            <w:tcBorders>
                              <w:top w:val="nil"/>
                              <w:left w:val="nil"/>
                              <w:bottom w:val="single" w:sz="4" w:space="0" w:color="auto"/>
                              <w:right w:val="single" w:sz="4" w:space="0" w:color="auto"/>
                            </w:tcBorders>
                            <w:noWrap/>
                            <w:vAlign w:val="center"/>
                            <w:hideMark/>
                          </w:tcPr>
                          <w:p w14:paraId="492AF9BA"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62.1</w:t>
                            </w:r>
                          </w:p>
                        </w:tc>
                        <w:tc>
                          <w:tcPr>
                            <w:tcW w:w="794" w:type="dxa"/>
                            <w:tcBorders>
                              <w:top w:val="nil"/>
                              <w:left w:val="nil"/>
                              <w:bottom w:val="single" w:sz="4" w:space="0" w:color="auto"/>
                              <w:right w:val="single" w:sz="4" w:space="0" w:color="auto"/>
                            </w:tcBorders>
                            <w:noWrap/>
                            <w:vAlign w:val="center"/>
                            <w:hideMark/>
                          </w:tcPr>
                          <w:p w14:paraId="10BB30F6"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62.4</w:t>
                            </w:r>
                          </w:p>
                        </w:tc>
                      </w:tr>
                      <w:tr w:rsidR="00FD51E6" w:rsidRPr="00770DB6" w14:paraId="76B136D8"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CC09298"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B型C型肝炎帶原者</w:t>
                            </w:r>
                          </w:p>
                        </w:tc>
                        <w:tc>
                          <w:tcPr>
                            <w:tcW w:w="794" w:type="dxa"/>
                            <w:tcBorders>
                              <w:top w:val="nil"/>
                              <w:left w:val="nil"/>
                              <w:bottom w:val="single" w:sz="4" w:space="0" w:color="auto"/>
                              <w:right w:val="single" w:sz="4" w:space="0" w:color="auto"/>
                            </w:tcBorders>
                            <w:noWrap/>
                            <w:vAlign w:val="center"/>
                            <w:hideMark/>
                          </w:tcPr>
                          <w:p w14:paraId="02C4D2A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46.4</w:t>
                            </w:r>
                          </w:p>
                        </w:tc>
                        <w:tc>
                          <w:tcPr>
                            <w:tcW w:w="794" w:type="dxa"/>
                            <w:tcBorders>
                              <w:top w:val="nil"/>
                              <w:left w:val="nil"/>
                              <w:bottom w:val="single" w:sz="4" w:space="0" w:color="auto"/>
                              <w:right w:val="single" w:sz="4" w:space="0" w:color="auto"/>
                            </w:tcBorders>
                            <w:noWrap/>
                            <w:vAlign w:val="center"/>
                            <w:hideMark/>
                          </w:tcPr>
                          <w:p w14:paraId="53D0EBE9"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48.1</w:t>
                            </w:r>
                          </w:p>
                        </w:tc>
                        <w:tc>
                          <w:tcPr>
                            <w:tcW w:w="794" w:type="dxa"/>
                            <w:tcBorders>
                              <w:top w:val="nil"/>
                              <w:left w:val="nil"/>
                              <w:bottom w:val="single" w:sz="4" w:space="0" w:color="auto"/>
                              <w:right w:val="single" w:sz="4" w:space="0" w:color="auto"/>
                            </w:tcBorders>
                            <w:noWrap/>
                            <w:vAlign w:val="center"/>
                            <w:hideMark/>
                          </w:tcPr>
                          <w:p w14:paraId="10F734C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48.3</w:t>
                            </w:r>
                          </w:p>
                        </w:tc>
                      </w:tr>
                      <w:tr w:rsidR="00FD51E6" w:rsidRPr="00770DB6" w14:paraId="45DE2F84"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0791FA47"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初期慢性腎臟病</w:t>
                            </w:r>
                          </w:p>
                        </w:tc>
                        <w:tc>
                          <w:tcPr>
                            <w:tcW w:w="794" w:type="dxa"/>
                            <w:tcBorders>
                              <w:top w:val="nil"/>
                              <w:left w:val="nil"/>
                              <w:bottom w:val="single" w:sz="4" w:space="0" w:color="auto"/>
                              <w:right w:val="single" w:sz="4" w:space="0" w:color="auto"/>
                            </w:tcBorders>
                            <w:noWrap/>
                            <w:vAlign w:val="center"/>
                            <w:hideMark/>
                          </w:tcPr>
                          <w:p w14:paraId="063B286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36.4</w:t>
                            </w:r>
                          </w:p>
                        </w:tc>
                        <w:tc>
                          <w:tcPr>
                            <w:tcW w:w="794" w:type="dxa"/>
                            <w:tcBorders>
                              <w:top w:val="nil"/>
                              <w:left w:val="nil"/>
                              <w:bottom w:val="single" w:sz="4" w:space="0" w:color="auto"/>
                              <w:right w:val="single" w:sz="4" w:space="0" w:color="auto"/>
                            </w:tcBorders>
                            <w:noWrap/>
                            <w:vAlign w:val="center"/>
                            <w:hideMark/>
                          </w:tcPr>
                          <w:p w14:paraId="26888F4B"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38.1</w:t>
                            </w:r>
                          </w:p>
                        </w:tc>
                        <w:tc>
                          <w:tcPr>
                            <w:tcW w:w="794" w:type="dxa"/>
                            <w:tcBorders>
                              <w:top w:val="nil"/>
                              <w:left w:val="nil"/>
                              <w:bottom w:val="single" w:sz="4" w:space="0" w:color="auto"/>
                              <w:right w:val="single" w:sz="4" w:space="0" w:color="auto"/>
                            </w:tcBorders>
                            <w:noWrap/>
                            <w:vAlign w:val="center"/>
                            <w:hideMark/>
                          </w:tcPr>
                          <w:p w14:paraId="5FEDEE5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40.8</w:t>
                            </w:r>
                          </w:p>
                        </w:tc>
                      </w:tr>
                      <w:tr w:rsidR="00FD51E6" w:rsidRPr="00770DB6" w14:paraId="3040FF07"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77D1AA99"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孕產婦全程照護</w:t>
                            </w:r>
                          </w:p>
                        </w:tc>
                        <w:tc>
                          <w:tcPr>
                            <w:tcW w:w="794" w:type="dxa"/>
                            <w:tcBorders>
                              <w:top w:val="nil"/>
                              <w:left w:val="nil"/>
                              <w:bottom w:val="single" w:sz="4" w:space="0" w:color="auto"/>
                              <w:right w:val="single" w:sz="4" w:space="0" w:color="auto"/>
                            </w:tcBorders>
                            <w:noWrap/>
                            <w:vAlign w:val="center"/>
                            <w:hideMark/>
                          </w:tcPr>
                          <w:p w14:paraId="418AB302"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31.7</w:t>
                            </w:r>
                          </w:p>
                        </w:tc>
                        <w:tc>
                          <w:tcPr>
                            <w:tcW w:w="794" w:type="dxa"/>
                            <w:tcBorders>
                              <w:top w:val="nil"/>
                              <w:left w:val="nil"/>
                              <w:bottom w:val="single" w:sz="4" w:space="0" w:color="auto"/>
                              <w:right w:val="single" w:sz="4" w:space="0" w:color="auto"/>
                            </w:tcBorders>
                            <w:noWrap/>
                            <w:vAlign w:val="center"/>
                            <w:hideMark/>
                          </w:tcPr>
                          <w:p w14:paraId="01021E49"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33.3</w:t>
                            </w:r>
                          </w:p>
                        </w:tc>
                        <w:tc>
                          <w:tcPr>
                            <w:tcW w:w="794" w:type="dxa"/>
                            <w:tcBorders>
                              <w:top w:val="nil"/>
                              <w:left w:val="nil"/>
                              <w:bottom w:val="single" w:sz="4" w:space="0" w:color="auto"/>
                              <w:right w:val="single" w:sz="4" w:space="0" w:color="auto"/>
                            </w:tcBorders>
                            <w:noWrap/>
                            <w:vAlign w:val="center"/>
                            <w:hideMark/>
                          </w:tcPr>
                          <w:p w14:paraId="49507FBB"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34.6</w:t>
                            </w:r>
                          </w:p>
                        </w:tc>
                      </w:tr>
                      <w:tr w:rsidR="00FD51E6" w:rsidRPr="00770DB6" w14:paraId="42509472"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48848988"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早期療育</w:t>
                            </w:r>
                          </w:p>
                        </w:tc>
                        <w:tc>
                          <w:tcPr>
                            <w:tcW w:w="794" w:type="dxa"/>
                            <w:tcBorders>
                              <w:top w:val="nil"/>
                              <w:left w:val="nil"/>
                              <w:bottom w:val="single" w:sz="4" w:space="0" w:color="auto"/>
                              <w:right w:val="single" w:sz="4" w:space="0" w:color="auto"/>
                            </w:tcBorders>
                            <w:noWrap/>
                            <w:vAlign w:val="center"/>
                            <w:hideMark/>
                          </w:tcPr>
                          <w:p w14:paraId="1F9D0604"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13.4</w:t>
                            </w:r>
                          </w:p>
                        </w:tc>
                        <w:tc>
                          <w:tcPr>
                            <w:tcW w:w="794" w:type="dxa"/>
                            <w:tcBorders>
                              <w:top w:val="nil"/>
                              <w:left w:val="nil"/>
                              <w:bottom w:val="single" w:sz="4" w:space="0" w:color="auto"/>
                              <w:right w:val="single" w:sz="4" w:space="0" w:color="auto"/>
                            </w:tcBorders>
                            <w:noWrap/>
                            <w:vAlign w:val="center"/>
                            <w:hideMark/>
                          </w:tcPr>
                          <w:p w14:paraId="65FC9899"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13.3</w:t>
                            </w:r>
                          </w:p>
                        </w:tc>
                        <w:tc>
                          <w:tcPr>
                            <w:tcW w:w="794" w:type="dxa"/>
                            <w:tcBorders>
                              <w:top w:val="nil"/>
                              <w:left w:val="nil"/>
                              <w:bottom w:val="single" w:sz="4" w:space="0" w:color="auto"/>
                              <w:right w:val="single" w:sz="4" w:space="0" w:color="auto"/>
                            </w:tcBorders>
                            <w:noWrap/>
                            <w:vAlign w:val="center"/>
                            <w:hideMark/>
                          </w:tcPr>
                          <w:p w14:paraId="26771AEC"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13.7</w:t>
                            </w:r>
                          </w:p>
                        </w:tc>
                      </w:tr>
                      <w:tr w:rsidR="00FD51E6" w:rsidRPr="00770DB6" w14:paraId="52D5327A" w14:textId="77777777" w:rsidTr="00076EC4">
                        <w:trPr>
                          <w:trHeight w:val="369"/>
                        </w:trPr>
                        <w:tc>
                          <w:tcPr>
                            <w:tcW w:w="1871" w:type="dxa"/>
                            <w:tcBorders>
                              <w:top w:val="nil"/>
                              <w:left w:val="single" w:sz="4" w:space="0" w:color="auto"/>
                              <w:bottom w:val="single" w:sz="4" w:space="0" w:color="auto"/>
                              <w:right w:val="single" w:sz="4" w:space="0" w:color="auto"/>
                            </w:tcBorders>
                            <w:vAlign w:val="center"/>
                            <w:hideMark/>
                          </w:tcPr>
                          <w:p w14:paraId="285BA28C"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慢性阻塞性肺病</w:t>
                            </w:r>
                          </w:p>
                        </w:tc>
                        <w:tc>
                          <w:tcPr>
                            <w:tcW w:w="794" w:type="dxa"/>
                            <w:tcBorders>
                              <w:top w:val="nil"/>
                              <w:left w:val="nil"/>
                              <w:bottom w:val="single" w:sz="4" w:space="0" w:color="auto"/>
                              <w:right w:val="single" w:sz="4" w:space="0" w:color="auto"/>
                            </w:tcBorders>
                            <w:noWrap/>
                            <w:vAlign w:val="center"/>
                            <w:hideMark/>
                          </w:tcPr>
                          <w:p w14:paraId="5E779320"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44.5</w:t>
                            </w:r>
                          </w:p>
                        </w:tc>
                        <w:tc>
                          <w:tcPr>
                            <w:tcW w:w="794" w:type="dxa"/>
                            <w:tcBorders>
                              <w:top w:val="nil"/>
                              <w:left w:val="nil"/>
                              <w:bottom w:val="single" w:sz="4" w:space="0" w:color="auto"/>
                              <w:right w:val="single" w:sz="4" w:space="0" w:color="auto"/>
                            </w:tcBorders>
                            <w:noWrap/>
                            <w:vAlign w:val="center"/>
                            <w:hideMark/>
                          </w:tcPr>
                          <w:p w14:paraId="2C540A4B"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42.2</w:t>
                            </w:r>
                          </w:p>
                        </w:tc>
                        <w:tc>
                          <w:tcPr>
                            <w:tcW w:w="794" w:type="dxa"/>
                            <w:tcBorders>
                              <w:top w:val="nil"/>
                              <w:left w:val="nil"/>
                              <w:bottom w:val="single" w:sz="4" w:space="0" w:color="auto"/>
                              <w:right w:val="single" w:sz="4" w:space="0" w:color="auto"/>
                            </w:tcBorders>
                            <w:noWrap/>
                            <w:vAlign w:val="center"/>
                            <w:hideMark/>
                          </w:tcPr>
                          <w:p w14:paraId="2F1BA6A7"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shd w:val="pct15" w:color="auto" w:fill="FFFFFF"/>
                              </w:rPr>
                              <w:t>42.3</w:t>
                            </w:r>
                          </w:p>
                        </w:tc>
                      </w:tr>
                      <w:tr w:rsidR="00FD51E6" w:rsidRPr="00770DB6" w14:paraId="36675566" w14:textId="77777777" w:rsidTr="004068F5">
                        <w:trPr>
                          <w:trHeight w:val="340"/>
                        </w:trPr>
                        <w:tc>
                          <w:tcPr>
                            <w:tcW w:w="1871" w:type="dxa"/>
                            <w:tcBorders>
                              <w:top w:val="nil"/>
                              <w:left w:val="single" w:sz="4" w:space="0" w:color="auto"/>
                              <w:bottom w:val="single" w:sz="4" w:space="0" w:color="auto"/>
                              <w:right w:val="single" w:sz="4" w:space="0" w:color="auto"/>
                            </w:tcBorders>
                            <w:vAlign w:val="center"/>
                            <w:hideMark/>
                          </w:tcPr>
                          <w:p w14:paraId="57FE5C0B" w14:textId="77777777" w:rsidR="00FD51E6" w:rsidRPr="005E3EFF" w:rsidRDefault="00FD51E6" w:rsidP="003450FC">
                            <w:pPr>
                              <w:spacing w:line="240" w:lineRule="exact"/>
                              <w:jc w:val="both"/>
                              <w:rPr>
                                <w:rFonts w:ascii="標楷體" w:eastAsia="標楷體" w:hAnsi="標楷體"/>
                                <w:sz w:val="20"/>
                                <w:szCs w:val="20"/>
                              </w:rPr>
                            </w:pPr>
                            <w:r w:rsidRPr="005E3EFF">
                              <w:rPr>
                                <w:rFonts w:ascii="標楷體" w:eastAsia="標楷體" w:hAnsi="標楷體" w:hint="eastAsia"/>
                                <w:sz w:val="20"/>
                                <w:szCs w:val="20"/>
                              </w:rPr>
                              <w:t>糖尿病合併初期慢性腎臟病</w:t>
                            </w:r>
                          </w:p>
                        </w:tc>
                        <w:tc>
                          <w:tcPr>
                            <w:tcW w:w="794" w:type="dxa"/>
                            <w:tcBorders>
                              <w:top w:val="nil"/>
                              <w:left w:val="nil"/>
                              <w:bottom w:val="single" w:sz="4" w:space="0" w:color="auto"/>
                              <w:right w:val="single" w:sz="4" w:space="0" w:color="auto"/>
                            </w:tcBorders>
                            <w:noWrap/>
                            <w:vAlign w:val="center"/>
                            <w:hideMark/>
                          </w:tcPr>
                          <w:p w14:paraId="541DF726"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60.4</w:t>
                            </w:r>
                          </w:p>
                        </w:tc>
                        <w:tc>
                          <w:tcPr>
                            <w:tcW w:w="794" w:type="dxa"/>
                            <w:tcBorders>
                              <w:top w:val="nil"/>
                              <w:left w:val="nil"/>
                              <w:bottom w:val="single" w:sz="4" w:space="0" w:color="auto"/>
                              <w:right w:val="single" w:sz="4" w:space="0" w:color="auto"/>
                            </w:tcBorders>
                            <w:noWrap/>
                            <w:vAlign w:val="center"/>
                            <w:hideMark/>
                          </w:tcPr>
                          <w:p w14:paraId="1C9F4EE3"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74.7</w:t>
                            </w:r>
                          </w:p>
                        </w:tc>
                        <w:tc>
                          <w:tcPr>
                            <w:tcW w:w="794" w:type="dxa"/>
                            <w:tcBorders>
                              <w:top w:val="nil"/>
                              <w:left w:val="nil"/>
                              <w:bottom w:val="single" w:sz="4" w:space="0" w:color="auto"/>
                              <w:right w:val="single" w:sz="4" w:space="0" w:color="auto"/>
                            </w:tcBorders>
                            <w:noWrap/>
                            <w:vAlign w:val="center"/>
                            <w:hideMark/>
                          </w:tcPr>
                          <w:p w14:paraId="26A22B64" w14:textId="77777777" w:rsidR="00FD51E6" w:rsidRPr="00770DB6" w:rsidRDefault="00FD51E6" w:rsidP="003450FC">
                            <w:pPr>
                              <w:spacing w:line="240" w:lineRule="exact"/>
                              <w:ind w:rightChars="10" w:right="24"/>
                              <w:jc w:val="right"/>
                              <w:rPr>
                                <w:rFonts w:ascii="標楷體" w:eastAsia="標楷體" w:hAnsi="標楷體"/>
                                <w:sz w:val="20"/>
                                <w:szCs w:val="20"/>
                              </w:rPr>
                            </w:pPr>
                            <w:r w:rsidRPr="00770DB6">
                              <w:rPr>
                                <w:rFonts w:ascii="標楷體" w:eastAsia="標楷體" w:hAnsi="標楷體" w:hint="eastAsia"/>
                                <w:sz w:val="20"/>
                                <w:szCs w:val="20"/>
                              </w:rPr>
                              <w:t>77.7</w:t>
                            </w:r>
                          </w:p>
                        </w:tc>
                      </w:tr>
                    </w:tbl>
                    <w:p w14:paraId="3543FB21" w14:textId="77777777" w:rsidR="00FD51E6" w:rsidRPr="00A633D0" w:rsidRDefault="00FD51E6" w:rsidP="004068F5">
                      <w:pPr>
                        <w:spacing w:line="240" w:lineRule="exact"/>
                        <w:ind w:left="545" w:rightChars="34" w:right="82" w:hangingChars="303" w:hanging="545"/>
                        <w:jc w:val="both"/>
                        <w:rPr>
                          <w:rFonts w:ascii="標楷體" w:eastAsia="標楷體" w:hAnsi="標楷體"/>
                          <w:sz w:val="18"/>
                          <w:szCs w:val="18"/>
                        </w:rPr>
                      </w:pPr>
                      <w:r>
                        <w:rPr>
                          <w:rFonts w:ascii="標楷體" w:eastAsia="標楷體" w:hAnsi="標楷體" w:hint="eastAsia"/>
                          <w:sz w:val="18"/>
                        </w:rPr>
                        <w:t>註：1</w:t>
                      </w:r>
                      <w:r>
                        <w:rPr>
                          <w:rFonts w:ascii="標楷體" w:eastAsia="標楷體" w:hAnsi="標楷體"/>
                          <w:sz w:val="18"/>
                        </w:rPr>
                        <w:t>.</w:t>
                      </w:r>
                      <w:r w:rsidRPr="00A633D0">
                        <w:rPr>
                          <w:rFonts w:ascii="標楷體" w:eastAsia="標楷體" w:hAnsi="標楷體" w:hint="eastAsia"/>
                          <w:sz w:val="18"/>
                          <w:szCs w:val="18"/>
                        </w:rPr>
                        <w:t>以灰底標註114年度方案照護率分別較112年或113年起下滑者。</w:t>
                      </w:r>
                    </w:p>
                    <w:p w14:paraId="0C05E8FF" w14:textId="79FB00D5" w:rsidR="00FD51E6" w:rsidRDefault="00FD51E6" w:rsidP="004068F5">
                      <w:pPr>
                        <w:spacing w:line="240" w:lineRule="exact"/>
                        <w:ind w:left="490" w:rightChars="20" w:right="48" w:hangingChars="272" w:hanging="490"/>
                        <w:jc w:val="both"/>
                      </w:pPr>
                      <w:r w:rsidRPr="00A633D0">
                        <w:rPr>
                          <w:rFonts w:ascii="標楷體" w:eastAsia="標楷體" w:hAnsi="標楷體" w:hint="eastAsia"/>
                          <w:sz w:val="18"/>
                          <w:szCs w:val="18"/>
                        </w:rPr>
                        <w:t xml:space="preserve">　　</w:t>
                      </w:r>
                      <w:r>
                        <w:rPr>
                          <w:rFonts w:ascii="標楷體" w:eastAsia="標楷體" w:hAnsi="標楷體" w:hint="eastAsia"/>
                          <w:sz w:val="18"/>
                          <w:szCs w:val="18"/>
                        </w:rPr>
                        <w:t>2</w:t>
                      </w:r>
                      <w:r w:rsidRPr="00A633D0">
                        <w:rPr>
                          <w:rFonts w:ascii="標楷體" w:eastAsia="標楷體" w:hAnsi="標楷體" w:hint="eastAsia"/>
                          <w:sz w:val="18"/>
                          <w:szCs w:val="18"/>
                        </w:rPr>
                        <w:t>.資料來源：整理自健保署提供資料</w:t>
                      </w:r>
                      <w:r w:rsidR="00C11390" w:rsidRPr="00A633D0">
                        <w:rPr>
                          <w:rFonts w:ascii="標楷體" w:eastAsia="標楷體" w:hAnsi="標楷體" w:hint="eastAsia"/>
                          <w:sz w:val="18"/>
                          <w:szCs w:val="18"/>
                        </w:rPr>
                        <w:t>。</w:t>
                      </w:r>
                    </w:p>
                  </w:txbxContent>
                </v:textbox>
                <w10:wrap type="square"/>
              </v:shape>
            </w:pict>
          </mc:Fallback>
        </mc:AlternateContent>
      </w:r>
      <w:r w:rsidRPr="009F64D4">
        <w:rPr>
          <w:rFonts w:ascii="標楷體" w:hAnsi="標楷體" w:hint="eastAsia"/>
          <w:b w:val="0"/>
          <w:bCs w:val="0"/>
          <w:sz w:val="24"/>
          <w:szCs w:val="24"/>
        </w:rPr>
        <w:t>果，114年度各類方案照護率介於5.8％至77.7％間，方案間照護率</w:t>
      </w:r>
      <w:r w:rsidR="00FD51E6">
        <w:rPr>
          <w:rFonts w:ascii="標楷體" w:hAnsi="標楷體" w:hint="eastAsia"/>
          <w:b w:val="0"/>
          <w:bCs w:val="0"/>
          <w:sz w:val="24"/>
          <w:szCs w:val="24"/>
        </w:rPr>
        <w:t>存有</w:t>
      </w:r>
      <w:r w:rsidRPr="009F64D4">
        <w:rPr>
          <w:rFonts w:ascii="標楷體" w:hAnsi="標楷體" w:hint="eastAsia"/>
          <w:b w:val="0"/>
          <w:bCs w:val="0"/>
          <w:sz w:val="24"/>
          <w:szCs w:val="24"/>
        </w:rPr>
        <w:t>落差，</w:t>
      </w:r>
      <w:r w:rsidR="00FD51E6">
        <w:rPr>
          <w:rFonts w:ascii="標楷體" w:hAnsi="標楷體" w:hint="eastAsia"/>
          <w:b w:val="0"/>
          <w:bCs w:val="0"/>
          <w:sz w:val="24"/>
          <w:szCs w:val="24"/>
        </w:rPr>
        <w:t>其中</w:t>
      </w:r>
      <w:r w:rsidRPr="009F64D4">
        <w:rPr>
          <w:rFonts w:ascii="標楷體" w:hAnsi="標楷體" w:hint="eastAsia"/>
          <w:b w:val="0"/>
          <w:bCs w:val="0"/>
          <w:sz w:val="24"/>
          <w:szCs w:val="24"/>
        </w:rPr>
        <w:t>氣喘等3項方案</w:t>
      </w:r>
      <w:r w:rsidR="00FD51E6" w:rsidRPr="009F64D4">
        <w:rPr>
          <w:rFonts w:ascii="標楷體" w:hAnsi="標楷體" w:hint="eastAsia"/>
          <w:b w:val="0"/>
          <w:bCs w:val="0"/>
          <w:sz w:val="24"/>
          <w:szCs w:val="24"/>
        </w:rPr>
        <w:t>照護率</w:t>
      </w:r>
      <w:r w:rsidR="00FD51E6">
        <w:rPr>
          <w:rFonts w:ascii="標楷體" w:hAnsi="標楷體" w:hint="eastAsia"/>
          <w:b w:val="0"/>
          <w:bCs w:val="0"/>
          <w:sz w:val="24"/>
          <w:szCs w:val="24"/>
        </w:rPr>
        <w:t>較</w:t>
      </w:r>
      <w:r w:rsidR="00FD51E6" w:rsidRPr="009F64D4">
        <w:rPr>
          <w:rFonts w:ascii="標楷體" w:hAnsi="標楷體" w:hint="eastAsia"/>
          <w:b w:val="0"/>
          <w:bCs w:val="0"/>
          <w:sz w:val="24"/>
          <w:szCs w:val="24"/>
        </w:rPr>
        <w:t>112年</w:t>
      </w:r>
      <w:r w:rsidR="00FD51E6">
        <w:rPr>
          <w:rFonts w:ascii="標楷體" w:hAnsi="標楷體" w:hint="eastAsia"/>
          <w:b w:val="0"/>
          <w:bCs w:val="0"/>
          <w:sz w:val="24"/>
          <w:szCs w:val="24"/>
        </w:rPr>
        <w:t>度為低</w:t>
      </w:r>
      <w:r w:rsidR="00FD51E6" w:rsidRPr="009F64D4">
        <w:rPr>
          <w:rFonts w:ascii="標楷體" w:hAnsi="標楷體" w:hint="eastAsia"/>
          <w:b w:val="0"/>
          <w:bCs w:val="0"/>
          <w:sz w:val="24"/>
          <w:szCs w:val="24"/>
        </w:rPr>
        <w:t>（表</w:t>
      </w:r>
      <w:r w:rsidR="00FD51E6">
        <w:rPr>
          <w:rFonts w:ascii="標楷體" w:hAnsi="標楷體" w:hint="eastAsia"/>
          <w:b w:val="0"/>
          <w:bCs w:val="0"/>
          <w:sz w:val="24"/>
          <w:szCs w:val="24"/>
        </w:rPr>
        <w:t>2</w:t>
      </w:r>
      <w:r w:rsidR="00FD51E6" w:rsidRPr="009F64D4">
        <w:rPr>
          <w:rFonts w:ascii="標楷體" w:hAnsi="標楷體" w:hint="eastAsia"/>
          <w:b w:val="0"/>
          <w:bCs w:val="0"/>
          <w:sz w:val="24"/>
          <w:szCs w:val="24"/>
        </w:rPr>
        <w:t>），</w:t>
      </w:r>
      <w:r w:rsidR="00FD51E6">
        <w:rPr>
          <w:rFonts w:ascii="標楷體" w:hAnsi="標楷體" w:hint="eastAsia"/>
          <w:b w:val="0"/>
          <w:bCs w:val="0"/>
          <w:sz w:val="24"/>
          <w:szCs w:val="24"/>
        </w:rPr>
        <w:t>據健保署說明，各該方案</w:t>
      </w:r>
      <w:r w:rsidRPr="009F64D4">
        <w:rPr>
          <w:rFonts w:ascii="標楷體" w:hAnsi="標楷體" w:hint="eastAsia"/>
          <w:b w:val="0"/>
          <w:bCs w:val="0"/>
          <w:sz w:val="24"/>
          <w:szCs w:val="24"/>
        </w:rPr>
        <w:t>實務推動</w:t>
      </w:r>
      <w:r w:rsidR="00C11390">
        <w:rPr>
          <w:rFonts w:ascii="標楷體" w:hAnsi="標楷體" w:hint="eastAsia"/>
          <w:b w:val="0"/>
          <w:bCs w:val="0"/>
          <w:sz w:val="24"/>
          <w:szCs w:val="24"/>
        </w:rPr>
        <w:t>因</w:t>
      </w:r>
      <w:r w:rsidRPr="009F64D4">
        <w:rPr>
          <w:rFonts w:ascii="標楷體" w:hAnsi="標楷體" w:hint="eastAsia"/>
          <w:b w:val="0"/>
          <w:bCs w:val="0"/>
          <w:sz w:val="24"/>
          <w:szCs w:val="24"/>
        </w:rPr>
        <w:t>面臨</w:t>
      </w:r>
      <w:r w:rsidRPr="009F64D4">
        <w:rPr>
          <w:rFonts w:ascii="標楷體" w:hAnsi="標楷體"/>
          <w:b w:val="0"/>
          <w:bCs w:val="0"/>
          <w:sz w:val="24"/>
          <w:szCs w:val="24"/>
        </w:rPr>
        <w:t>專業人力配置門檻較高、</w:t>
      </w:r>
      <w:r w:rsidRPr="009F64D4">
        <w:rPr>
          <w:rFonts w:ascii="標楷體" w:hAnsi="標楷體" w:hint="eastAsia"/>
          <w:b w:val="0"/>
          <w:bCs w:val="0"/>
          <w:sz w:val="24"/>
          <w:szCs w:val="24"/>
        </w:rPr>
        <w:t>個案管理人力短缺，</w:t>
      </w:r>
      <w:r w:rsidR="00FD51E6">
        <w:rPr>
          <w:rFonts w:ascii="標楷體" w:hAnsi="標楷體" w:hint="eastAsia"/>
          <w:b w:val="0"/>
          <w:bCs w:val="0"/>
          <w:sz w:val="24"/>
          <w:szCs w:val="24"/>
        </w:rPr>
        <w:t>而院所反映</w:t>
      </w:r>
      <w:r w:rsidRPr="009F64D4">
        <w:rPr>
          <w:rFonts w:ascii="標楷體" w:hAnsi="標楷體" w:hint="eastAsia"/>
          <w:b w:val="0"/>
          <w:bCs w:val="0"/>
          <w:sz w:val="24"/>
          <w:szCs w:val="24"/>
        </w:rPr>
        <w:t>給付誘因不足等問</w:t>
      </w:r>
      <w:r w:rsidRPr="001C6E5D">
        <w:rPr>
          <w:rFonts w:ascii="標楷體" w:hAnsi="標楷體" w:hint="eastAsia"/>
          <w:b w:val="0"/>
          <w:bCs w:val="0"/>
          <w:sz w:val="24"/>
          <w:szCs w:val="24"/>
        </w:rPr>
        <w:t>題</w:t>
      </w:r>
      <w:r w:rsidR="00FD51E6" w:rsidRPr="001C6E5D">
        <w:rPr>
          <w:rFonts w:ascii="標楷體" w:hAnsi="標楷體" w:hint="eastAsia"/>
          <w:b w:val="0"/>
          <w:bCs w:val="0"/>
          <w:sz w:val="24"/>
          <w:szCs w:val="24"/>
        </w:rPr>
        <w:t>，有待</w:t>
      </w:r>
      <w:r w:rsidR="001C6E5D" w:rsidRPr="001C6E5D">
        <w:rPr>
          <w:rFonts w:ascii="標楷體" w:hAnsi="標楷體" w:hint="eastAsia"/>
          <w:b w:val="0"/>
          <w:bCs w:val="0"/>
          <w:sz w:val="24"/>
          <w:szCs w:val="24"/>
        </w:rPr>
        <w:t>優化誘因設計</w:t>
      </w:r>
      <w:r w:rsidR="00FD51E6" w:rsidRPr="001C6E5D">
        <w:rPr>
          <w:rFonts w:ascii="標楷體" w:hAnsi="標楷體" w:hint="eastAsia"/>
          <w:b w:val="0"/>
          <w:bCs w:val="0"/>
          <w:sz w:val="24"/>
          <w:szCs w:val="24"/>
        </w:rPr>
        <w:t>，以利</w:t>
      </w:r>
      <w:r w:rsidR="00FD51E6" w:rsidRPr="001C6E5D">
        <w:rPr>
          <w:rFonts w:ascii="標楷體" w:hAnsi="標楷體"/>
          <w:b w:val="0"/>
          <w:bCs w:val="0"/>
          <w:sz w:val="24"/>
          <w:szCs w:val="24"/>
        </w:rPr>
        <w:t>擴大</w:t>
      </w:r>
      <w:r w:rsidR="00FD51E6" w:rsidRPr="001C6E5D">
        <w:rPr>
          <w:rFonts w:ascii="標楷體" w:hAnsi="標楷體" w:hint="eastAsia"/>
          <w:b w:val="0"/>
          <w:bCs w:val="0"/>
          <w:sz w:val="24"/>
          <w:szCs w:val="24"/>
        </w:rPr>
        <w:t>院所參與及</w:t>
      </w:r>
      <w:r w:rsidR="00FD51E6" w:rsidRPr="001C6E5D">
        <w:rPr>
          <w:rFonts w:ascii="標楷體" w:hAnsi="標楷體"/>
          <w:b w:val="0"/>
          <w:bCs w:val="0"/>
          <w:sz w:val="24"/>
          <w:szCs w:val="24"/>
        </w:rPr>
        <w:t>收案照護涵蓋範圍，發揮提升醫療資源運用效率及引導健保資源合理配置之政策效益</w:t>
      </w:r>
      <w:r w:rsidRPr="001C6E5D">
        <w:rPr>
          <w:rFonts w:ascii="標楷體" w:hAnsi="標楷體" w:hint="eastAsia"/>
          <w:b w:val="0"/>
          <w:bCs w:val="0"/>
          <w:sz w:val="24"/>
          <w:szCs w:val="24"/>
        </w:rPr>
        <w:t>。另</w:t>
      </w:r>
      <w:r w:rsidR="00FD51E6" w:rsidRPr="001C6E5D">
        <w:rPr>
          <w:rFonts w:ascii="標楷體" w:hAnsi="標楷體" w:hint="eastAsia"/>
          <w:b w:val="0"/>
          <w:bCs w:val="0"/>
          <w:sz w:val="24"/>
          <w:szCs w:val="24"/>
        </w:rPr>
        <w:t>查</w:t>
      </w:r>
      <w:r w:rsidR="00FD51E6">
        <w:rPr>
          <w:rFonts w:ascii="標楷體" w:hAnsi="標楷體" w:hint="eastAsia"/>
          <w:b w:val="0"/>
          <w:bCs w:val="0"/>
          <w:sz w:val="24"/>
          <w:szCs w:val="24"/>
        </w:rPr>
        <w:t>，</w:t>
      </w:r>
      <w:r w:rsidRPr="005E3EFF">
        <w:rPr>
          <w:rFonts w:ascii="標楷體" w:hAnsi="標楷體" w:hint="eastAsia"/>
          <w:b w:val="0"/>
          <w:bCs w:val="0"/>
          <w:sz w:val="24"/>
          <w:szCs w:val="24"/>
        </w:rPr>
        <w:t>健保署為利病人於同一醫療院所獲致全人連續性醫療照護，減少</w:t>
      </w:r>
      <w:r w:rsidR="00FD51E6">
        <w:rPr>
          <w:rFonts w:ascii="標楷體" w:hAnsi="標楷體" w:hint="eastAsia"/>
          <w:b w:val="0"/>
          <w:bCs w:val="0"/>
          <w:sz w:val="24"/>
          <w:szCs w:val="24"/>
        </w:rPr>
        <w:t>不同疾</w:t>
      </w:r>
      <w:r w:rsidRPr="005E3EFF">
        <w:rPr>
          <w:rFonts w:ascii="標楷體" w:hAnsi="標楷體" w:hint="eastAsia"/>
          <w:b w:val="0"/>
          <w:bCs w:val="0"/>
          <w:sz w:val="24"/>
          <w:szCs w:val="24"/>
        </w:rPr>
        <w:t>病方案重複投入個案管理資源，</w:t>
      </w:r>
      <w:r>
        <w:rPr>
          <w:rFonts w:ascii="標楷體" w:hAnsi="標楷體" w:hint="eastAsia"/>
          <w:b w:val="0"/>
          <w:bCs w:val="0"/>
          <w:sz w:val="24"/>
          <w:szCs w:val="24"/>
        </w:rPr>
        <w:t>自113年起逐步將</w:t>
      </w:r>
      <w:r w:rsidRPr="005E3EFF">
        <w:rPr>
          <w:rFonts w:ascii="標楷體" w:hAnsi="標楷體" w:hint="eastAsia"/>
          <w:b w:val="0"/>
          <w:bCs w:val="0"/>
          <w:sz w:val="24"/>
          <w:szCs w:val="24"/>
        </w:rPr>
        <w:t>「家庭醫師整合性照護計畫」</w:t>
      </w:r>
      <w:r>
        <w:rPr>
          <w:rFonts w:ascii="標楷體" w:hAnsi="標楷體" w:hint="eastAsia"/>
          <w:b w:val="0"/>
          <w:bCs w:val="0"/>
          <w:sz w:val="24"/>
          <w:szCs w:val="24"/>
        </w:rPr>
        <w:t>與論質計酬方案整合</w:t>
      </w:r>
      <w:r w:rsidRPr="005E3EFF">
        <w:rPr>
          <w:rFonts w:ascii="標楷體" w:hAnsi="標楷體" w:hint="eastAsia"/>
          <w:b w:val="0"/>
          <w:bCs w:val="0"/>
          <w:sz w:val="24"/>
          <w:szCs w:val="24"/>
        </w:rPr>
        <w:t>，</w:t>
      </w:r>
      <w:r w:rsidR="00FD51E6">
        <w:rPr>
          <w:rFonts w:ascii="標楷體" w:hAnsi="標楷體" w:hint="eastAsia"/>
          <w:b w:val="0"/>
          <w:bCs w:val="0"/>
          <w:sz w:val="24"/>
          <w:szCs w:val="24"/>
        </w:rPr>
        <w:t>並</w:t>
      </w:r>
      <w:r>
        <w:rPr>
          <w:rFonts w:ascii="標楷體" w:hAnsi="標楷體" w:hint="eastAsia"/>
          <w:b w:val="0"/>
          <w:bCs w:val="0"/>
          <w:sz w:val="24"/>
          <w:szCs w:val="24"/>
        </w:rPr>
        <w:t>已完成</w:t>
      </w:r>
      <w:r w:rsidRPr="002016F0">
        <w:rPr>
          <w:rFonts w:ascii="標楷體" w:hAnsi="標楷體" w:hint="eastAsia"/>
          <w:b w:val="0"/>
          <w:bCs w:val="0"/>
          <w:sz w:val="24"/>
          <w:szCs w:val="24"/>
        </w:rPr>
        <w:t>糖尿病、初期慢性腎臟病、糖尿病合併初期慢性腎臟病等3項論質計酬方案</w:t>
      </w:r>
      <w:r>
        <w:rPr>
          <w:rFonts w:ascii="標楷體" w:hAnsi="標楷體" w:hint="eastAsia"/>
          <w:b w:val="0"/>
          <w:bCs w:val="0"/>
          <w:sz w:val="24"/>
          <w:szCs w:val="24"/>
        </w:rPr>
        <w:t>之</w:t>
      </w:r>
      <w:r w:rsidRPr="002016F0">
        <w:rPr>
          <w:rFonts w:ascii="標楷體" w:hAnsi="標楷體" w:hint="eastAsia"/>
          <w:b w:val="0"/>
          <w:bCs w:val="0"/>
          <w:sz w:val="24"/>
          <w:szCs w:val="24"/>
        </w:rPr>
        <w:t>整合，</w:t>
      </w:r>
      <w:r w:rsidR="00FD51E6">
        <w:rPr>
          <w:rFonts w:ascii="標楷體" w:hAnsi="標楷體" w:hint="eastAsia"/>
          <w:b w:val="0"/>
          <w:bCs w:val="0"/>
          <w:sz w:val="24"/>
          <w:szCs w:val="24"/>
        </w:rPr>
        <w:t>另規劃於114年度進一步整合</w:t>
      </w:r>
      <w:r w:rsidR="00FD51E6" w:rsidRPr="005E3EFF">
        <w:rPr>
          <w:rFonts w:ascii="標楷體" w:hAnsi="標楷體" w:hint="eastAsia"/>
          <w:b w:val="0"/>
          <w:bCs w:val="0"/>
          <w:sz w:val="24"/>
          <w:szCs w:val="24"/>
        </w:rPr>
        <w:t>氣喘及慢性阻塞性肺病等方案</w:t>
      </w:r>
      <w:r w:rsidR="00FD51E6">
        <w:rPr>
          <w:rFonts w:ascii="標楷體" w:hAnsi="標楷體" w:hint="eastAsia"/>
          <w:b w:val="0"/>
          <w:bCs w:val="0"/>
          <w:sz w:val="24"/>
          <w:szCs w:val="24"/>
        </w:rPr>
        <w:t>，</w:t>
      </w:r>
      <w:r>
        <w:rPr>
          <w:rFonts w:ascii="標楷體" w:hAnsi="標楷體" w:hint="eastAsia"/>
          <w:b w:val="0"/>
          <w:bCs w:val="0"/>
          <w:sz w:val="24"/>
          <w:szCs w:val="24"/>
        </w:rPr>
        <w:t>惟囿於</w:t>
      </w:r>
      <w:r w:rsidRPr="005E3EFF">
        <w:rPr>
          <w:rFonts w:ascii="標楷體" w:hAnsi="標楷體" w:hint="eastAsia"/>
          <w:b w:val="0"/>
          <w:bCs w:val="0"/>
          <w:sz w:val="24"/>
          <w:szCs w:val="24"/>
        </w:rPr>
        <w:t>各</w:t>
      </w:r>
      <w:r w:rsidR="00FD51E6">
        <w:rPr>
          <w:rFonts w:ascii="標楷體" w:hAnsi="標楷體" w:hint="eastAsia"/>
          <w:b w:val="0"/>
          <w:bCs w:val="0"/>
          <w:sz w:val="24"/>
          <w:szCs w:val="24"/>
        </w:rPr>
        <w:t>該</w:t>
      </w:r>
      <w:r w:rsidRPr="005E3EFF">
        <w:rPr>
          <w:rFonts w:ascii="標楷體" w:hAnsi="標楷體" w:hint="eastAsia"/>
          <w:b w:val="0"/>
          <w:bCs w:val="0"/>
          <w:sz w:val="24"/>
          <w:szCs w:val="24"/>
        </w:rPr>
        <w:t>方案</w:t>
      </w:r>
      <w:r>
        <w:rPr>
          <w:rFonts w:ascii="標楷體" w:hAnsi="標楷體" w:hint="eastAsia"/>
          <w:b w:val="0"/>
          <w:bCs w:val="0"/>
          <w:sz w:val="24"/>
          <w:szCs w:val="24"/>
        </w:rPr>
        <w:t>之</w:t>
      </w:r>
      <w:r w:rsidRPr="005E3EFF">
        <w:rPr>
          <w:rFonts w:ascii="標楷體" w:hAnsi="標楷體" w:hint="eastAsia"/>
          <w:b w:val="0"/>
          <w:bCs w:val="0"/>
          <w:sz w:val="24"/>
          <w:szCs w:val="24"/>
        </w:rPr>
        <w:t>收案條件、支付機制、品質指標及資訊系統設計存有落差，須同步</w:t>
      </w:r>
      <w:r w:rsidR="00FD51E6">
        <w:rPr>
          <w:rFonts w:ascii="標楷體" w:hAnsi="標楷體" w:hint="eastAsia"/>
          <w:b w:val="0"/>
          <w:bCs w:val="0"/>
          <w:sz w:val="24"/>
          <w:szCs w:val="24"/>
        </w:rPr>
        <w:t>配合</w:t>
      </w:r>
      <w:r w:rsidRPr="005E3EFF">
        <w:rPr>
          <w:rFonts w:ascii="標楷體" w:hAnsi="標楷體" w:hint="eastAsia"/>
          <w:b w:val="0"/>
          <w:bCs w:val="0"/>
          <w:sz w:val="24"/>
          <w:szCs w:val="24"/>
        </w:rPr>
        <w:t>調整等</w:t>
      </w:r>
      <w:r w:rsidR="00FD51E6">
        <w:rPr>
          <w:rFonts w:ascii="標楷體" w:hAnsi="標楷體" w:hint="eastAsia"/>
          <w:b w:val="0"/>
          <w:bCs w:val="0"/>
          <w:sz w:val="24"/>
          <w:szCs w:val="24"/>
        </w:rPr>
        <w:t>，</w:t>
      </w:r>
      <w:r w:rsidR="00FD51E6" w:rsidRPr="005E3EFF">
        <w:rPr>
          <w:rFonts w:ascii="標楷體" w:hAnsi="標楷體" w:hint="eastAsia"/>
          <w:b w:val="0"/>
          <w:bCs w:val="0"/>
          <w:sz w:val="24"/>
          <w:szCs w:val="24"/>
        </w:rPr>
        <w:t>截至115年4月</w:t>
      </w:r>
      <w:r w:rsidR="00FD51E6">
        <w:rPr>
          <w:rFonts w:ascii="標楷體" w:hAnsi="標楷體" w:hint="eastAsia"/>
          <w:b w:val="0"/>
          <w:bCs w:val="0"/>
          <w:sz w:val="24"/>
          <w:szCs w:val="24"/>
        </w:rPr>
        <w:t>底</w:t>
      </w:r>
      <w:r w:rsidR="00FD51E6" w:rsidRPr="005E3EFF">
        <w:rPr>
          <w:rFonts w:ascii="標楷體" w:hAnsi="標楷體" w:hint="eastAsia"/>
          <w:b w:val="0"/>
          <w:bCs w:val="0"/>
          <w:sz w:val="24"/>
          <w:szCs w:val="24"/>
        </w:rPr>
        <w:t>止</w:t>
      </w:r>
      <w:r w:rsidRPr="005E3EFF">
        <w:rPr>
          <w:rFonts w:ascii="標楷體" w:hAnsi="標楷體" w:hint="eastAsia"/>
          <w:b w:val="0"/>
          <w:bCs w:val="0"/>
          <w:sz w:val="24"/>
          <w:szCs w:val="24"/>
        </w:rPr>
        <w:t>，</w:t>
      </w:r>
      <w:r w:rsidRPr="001C6E5D">
        <w:rPr>
          <w:rFonts w:ascii="標楷體" w:hAnsi="標楷體" w:hint="eastAsia"/>
          <w:b w:val="0"/>
          <w:bCs w:val="0"/>
          <w:sz w:val="24"/>
          <w:szCs w:val="24"/>
        </w:rPr>
        <w:t>尚未完成整合</w:t>
      </w:r>
      <w:r w:rsidRPr="0085471A">
        <w:rPr>
          <w:rFonts w:ascii="標楷體" w:hAnsi="標楷體" w:hint="eastAsia"/>
          <w:b w:val="0"/>
          <w:bCs w:val="0"/>
          <w:sz w:val="24"/>
          <w:szCs w:val="24"/>
        </w:rPr>
        <w:t>，</w:t>
      </w:r>
      <w:r w:rsidR="00FD51E6" w:rsidRPr="0085471A">
        <w:rPr>
          <w:rFonts w:ascii="標楷體" w:hAnsi="標楷體" w:hint="eastAsia"/>
          <w:b w:val="0"/>
          <w:bCs w:val="0"/>
          <w:sz w:val="24"/>
          <w:szCs w:val="24"/>
        </w:rPr>
        <w:t>有待</w:t>
      </w:r>
      <w:r w:rsidR="001C6E5D" w:rsidRPr="0085471A">
        <w:rPr>
          <w:rFonts w:ascii="標楷體" w:hAnsi="標楷體" w:hint="eastAsia"/>
          <w:b w:val="0"/>
          <w:bCs w:val="0"/>
          <w:sz w:val="24"/>
          <w:szCs w:val="24"/>
        </w:rPr>
        <w:t>優化相關配套措施</w:t>
      </w:r>
      <w:r w:rsidR="00FD51E6" w:rsidRPr="0085471A">
        <w:rPr>
          <w:rFonts w:ascii="標楷體" w:hAnsi="標楷體" w:hint="eastAsia"/>
          <w:b w:val="0"/>
          <w:bCs w:val="0"/>
          <w:sz w:val="24"/>
          <w:szCs w:val="24"/>
        </w:rPr>
        <w:t>，以利引導醫療資源合理配置</w:t>
      </w:r>
      <w:r w:rsidR="00EA3F8A" w:rsidRPr="0085471A">
        <w:rPr>
          <w:rFonts w:ascii="標楷體" w:hAnsi="標楷體" w:hint="eastAsia"/>
          <w:b w:val="0"/>
          <w:bCs w:val="0"/>
          <w:sz w:val="24"/>
          <w:szCs w:val="24"/>
        </w:rPr>
        <w:t>。</w:t>
      </w:r>
      <w:r w:rsidRPr="0085471A">
        <w:rPr>
          <w:rFonts w:ascii="標楷體" w:hAnsi="標楷體" w:hint="eastAsia"/>
          <w:b w:val="0"/>
          <w:sz w:val="24"/>
          <w:szCs w:val="24"/>
        </w:rPr>
        <w:t>經函請衛福部精進現行支付及誘因機制設計，並加速整合照護模式與完善相關配套措施，以利擴大論質計酬方案之推動，俾有限健保資源發揮更佳財務效益。據復：</w:t>
      </w:r>
      <w:r w:rsidR="00F12886" w:rsidRPr="0085471A">
        <w:rPr>
          <w:rFonts w:ascii="標楷體" w:hAnsi="標楷體" w:hint="eastAsia"/>
          <w:b w:val="0"/>
          <w:sz w:val="24"/>
          <w:szCs w:val="24"/>
        </w:rPr>
        <w:t>將持續蒐集各界意見，並依</w:t>
      </w:r>
      <w:r w:rsidR="00076EC4" w:rsidRPr="0085471A">
        <w:rPr>
          <w:rFonts w:ascii="標楷體" w:hAnsi="標楷體" w:hint="eastAsia"/>
          <w:b w:val="0"/>
          <w:sz w:val="24"/>
          <w:szCs w:val="24"/>
        </w:rPr>
        <w:t>各方案</w:t>
      </w:r>
      <w:r w:rsidR="00F12886" w:rsidRPr="0085471A">
        <w:rPr>
          <w:rFonts w:ascii="標楷體" w:hAnsi="標楷體" w:hint="eastAsia"/>
          <w:b w:val="0"/>
          <w:sz w:val="24"/>
          <w:szCs w:val="24"/>
        </w:rPr>
        <w:t>執行情形滾動檢討支付標準及獎勵設計，暨持續優化資訊系統及資料登錄流程，</w:t>
      </w:r>
      <w:r w:rsidR="00076EC4" w:rsidRPr="0085471A">
        <w:rPr>
          <w:rFonts w:ascii="標楷體" w:hAnsi="標楷體" w:hint="eastAsia"/>
          <w:b w:val="0"/>
          <w:sz w:val="24"/>
          <w:szCs w:val="24"/>
        </w:rPr>
        <w:t>以</w:t>
      </w:r>
      <w:r w:rsidR="00F12886" w:rsidRPr="0085471A">
        <w:rPr>
          <w:rFonts w:ascii="標楷體" w:hAnsi="標楷體" w:hint="eastAsia"/>
          <w:b w:val="0"/>
          <w:sz w:val="24"/>
          <w:szCs w:val="24"/>
        </w:rPr>
        <w:t>簡化行政作業</w:t>
      </w:r>
      <w:r w:rsidR="00692EC7" w:rsidRPr="0085471A">
        <w:rPr>
          <w:rFonts w:ascii="標楷體" w:hAnsi="標楷體" w:hint="eastAsia"/>
          <w:b w:val="0"/>
          <w:sz w:val="24"/>
          <w:szCs w:val="24"/>
        </w:rPr>
        <w:t>，</w:t>
      </w:r>
      <w:r w:rsidR="00076EC4" w:rsidRPr="0085471A">
        <w:rPr>
          <w:rFonts w:ascii="標楷體" w:hAnsi="標楷體" w:hint="eastAsia"/>
          <w:b w:val="0"/>
          <w:sz w:val="24"/>
          <w:szCs w:val="24"/>
        </w:rPr>
        <w:t>俾</w:t>
      </w:r>
      <w:r w:rsidR="00F12886" w:rsidRPr="0085471A">
        <w:rPr>
          <w:rFonts w:ascii="標楷體" w:hAnsi="標楷體" w:hint="eastAsia"/>
          <w:b w:val="0"/>
          <w:sz w:val="24"/>
          <w:szCs w:val="24"/>
        </w:rPr>
        <w:t>提升醫療院所參與意願</w:t>
      </w:r>
      <w:r w:rsidR="0085471A" w:rsidRPr="0085471A">
        <w:rPr>
          <w:rFonts w:ascii="標楷體" w:hAnsi="標楷體" w:hint="eastAsia"/>
          <w:b w:val="0"/>
          <w:sz w:val="24"/>
          <w:szCs w:val="24"/>
        </w:rPr>
        <w:t>，促進醫療資源合理配置</w:t>
      </w:r>
      <w:r w:rsidRPr="0085471A">
        <w:rPr>
          <w:rFonts w:ascii="標楷體" w:hAnsi="標楷體" w:hint="eastAsia"/>
          <w:b w:val="0"/>
          <w:sz w:val="24"/>
          <w:szCs w:val="24"/>
        </w:rPr>
        <w:t>。</w:t>
      </w:r>
    </w:p>
    <w:p w14:paraId="74E09642" w14:textId="00647CBD" w:rsidR="005E6E9F" w:rsidRPr="0085471A" w:rsidRDefault="005E6E9F" w:rsidP="00076EC4">
      <w:pPr>
        <w:pStyle w:val="af9"/>
        <w:overflowPunct w:val="0"/>
        <w:spacing w:beforeLines="0" w:before="0" w:afterLines="0" w:after="0" w:line="600" w:lineRule="exact"/>
        <w:ind w:firstLineChars="700" w:firstLine="1682"/>
        <w:rPr>
          <w:rFonts w:ascii="標楷體" w:hAnsi="標楷體"/>
          <w:b w:val="0"/>
          <w:sz w:val="24"/>
          <w:szCs w:val="24"/>
        </w:rPr>
      </w:pPr>
      <w:r w:rsidRPr="0085471A">
        <w:rPr>
          <w:rFonts w:ascii="標楷體" w:hAnsi="標楷體" w:hint="eastAsia"/>
          <w:sz w:val="24"/>
          <w:szCs w:val="24"/>
        </w:rPr>
        <w:t>B.　健保收支結構長年失衡，近年多仰賴政府撥補挹注維持財務穩定，惟為確保健保永續經營，允宜預為研謀因應：</w:t>
      </w:r>
      <w:r w:rsidRPr="0085471A">
        <w:rPr>
          <w:rFonts w:ascii="標楷體" w:hAnsi="標楷體" w:hint="eastAsia"/>
          <w:b w:val="0"/>
          <w:bCs w:val="0"/>
          <w:sz w:val="24"/>
          <w:szCs w:val="24"/>
        </w:rPr>
        <w:t>依全民健康保險法（下稱健保法）第78條規定，健保安全準備總額，以相當於最近精算1個月至3個月之保險給付支出為原則。次依衛福部全民健康保險會（下</w:t>
      </w:r>
      <w:r w:rsidRPr="0085471A">
        <w:rPr>
          <w:rFonts w:ascii="標楷體" w:hAnsi="標楷體" w:hint="eastAsia"/>
          <w:b w:val="0"/>
          <w:bCs w:val="0"/>
          <w:sz w:val="24"/>
          <w:szCs w:val="24"/>
        </w:rPr>
        <w:lastRenderedPageBreak/>
        <w:t>稱健保會）第5屆110年第4次委員會議決議</w:t>
      </w:r>
      <w:r w:rsidRPr="0085471A">
        <w:rPr>
          <w:rFonts w:ascii="標楷體" w:hAnsi="標楷體" w:hint="eastAsia"/>
          <w:b w:val="0"/>
          <w:sz w:val="24"/>
          <w:szCs w:val="24"/>
        </w:rPr>
        <w:t>，當年年底安全準備累計餘額不足1個月保險給付支出時，調漲費率</w:t>
      </w:r>
      <w:r w:rsidRPr="0085471A">
        <w:rPr>
          <w:rFonts w:ascii="標楷體" w:hAnsi="標楷體" w:hint="eastAsia"/>
          <w:b w:val="0"/>
          <w:bCs w:val="0"/>
          <w:sz w:val="24"/>
          <w:szCs w:val="24"/>
        </w:rPr>
        <w:t>。</w:t>
      </w:r>
      <w:r w:rsidRPr="0085471A">
        <w:rPr>
          <w:rFonts w:ascii="標楷體" w:hAnsi="標楷體" w:hint="eastAsia"/>
          <w:b w:val="0"/>
          <w:bCs w:val="0"/>
          <w:spacing w:val="4"/>
          <w:sz w:val="24"/>
          <w:szCs w:val="24"/>
        </w:rPr>
        <w:t>隨人口老化及</w:t>
      </w:r>
      <w:r w:rsidRPr="0085471A">
        <w:rPr>
          <w:rFonts w:ascii="標楷體" w:hAnsi="標楷體"/>
          <w:b w:val="0"/>
          <w:bCs w:val="0"/>
          <w:spacing w:val="4"/>
          <w:sz w:val="24"/>
          <w:szCs w:val="24"/>
        </w:rPr>
        <w:t>慢性病</w:t>
      </w:r>
      <w:r w:rsidRPr="0085471A">
        <w:rPr>
          <w:rFonts w:ascii="標楷體" w:hAnsi="標楷體" w:hint="eastAsia"/>
          <w:b w:val="0"/>
          <w:bCs w:val="0"/>
          <w:spacing w:val="4"/>
          <w:sz w:val="24"/>
          <w:szCs w:val="24"/>
        </w:rPr>
        <w:t>患者人</w:t>
      </w:r>
      <w:r w:rsidRPr="0085471A">
        <w:rPr>
          <w:rFonts w:ascii="標楷體" w:hAnsi="標楷體"/>
          <w:b w:val="0"/>
          <w:bCs w:val="0"/>
          <w:spacing w:val="4"/>
          <w:sz w:val="24"/>
          <w:szCs w:val="24"/>
        </w:rPr>
        <w:t>數增加</w:t>
      </w:r>
      <w:r w:rsidRPr="0085471A">
        <w:rPr>
          <w:rFonts w:ascii="標楷體" w:hAnsi="標楷體" w:hint="eastAsia"/>
          <w:b w:val="0"/>
          <w:bCs w:val="0"/>
          <w:spacing w:val="4"/>
          <w:sz w:val="24"/>
          <w:szCs w:val="24"/>
        </w:rPr>
        <w:t>，醫療照護需求漸增，加以</w:t>
      </w:r>
      <w:r w:rsidRPr="0085471A">
        <w:rPr>
          <w:rFonts w:ascii="標楷體" w:hAnsi="標楷體"/>
          <w:b w:val="0"/>
          <w:bCs w:val="0"/>
          <w:spacing w:val="4"/>
          <w:sz w:val="24"/>
          <w:szCs w:val="24"/>
        </w:rPr>
        <w:t>新藥與新醫療技術持續引進等</w:t>
      </w:r>
      <w:r w:rsidRPr="0085471A">
        <w:rPr>
          <w:rFonts w:ascii="標楷體" w:hAnsi="標楷體" w:hint="eastAsia"/>
          <w:b w:val="0"/>
          <w:bCs w:val="0"/>
          <w:spacing w:val="4"/>
          <w:sz w:val="24"/>
          <w:szCs w:val="24"/>
        </w:rPr>
        <w:t>因素，近10</w:t>
      </w:r>
      <w:r w:rsidR="00C11390" w:rsidRPr="0085471A">
        <w:rPr>
          <w:rFonts w:ascii="標楷體" w:hAnsi="標楷體" w:hint="eastAsia"/>
          <w:b w:val="0"/>
          <w:bCs w:val="0"/>
          <w:spacing w:val="4"/>
          <w:sz w:val="24"/>
          <w:szCs w:val="24"/>
        </w:rPr>
        <w:t>年度</w:t>
      </w:r>
      <w:r w:rsidR="00FD51E6" w:rsidRPr="0085471A">
        <w:rPr>
          <w:rFonts w:ascii="標楷體" w:hAnsi="標楷體" w:hint="eastAsia"/>
          <w:b w:val="0"/>
          <w:bCs w:val="0"/>
          <w:sz w:val="24"/>
          <w:szCs w:val="24"/>
        </w:rPr>
        <w:t>（105至114</w:t>
      </w:r>
      <w:r w:rsidR="00C11390" w:rsidRPr="0085471A">
        <w:rPr>
          <w:rFonts w:ascii="標楷體" w:hAnsi="標楷體" w:hint="eastAsia"/>
          <w:b w:val="0"/>
          <w:bCs w:val="0"/>
          <w:spacing w:val="4"/>
          <w:sz w:val="24"/>
          <w:szCs w:val="24"/>
        </w:rPr>
        <w:t>年度</w:t>
      </w:r>
      <w:r w:rsidR="00FD51E6" w:rsidRPr="0085471A">
        <w:rPr>
          <w:rFonts w:ascii="標楷體" w:hAnsi="標楷體" w:hint="eastAsia"/>
          <w:b w:val="0"/>
          <w:bCs w:val="0"/>
          <w:sz w:val="24"/>
          <w:szCs w:val="24"/>
        </w:rPr>
        <w:t>）</w:t>
      </w:r>
      <w:r w:rsidRPr="0085471A">
        <w:rPr>
          <w:rFonts w:ascii="標楷體" w:hAnsi="標楷體" w:hint="eastAsia"/>
          <w:b w:val="0"/>
          <w:bCs w:val="0"/>
          <w:spacing w:val="4"/>
          <w:sz w:val="24"/>
          <w:szCs w:val="24"/>
        </w:rPr>
        <w:t>健保醫療費用金額由6</w:t>
      </w:r>
      <w:r w:rsidRPr="0085471A">
        <w:rPr>
          <w:rFonts w:ascii="標楷體" w:hAnsi="標楷體"/>
          <w:b w:val="0"/>
          <w:bCs w:val="0"/>
          <w:spacing w:val="4"/>
          <w:sz w:val="24"/>
          <w:szCs w:val="24"/>
        </w:rPr>
        <w:t>,617</w:t>
      </w:r>
      <w:r w:rsidRPr="0085471A">
        <w:rPr>
          <w:rFonts w:ascii="標楷體" w:hAnsi="標楷體" w:hint="eastAsia"/>
          <w:b w:val="0"/>
          <w:bCs w:val="0"/>
          <w:spacing w:val="4"/>
          <w:sz w:val="24"/>
          <w:szCs w:val="24"/>
        </w:rPr>
        <w:t>億餘點增長至9</w:t>
      </w:r>
      <w:r w:rsidRPr="0085471A">
        <w:rPr>
          <w:rFonts w:ascii="標楷體" w:hAnsi="標楷體"/>
          <w:b w:val="0"/>
          <w:bCs w:val="0"/>
          <w:spacing w:val="4"/>
          <w:sz w:val="24"/>
          <w:szCs w:val="24"/>
        </w:rPr>
        <w:t>,</w:t>
      </w:r>
      <w:r w:rsidRPr="0085471A">
        <w:rPr>
          <w:rFonts w:ascii="標楷體" w:hAnsi="標楷體" w:hint="eastAsia"/>
          <w:b w:val="0"/>
          <w:bCs w:val="0"/>
          <w:spacing w:val="4"/>
          <w:sz w:val="24"/>
          <w:szCs w:val="24"/>
        </w:rPr>
        <w:t>379億餘點，增幅達</w:t>
      </w:r>
      <w:r w:rsidRPr="0085471A">
        <w:rPr>
          <w:rFonts w:ascii="標楷體" w:hAnsi="標楷體"/>
          <w:b w:val="0"/>
          <w:bCs w:val="0"/>
          <w:spacing w:val="4"/>
          <w:sz w:val="24"/>
          <w:szCs w:val="24"/>
        </w:rPr>
        <w:t>41.74％，健保財務負擔日益加重。惟</w:t>
      </w:r>
      <w:r w:rsidRPr="0085471A">
        <w:rPr>
          <w:rFonts w:ascii="標楷體" w:hAnsi="標楷體" w:hint="eastAsia"/>
          <w:b w:val="0"/>
          <w:bCs w:val="0"/>
          <w:spacing w:val="4"/>
          <w:sz w:val="24"/>
          <w:szCs w:val="24"/>
        </w:rPr>
        <w:t>囿於</w:t>
      </w:r>
      <w:r w:rsidRPr="0085471A">
        <w:rPr>
          <w:rFonts w:ascii="標楷體" w:hAnsi="標楷體"/>
          <w:b w:val="0"/>
          <w:bCs w:val="0"/>
          <w:spacing w:val="4"/>
          <w:sz w:val="24"/>
          <w:szCs w:val="24"/>
        </w:rPr>
        <w:t>工作人口減少</w:t>
      </w:r>
      <w:r w:rsidRPr="0085471A">
        <w:rPr>
          <w:rFonts w:ascii="標楷體" w:hAnsi="標楷體" w:hint="eastAsia"/>
          <w:b w:val="0"/>
          <w:bCs w:val="0"/>
          <w:spacing w:val="4"/>
          <w:sz w:val="24"/>
          <w:szCs w:val="24"/>
        </w:rPr>
        <w:t>等</w:t>
      </w:r>
      <w:r w:rsidRPr="0085471A">
        <w:rPr>
          <w:rFonts w:ascii="標楷體" w:hAnsi="標楷體"/>
          <w:b w:val="0"/>
          <w:bCs w:val="0"/>
          <w:spacing w:val="4"/>
          <w:sz w:val="24"/>
          <w:szCs w:val="24"/>
        </w:rPr>
        <w:t>影響，保費收入成長受限</w:t>
      </w:r>
      <w:r w:rsidRPr="0085471A">
        <w:rPr>
          <w:rFonts w:ascii="標楷體" w:hAnsi="標楷體" w:hint="eastAsia"/>
          <w:b w:val="0"/>
          <w:bCs w:val="0"/>
          <w:spacing w:val="4"/>
          <w:sz w:val="24"/>
          <w:szCs w:val="24"/>
        </w:rPr>
        <w:t>，自</w:t>
      </w:r>
      <w:r w:rsidR="00C11390" w:rsidRPr="0085471A">
        <w:rPr>
          <w:rFonts w:ascii="標楷體" w:hAnsi="標楷體" w:hint="eastAsia"/>
          <w:b w:val="0"/>
          <w:bCs w:val="0"/>
          <w:spacing w:val="4"/>
          <w:sz w:val="24"/>
          <w:szCs w:val="24"/>
        </w:rPr>
        <w:t>84年</w:t>
      </w:r>
      <w:r w:rsidRPr="0085471A">
        <w:rPr>
          <w:rFonts w:ascii="標楷體" w:hAnsi="標楷體" w:hint="eastAsia"/>
          <w:b w:val="0"/>
          <w:bCs w:val="0"/>
          <w:spacing w:val="4"/>
          <w:sz w:val="24"/>
          <w:szCs w:val="24"/>
        </w:rPr>
        <w:t>健保開辦</w:t>
      </w:r>
      <w:r w:rsidR="00C11390" w:rsidRPr="0085471A">
        <w:rPr>
          <w:rFonts w:ascii="標楷體" w:hAnsi="標楷體" w:hint="eastAsia"/>
          <w:b w:val="0"/>
          <w:bCs w:val="0"/>
          <w:spacing w:val="4"/>
          <w:sz w:val="24"/>
          <w:szCs w:val="24"/>
        </w:rPr>
        <w:t>至114年底止，期間</w:t>
      </w:r>
      <w:r w:rsidRPr="0085471A">
        <w:rPr>
          <w:rFonts w:ascii="標楷體" w:hAnsi="標楷體"/>
          <w:b w:val="0"/>
          <w:bCs w:val="0"/>
          <w:spacing w:val="4"/>
          <w:sz w:val="24"/>
          <w:szCs w:val="24"/>
        </w:rPr>
        <w:t>保險收入平均成長</w:t>
      </w:r>
      <w:r w:rsidRPr="0085471A">
        <w:rPr>
          <w:rFonts w:ascii="標楷體" w:hAnsi="標楷體" w:hint="eastAsia"/>
          <w:b w:val="0"/>
          <w:bCs w:val="0"/>
          <w:spacing w:val="4"/>
          <w:sz w:val="24"/>
          <w:szCs w:val="24"/>
        </w:rPr>
        <w:t>率為</w:t>
      </w:r>
      <w:r w:rsidRPr="0085471A">
        <w:rPr>
          <w:rFonts w:ascii="標楷體" w:hAnsi="標楷體"/>
          <w:b w:val="0"/>
          <w:bCs w:val="0"/>
          <w:spacing w:val="4"/>
          <w:sz w:val="24"/>
          <w:szCs w:val="24"/>
        </w:rPr>
        <w:t>4.56</w:t>
      </w:r>
      <w:r w:rsidRPr="0085471A">
        <w:rPr>
          <w:rFonts w:ascii="標楷體" w:hAnsi="標楷體" w:hint="eastAsia"/>
          <w:b w:val="0"/>
          <w:bCs w:val="0"/>
          <w:spacing w:val="4"/>
          <w:sz w:val="24"/>
          <w:szCs w:val="24"/>
        </w:rPr>
        <w:t>％</w:t>
      </w:r>
      <w:r w:rsidRPr="0085471A">
        <w:rPr>
          <w:rFonts w:ascii="標楷體" w:hAnsi="標楷體"/>
          <w:b w:val="0"/>
          <w:bCs w:val="0"/>
          <w:spacing w:val="4"/>
          <w:sz w:val="24"/>
          <w:szCs w:val="24"/>
        </w:rPr>
        <w:t>，</w:t>
      </w:r>
      <w:r w:rsidRPr="0085471A">
        <w:rPr>
          <w:rFonts w:ascii="標楷體" w:hAnsi="標楷體" w:hint="eastAsia"/>
          <w:b w:val="0"/>
          <w:bCs w:val="0"/>
          <w:spacing w:val="4"/>
          <w:sz w:val="24"/>
          <w:szCs w:val="24"/>
        </w:rPr>
        <w:t>未及</w:t>
      </w:r>
      <w:r w:rsidRPr="0085471A">
        <w:rPr>
          <w:rFonts w:ascii="標楷體" w:hAnsi="標楷體"/>
          <w:b w:val="0"/>
          <w:bCs w:val="0"/>
          <w:spacing w:val="4"/>
          <w:sz w:val="24"/>
          <w:szCs w:val="24"/>
        </w:rPr>
        <w:t>保險成本平均成長率4.65</w:t>
      </w:r>
      <w:r w:rsidRPr="0085471A">
        <w:rPr>
          <w:rFonts w:ascii="標楷體" w:hAnsi="標楷體" w:hint="eastAsia"/>
          <w:b w:val="0"/>
          <w:bCs w:val="0"/>
          <w:spacing w:val="4"/>
          <w:sz w:val="24"/>
          <w:szCs w:val="24"/>
        </w:rPr>
        <w:t>％，收支結構失衡問題</w:t>
      </w:r>
      <w:r w:rsidRPr="0085471A">
        <w:rPr>
          <w:rFonts w:ascii="標楷體" w:hAnsi="標楷體"/>
          <w:b w:val="0"/>
          <w:bCs w:val="0"/>
          <w:spacing w:val="4"/>
          <w:sz w:val="24"/>
          <w:szCs w:val="24"/>
        </w:rPr>
        <w:t>仍未獲改善</w:t>
      </w:r>
      <w:r w:rsidRPr="0085471A">
        <w:rPr>
          <w:rFonts w:ascii="標楷體" w:hAnsi="標楷體" w:hint="eastAsia"/>
          <w:b w:val="0"/>
          <w:bCs w:val="0"/>
          <w:spacing w:val="4"/>
          <w:sz w:val="24"/>
          <w:szCs w:val="24"/>
        </w:rPr>
        <w:t>。查</w:t>
      </w:r>
      <w:r w:rsidRPr="0085471A">
        <w:rPr>
          <w:rFonts w:ascii="標楷體" w:hAnsi="標楷體"/>
          <w:b w:val="0"/>
          <w:bCs w:val="0"/>
          <w:spacing w:val="4"/>
          <w:sz w:val="24"/>
          <w:szCs w:val="24"/>
        </w:rPr>
        <w:t>健保基金</w:t>
      </w:r>
      <w:r w:rsidRPr="0085471A">
        <w:rPr>
          <w:rFonts w:ascii="標楷體" w:hAnsi="標楷體" w:hint="eastAsia"/>
          <w:b w:val="0"/>
          <w:bCs w:val="0"/>
          <w:spacing w:val="4"/>
          <w:sz w:val="24"/>
          <w:szCs w:val="24"/>
        </w:rPr>
        <w:t>自106年度起產生保險收支短絀，政府於110至114年間陸續透過調整保險費率，</w:t>
      </w:r>
      <w:r w:rsidRPr="0085471A">
        <w:rPr>
          <w:rFonts w:ascii="標楷體" w:hAnsi="標楷體"/>
          <w:b w:val="0"/>
          <w:bCs w:val="0"/>
          <w:spacing w:val="4"/>
          <w:sz w:val="24"/>
          <w:szCs w:val="24"/>
        </w:rPr>
        <w:t>編列預算撥補健保基金</w:t>
      </w:r>
      <w:r w:rsidR="001C6E5D" w:rsidRPr="0085471A">
        <w:rPr>
          <w:rFonts w:ascii="標楷體" w:hAnsi="標楷體" w:hint="eastAsia"/>
          <w:b w:val="0"/>
          <w:bCs w:val="0"/>
          <w:spacing w:val="4"/>
          <w:sz w:val="24"/>
          <w:szCs w:val="24"/>
        </w:rPr>
        <w:t>640億元</w:t>
      </w:r>
      <w:r w:rsidRPr="0085471A">
        <w:rPr>
          <w:rFonts w:ascii="標楷體" w:hAnsi="標楷體" w:hint="eastAsia"/>
          <w:b w:val="0"/>
          <w:bCs w:val="0"/>
          <w:spacing w:val="4"/>
          <w:sz w:val="24"/>
          <w:szCs w:val="24"/>
        </w:rPr>
        <w:t>，並由衛福部推動</w:t>
      </w:r>
      <w:r w:rsidRPr="0085471A">
        <w:rPr>
          <w:rFonts w:ascii="標楷體" w:hAnsi="標楷體"/>
          <w:b w:val="0"/>
          <w:bCs w:val="0"/>
          <w:spacing w:val="4"/>
          <w:sz w:val="24"/>
          <w:szCs w:val="24"/>
        </w:rPr>
        <w:t>健保財務協助方案支應原由健保基金負擔項目</w:t>
      </w:r>
      <w:r w:rsidR="001C6E5D" w:rsidRPr="0085471A">
        <w:rPr>
          <w:rFonts w:ascii="標楷體" w:hAnsi="標楷體" w:hint="eastAsia"/>
          <w:b w:val="0"/>
          <w:bCs w:val="0"/>
          <w:spacing w:val="4"/>
          <w:sz w:val="24"/>
          <w:szCs w:val="24"/>
        </w:rPr>
        <w:t>以減少支出335億餘元</w:t>
      </w:r>
      <w:r w:rsidRPr="0085471A">
        <w:rPr>
          <w:rFonts w:ascii="標楷體" w:hAnsi="標楷體" w:hint="eastAsia"/>
          <w:b w:val="0"/>
          <w:bCs w:val="0"/>
          <w:spacing w:val="4"/>
          <w:sz w:val="24"/>
          <w:szCs w:val="24"/>
        </w:rPr>
        <w:t>等方式，以</w:t>
      </w:r>
      <w:r w:rsidRPr="0085471A">
        <w:rPr>
          <w:rFonts w:ascii="標楷體" w:hAnsi="標楷體"/>
          <w:b w:val="0"/>
          <w:bCs w:val="0"/>
          <w:spacing w:val="4"/>
          <w:sz w:val="24"/>
          <w:szCs w:val="24"/>
        </w:rPr>
        <w:t>紓緩</w:t>
      </w:r>
      <w:r w:rsidRPr="0085471A">
        <w:rPr>
          <w:rFonts w:ascii="標楷體" w:hAnsi="標楷體" w:hint="eastAsia"/>
          <w:b w:val="0"/>
          <w:bCs w:val="0"/>
          <w:spacing w:val="4"/>
          <w:sz w:val="24"/>
          <w:szCs w:val="24"/>
        </w:rPr>
        <w:t>健保</w:t>
      </w:r>
      <w:r w:rsidRPr="0085471A">
        <w:rPr>
          <w:rFonts w:ascii="標楷體" w:hAnsi="標楷體"/>
          <w:b w:val="0"/>
          <w:bCs w:val="0"/>
          <w:spacing w:val="4"/>
          <w:sz w:val="24"/>
          <w:szCs w:val="24"/>
        </w:rPr>
        <w:t>財務壓力</w:t>
      </w:r>
      <w:r w:rsidRPr="0085471A">
        <w:rPr>
          <w:rFonts w:ascii="標楷體" w:hAnsi="標楷體" w:hint="eastAsia"/>
          <w:b w:val="0"/>
          <w:bCs w:val="0"/>
          <w:spacing w:val="4"/>
          <w:sz w:val="24"/>
          <w:szCs w:val="24"/>
        </w:rPr>
        <w:t>，截至114年底安全準備餘額2,089億餘元，約當3.01個月保險給付支出，顯示近年健保基金多仰賴政府撥補，以維持財務穩定。</w:t>
      </w:r>
      <w:r w:rsidR="00FD51E6" w:rsidRPr="0085471A">
        <w:rPr>
          <w:rFonts w:ascii="標楷體" w:hAnsi="標楷體" w:hint="eastAsia"/>
          <w:b w:val="0"/>
          <w:bCs w:val="0"/>
          <w:spacing w:val="4"/>
          <w:sz w:val="24"/>
          <w:szCs w:val="24"/>
        </w:rPr>
        <w:t>惟</w:t>
      </w:r>
      <w:r w:rsidRPr="0085471A">
        <w:rPr>
          <w:rFonts w:ascii="標楷體" w:hAnsi="標楷體" w:hint="eastAsia"/>
          <w:b w:val="0"/>
          <w:bCs w:val="0"/>
          <w:spacing w:val="4"/>
          <w:sz w:val="24"/>
          <w:szCs w:val="24"/>
        </w:rPr>
        <w:t>據健保署推估，</w:t>
      </w:r>
      <w:r w:rsidR="00FD51E6" w:rsidRPr="0085471A">
        <w:rPr>
          <w:rFonts w:ascii="標楷體" w:hAnsi="標楷體" w:hint="eastAsia"/>
          <w:b w:val="0"/>
          <w:bCs w:val="0"/>
          <w:spacing w:val="4"/>
          <w:sz w:val="24"/>
          <w:szCs w:val="24"/>
        </w:rPr>
        <w:t>自</w:t>
      </w:r>
      <w:r w:rsidRPr="0085471A">
        <w:rPr>
          <w:rFonts w:ascii="標楷體" w:hAnsi="標楷體" w:hint="eastAsia"/>
          <w:b w:val="0"/>
          <w:bCs w:val="0"/>
          <w:spacing w:val="4"/>
          <w:sz w:val="24"/>
          <w:szCs w:val="24"/>
        </w:rPr>
        <w:t>115年度</w:t>
      </w:r>
      <w:r w:rsidR="00FD51E6" w:rsidRPr="0085471A">
        <w:rPr>
          <w:rFonts w:ascii="標楷體" w:hAnsi="標楷體" w:hint="eastAsia"/>
          <w:b w:val="0"/>
          <w:bCs w:val="0"/>
          <w:spacing w:val="4"/>
          <w:sz w:val="24"/>
          <w:szCs w:val="24"/>
        </w:rPr>
        <w:t>起</w:t>
      </w:r>
      <w:r w:rsidRPr="0085471A">
        <w:rPr>
          <w:rFonts w:ascii="標楷體" w:hAnsi="標楷體" w:hint="eastAsia"/>
          <w:b w:val="0"/>
          <w:bCs w:val="0"/>
          <w:spacing w:val="4"/>
          <w:sz w:val="24"/>
          <w:szCs w:val="24"/>
        </w:rPr>
        <w:t>保險收支</w:t>
      </w:r>
      <w:r w:rsidR="00FD51E6" w:rsidRPr="0085471A">
        <w:rPr>
          <w:rFonts w:ascii="標楷體" w:hAnsi="標楷體" w:hint="eastAsia"/>
          <w:b w:val="0"/>
          <w:bCs w:val="0"/>
          <w:spacing w:val="4"/>
          <w:sz w:val="24"/>
          <w:szCs w:val="24"/>
        </w:rPr>
        <w:t>將由餘轉</w:t>
      </w:r>
      <w:r w:rsidRPr="0085471A">
        <w:rPr>
          <w:rFonts w:ascii="標楷體" w:hAnsi="標楷體" w:hint="eastAsia"/>
          <w:b w:val="0"/>
          <w:bCs w:val="0"/>
          <w:spacing w:val="4"/>
          <w:sz w:val="24"/>
          <w:szCs w:val="24"/>
        </w:rPr>
        <w:t>絀，</w:t>
      </w:r>
      <w:r w:rsidR="00FD51E6" w:rsidRPr="0085471A">
        <w:rPr>
          <w:rFonts w:ascii="標楷體" w:hAnsi="標楷體" w:hint="eastAsia"/>
          <w:b w:val="0"/>
          <w:bCs w:val="0"/>
          <w:spacing w:val="4"/>
          <w:sz w:val="24"/>
          <w:szCs w:val="24"/>
        </w:rPr>
        <w:t>預估</w:t>
      </w:r>
      <w:r w:rsidRPr="0085471A">
        <w:rPr>
          <w:rFonts w:ascii="標楷體" w:hAnsi="標楷體" w:hint="eastAsia"/>
          <w:b w:val="0"/>
          <w:bCs w:val="0"/>
          <w:spacing w:val="4"/>
          <w:sz w:val="24"/>
          <w:szCs w:val="24"/>
        </w:rPr>
        <w:t>116年底安全準備餘額約當1.03個月保險給付支出</w:t>
      </w:r>
      <w:r w:rsidRPr="0085471A">
        <w:rPr>
          <w:rFonts w:ascii="標楷體" w:hAnsi="標楷體"/>
          <w:b w:val="0"/>
          <w:bCs w:val="0"/>
          <w:spacing w:val="4"/>
          <w:sz w:val="24"/>
          <w:szCs w:val="24"/>
        </w:rPr>
        <w:t>，僅略高於應檢討調整保險費率之門檻（1個月保險給付支出），</w:t>
      </w:r>
      <w:r w:rsidR="00FD51E6" w:rsidRPr="0085471A">
        <w:rPr>
          <w:rFonts w:ascii="標楷體" w:hAnsi="標楷體" w:hint="eastAsia"/>
          <w:b w:val="0"/>
          <w:bCs w:val="0"/>
          <w:spacing w:val="4"/>
          <w:sz w:val="24"/>
          <w:szCs w:val="24"/>
        </w:rPr>
        <w:t>並</w:t>
      </w:r>
      <w:r w:rsidRPr="0085471A">
        <w:rPr>
          <w:rFonts w:ascii="標楷體" w:hAnsi="標楷體" w:hint="eastAsia"/>
          <w:b w:val="0"/>
          <w:bCs w:val="0"/>
          <w:spacing w:val="4"/>
          <w:sz w:val="24"/>
          <w:szCs w:val="24"/>
        </w:rPr>
        <w:t>於117年度面臨調漲保險費率之壓力</w:t>
      </w:r>
      <w:r w:rsidRPr="0085471A">
        <w:rPr>
          <w:rFonts w:ascii="標楷體" w:hAnsi="標楷體"/>
          <w:b w:val="0"/>
          <w:bCs w:val="0"/>
          <w:spacing w:val="4"/>
          <w:sz w:val="24"/>
          <w:szCs w:val="24"/>
        </w:rPr>
        <w:t>。</w:t>
      </w:r>
      <w:r w:rsidRPr="0085471A">
        <w:rPr>
          <w:rFonts w:ascii="標楷體" w:hAnsi="標楷體" w:hint="eastAsia"/>
          <w:b w:val="0"/>
          <w:bCs w:val="0"/>
          <w:spacing w:val="4"/>
          <w:sz w:val="24"/>
          <w:szCs w:val="24"/>
        </w:rPr>
        <w:t>然據</w:t>
      </w:r>
      <w:r w:rsidRPr="0085471A">
        <w:rPr>
          <w:rFonts w:ascii="標楷體" w:hAnsi="標楷體"/>
          <w:b w:val="0"/>
          <w:bCs w:val="0"/>
          <w:spacing w:val="4"/>
          <w:sz w:val="24"/>
          <w:szCs w:val="24"/>
        </w:rPr>
        <w:t>115年度中央政府總預算案總說明</w:t>
      </w:r>
      <w:r w:rsidRPr="0085471A">
        <w:rPr>
          <w:rFonts w:ascii="標楷體" w:hAnsi="標楷體" w:hint="eastAsia"/>
          <w:b w:val="0"/>
          <w:bCs w:val="0"/>
          <w:spacing w:val="4"/>
          <w:sz w:val="24"/>
          <w:szCs w:val="24"/>
        </w:rPr>
        <w:t>載以</w:t>
      </w:r>
      <w:r w:rsidRPr="0085471A">
        <w:rPr>
          <w:rFonts w:ascii="標楷體" w:hAnsi="標楷體"/>
          <w:b w:val="0"/>
          <w:bCs w:val="0"/>
          <w:spacing w:val="4"/>
          <w:sz w:val="24"/>
          <w:szCs w:val="24"/>
        </w:rPr>
        <w:t>，</w:t>
      </w:r>
      <w:r w:rsidRPr="0085471A">
        <w:rPr>
          <w:rFonts w:ascii="標楷體" w:hAnsi="標楷體" w:hint="eastAsia"/>
          <w:b w:val="0"/>
          <w:bCs w:val="0"/>
          <w:spacing w:val="4"/>
          <w:sz w:val="24"/>
          <w:szCs w:val="24"/>
        </w:rPr>
        <w:t>受財政收支劃分法修正影響，</w:t>
      </w:r>
      <w:r w:rsidRPr="0085471A">
        <w:rPr>
          <w:rFonts w:ascii="標楷體" w:hAnsi="標楷體"/>
          <w:b w:val="0"/>
          <w:bCs w:val="0"/>
          <w:spacing w:val="4"/>
          <w:sz w:val="24"/>
          <w:szCs w:val="24"/>
        </w:rPr>
        <w:t>中央政府經常性收入預估減少</w:t>
      </w:r>
      <w:r w:rsidRPr="0085471A">
        <w:rPr>
          <w:rFonts w:ascii="標楷體" w:hAnsi="標楷體" w:hint="eastAsia"/>
          <w:b w:val="0"/>
          <w:bCs w:val="0"/>
          <w:spacing w:val="4"/>
          <w:sz w:val="24"/>
          <w:szCs w:val="24"/>
        </w:rPr>
        <w:t>約</w:t>
      </w:r>
      <w:r w:rsidRPr="0085471A">
        <w:rPr>
          <w:rFonts w:ascii="標楷體" w:hAnsi="標楷體"/>
          <w:b w:val="0"/>
          <w:bCs w:val="0"/>
          <w:spacing w:val="4"/>
          <w:sz w:val="24"/>
          <w:szCs w:val="24"/>
        </w:rPr>
        <w:t>4</w:t>
      </w:r>
      <w:r w:rsidRPr="0085471A">
        <w:rPr>
          <w:rFonts w:ascii="標楷體" w:hAnsi="標楷體" w:hint="eastAsia"/>
          <w:b w:val="0"/>
          <w:bCs w:val="0"/>
          <w:spacing w:val="4"/>
          <w:sz w:val="24"/>
          <w:szCs w:val="24"/>
        </w:rPr>
        <w:t>千</w:t>
      </w:r>
      <w:r w:rsidRPr="0085471A">
        <w:rPr>
          <w:rFonts w:ascii="標楷體" w:hAnsi="標楷體"/>
          <w:b w:val="0"/>
          <w:bCs w:val="0"/>
          <w:spacing w:val="4"/>
          <w:sz w:val="24"/>
          <w:szCs w:val="24"/>
        </w:rPr>
        <w:t>億元，</w:t>
      </w:r>
      <w:r w:rsidRPr="0085471A">
        <w:rPr>
          <w:rFonts w:ascii="標楷體" w:hAnsi="標楷體" w:hint="eastAsia"/>
          <w:b w:val="0"/>
          <w:bCs w:val="0"/>
          <w:spacing w:val="4"/>
          <w:sz w:val="24"/>
          <w:szCs w:val="24"/>
        </w:rPr>
        <w:t>並產生</w:t>
      </w:r>
      <w:r w:rsidRPr="0085471A">
        <w:rPr>
          <w:rFonts w:ascii="標楷體" w:hAnsi="標楷體"/>
          <w:b w:val="0"/>
          <w:bCs w:val="0"/>
          <w:spacing w:val="4"/>
          <w:sz w:val="24"/>
          <w:szCs w:val="24"/>
        </w:rPr>
        <w:t>財政缺口，</w:t>
      </w:r>
      <w:r w:rsidRPr="0085471A">
        <w:rPr>
          <w:rFonts w:ascii="標楷體" w:hAnsi="標楷體" w:hint="eastAsia"/>
          <w:b w:val="0"/>
          <w:bCs w:val="0"/>
          <w:spacing w:val="4"/>
          <w:sz w:val="24"/>
          <w:szCs w:val="24"/>
        </w:rPr>
        <w:t>須仰賴</w:t>
      </w:r>
      <w:r w:rsidRPr="0085471A">
        <w:rPr>
          <w:rFonts w:ascii="標楷體" w:hAnsi="標楷體"/>
          <w:b w:val="0"/>
          <w:bCs w:val="0"/>
          <w:spacing w:val="4"/>
          <w:sz w:val="24"/>
          <w:szCs w:val="24"/>
        </w:rPr>
        <w:t>舉債</w:t>
      </w:r>
      <w:r w:rsidRPr="0085471A">
        <w:rPr>
          <w:rFonts w:ascii="標楷體" w:hAnsi="標楷體" w:hint="eastAsia"/>
          <w:b w:val="0"/>
          <w:bCs w:val="0"/>
          <w:spacing w:val="4"/>
          <w:sz w:val="24"/>
          <w:szCs w:val="24"/>
        </w:rPr>
        <w:t>予以</w:t>
      </w:r>
      <w:r w:rsidRPr="0085471A">
        <w:rPr>
          <w:rFonts w:ascii="標楷體" w:hAnsi="標楷體"/>
          <w:b w:val="0"/>
          <w:bCs w:val="0"/>
          <w:spacing w:val="4"/>
          <w:sz w:val="24"/>
          <w:szCs w:val="24"/>
        </w:rPr>
        <w:t>彌</w:t>
      </w:r>
      <w:r w:rsidRPr="0085471A">
        <w:rPr>
          <w:rFonts w:ascii="標楷體" w:hAnsi="標楷體" w:hint="eastAsia"/>
          <w:b w:val="0"/>
          <w:bCs w:val="0"/>
          <w:spacing w:val="4"/>
          <w:sz w:val="24"/>
          <w:szCs w:val="24"/>
        </w:rPr>
        <w:t>平</w:t>
      </w:r>
      <w:r w:rsidRPr="0085471A">
        <w:rPr>
          <w:rFonts w:ascii="標楷體" w:hAnsi="標楷體"/>
          <w:b w:val="0"/>
          <w:bCs w:val="0"/>
          <w:spacing w:val="4"/>
          <w:sz w:val="24"/>
          <w:szCs w:val="24"/>
        </w:rPr>
        <w:t>，顯示中央政府財政壓力加</w:t>
      </w:r>
      <w:r w:rsidRPr="0085471A">
        <w:rPr>
          <w:rFonts w:ascii="標楷體" w:hAnsi="標楷體" w:hint="eastAsia"/>
          <w:b w:val="0"/>
          <w:bCs w:val="0"/>
          <w:spacing w:val="4"/>
          <w:sz w:val="24"/>
          <w:szCs w:val="24"/>
        </w:rPr>
        <w:t>重，為維繫健保永續經營，減少</w:t>
      </w:r>
      <w:r w:rsidRPr="0085471A">
        <w:rPr>
          <w:rFonts w:ascii="標楷體" w:hAnsi="標楷體"/>
          <w:b w:val="0"/>
          <w:bCs w:val="0"/>
          <w:spacing w:val="4"/>
          <w:sz w:val="24"/>
          <w:szCs w:val="24"/>
        </w:rPr>
        <w:t>仰賴</w:t>
      </w:r>
      <w:r w:rsidRPr="0085471A">
        <w:rPr>
          <w:rFonts w:ascii="標楷體" w:hAnsi="標楷體" w:hint="eastAsia"/>
          <w:b w:val="0"/>
          <w:bCs w:val="0"/>
          <w:spacing w:val="4"/>
          <w:sz w:val="24"/>
          <w:szCs w:val="24"/>
        </w:rPr>
        <w:t>政府財政資源，經函請衛福部督</w:t>
      </w:r>
      <w:r w:rsidRPr="0085471A">
        <w:rPr>
          <w:rFonts w:ascii="標楷體" w:hAnsi="標楷體" w:hint="eastAsia"/>
          <w:b w:val="0"/>
          <w:sz w:val="24"/>
          <w:szCs w:val="24"/>
        </w:rPr>
        <w:t>促預為研謀因應，籌措多元財源，及妥謀收支制度改革措施，以優化健保財務結構，維護健保財務健全。據復：</w:t>
      </w:r>
      <w:r w:rsidR="0085471A" w:rsidRPr="0085471A">
        <w:rPr>
          <w:rFonts w:ascii="標楷體" w:hAnsi="標楷體" w:hint="eastAsia"/>
          <w:b w:val="0"/>
          <w:sz w:val="24"/>
          <w:szCs w:val="24"/>
        </w:rPr>
        <w:t>將</w:t>
      </w:r>
      <w:r w:rsidR="00F12886" w:rsidRPr="0085471A">
        <w:rPr>
          <w:rFonts w:ascii="標楷體" w:hAnsi="標楷體" w:hint="eastAsia"/>
          <w:b w:val="0"/>
          <w:sz w:val="24"/>
          <w:szCs w:val="24"/>
        </w:rPr>
        <w:t>審慎評估</w:t>
      </w:r>
      <w:r w:rsidR="00692EC7" w:rsidRPr="0085471A">
        <w:rPr>
          <w:rFonts w:ascii="標楷體" w:hAnsi="標楷體" w:hint="eastAsia"/>
          <w:b w:val="0"/>
          <w:sz w:val="24"/>
          <w:szCs w:val="24"/>
        </w:rPr>
        <w:t>推動</w:t>
      </w:r>
      <w:r w:rsidR="00F12886" w:rsidRPr="0085471A">
        <w:rPr>
          <w:rFonts w:ascii="標楷體" w:hAnsi="標楷體" w:hint="eastAsia"/>
          <w:b w:val="0"/>
          <w:sz w:val="24"/>
          <w:szCs w:val="24"/>
        </w:rPr>
        <w:t>制度改革，並持續爭取政府資源挹注，以</w:t>
      </w:r>
      <w:r w:rsidR="00692EC7" w:rsidRPr="0085471A">
        <w:rPr>
          <w:rFonts w:ascii="標楷體" w:hAnsi="標楷體" w:hint="eastAsia"/>
          <w:b w:val="0"/>
          <w:sz w:val="24"/>
          <w:szCs w:val="24"/>
        </w:rPr>
        <w:t>提升負擔公平性及</w:t>
      </w:r>
      <w:r w:rsidR="00F12886" w:rsidRPr="0085471A">
        <w:rPr>
          <w:rFonts w:ascii="標楷體" w:hAnsi="標楷體" w:hint="eastAsia"/>
          <w:b w:val="0"/>
          <w:sz w:val="24"/>
          <w:szCs w:val="24"/>
        </w:rPr>
        <w:t>確保健保永續</w:t>
      </w:r>
      <w:r w:rsidRPr="0085471A">
        <w:rPr>
          <w:rFonts w:ascii="標楷體" w:hAnsi="標楷體" w:hint="eastAsia"/>
          <w:b w:val="0"/>
          <w:sz w:val="24"/>
          <w:szCs w:val="24"/>
        </w:rPr>
        <w:t>。</w:t>
      </w:r>
    </w:p>
    <w:p w14:paraId="66F16072" w14:textId="20850248" w:rsidR="005E6E9F" w:rsidRPr="0085471A" w:rsidRDefault="005E6E9F" w:rsidP="004068F5">
      <w:pPr>
        <w:pStyle w:val="af9"/>
        <w:overflowPunct w:val="0"/>
        <w:spacing w:beforeLines="0" w:before="0" w:afterLines="0" w:after="0" w:line="628" w:lineRule="exact"/>
        <w:ind w:firstLineChars="700" w:firstLine="1682"/>
        <w:rPr>
          <w:rFonts w:ascii="標楷體" w:hAnsi="標楷體"/>
          <w:b w:val="0"/>
          <w:spacing w:val="2"/>
          <w:sz w:val="24"/>
          <w:szCs w:val="24"/>
        </w:rPr>
      </w:pPr>
      <w:r w:rsidRPr="0085471A">
        <w:rPr>
          <w:rFonts w:ascii="標楷體" w:hAnsi="標楷體" w:hint="eastAsia"/>
          <w:sz w:val="24"/>
          <w:szCs w:val="24"/>
        </w:rPr>
        <w:t xml:space="preserve">C.　</w:t>
      </w:r>
      <w:bookmarkStart w:id="2" w:name="_Hlk232180603"/>
      <w:r w:rsidRPr="0085471A">
        <w:rPr>
          <w:rFonts w:ascii="標楷體" w:hAnsi="標楷體" w:hint="eastAsia"/>
          <w:sz w:val="24"/>
          <w:szCs w:val="24"/>
        </w:rPr>
        <w:t>健保法明定政府每年負擔健保總經費下限，惟</w:t>
      </w:r>
      <w:r w:rsidR="00C11390" w:rsidRPr="0085471A">
        <w:rPr>
          <w:rFonts w:ascii="標楷體" w:hAnsi="標楷體" w:hint="eastAsia"/>
          <w:sz w:val="24"/>
          <w:szCs w:val="24"/>
        </w:rPr>
        <w:t>應提列或增列之安全準備</w:t>
      </w:r>
      <w:r w:rsidRPr="0085471A">
        <w:rPr>
          <w:rFonts w:ascii="標楷體" w:hAnsi="標楷體" w:hint="eastAsia"/>
          <w:sz w:val="24"/>
          <w:szCs w:val="24"/>
        </w:rPr>
        <w:t>計列方式</w:t>
      </w:r>
      <w:r w:rsidR="00FD51E6" w:rsidRPr="0085471A">
        <w:rPr>
          <w:rFonts w:ascii="標楷體" w:hAnsi="標楷體" w:hint="eastAsia"/>
          <w:sz w:val="24"/>
          <w:szCs w:val="24"/>
        </w:rPr>
        <w:t>未臻明確</w:t>
      </w:r>
      <w:r w:rsidR="00C11390" w:rsidRPr="0085471A">
        <w:rPr>
          <w:rFonts w:ascii="標楷體" w:hAnsi="標楷體" w:hint="eastAsia"/>
          <w:sz w:val="24"/>
          <w:szCs w:val="24"/>
        </w:rPr>
        <w:t>，</w:t>
      </w:r>
      <w:r w:rsidR="00002842" w:rsidRPr="0085471A">
        <w:rPr>
          <w:rFonts w:ascii="標楷體" w:hAnsi="標楷體" w:hint="eastAsia"/>
          <w:sz w:val="24"/>
          <w:szCs w:val="24"/>
        </w:rPr>
        <w:t>致</w:t>
      </w:r>
      <w:r w:rsidR="00C11390" w:rsidRPr="0085471A">
        <w:rPr>
          <w:rFonts w:ascii="標楷體" w:hAnsi="標楷體" w:hint="eastAsia"/>
          <w:sz w:val="24"/>
          <w:szCs w:val="24"/>
        </w:rPr>
        <w:t>各方存有不同見解，</w:t>
      </w:r>
      <w:r w:rsidR="00FD51E6" w:rsidRPr="0085471A">
        <w:rPr>
          <w:rFonts w:ascii="標楷體" w:hAnsi="標楷體" w:hint="eastAsia"/>
          <w:sz w:val="24"/>
          <w:szCs w:val="24"/>
        </w:rPr>
        <w:t>有待加速</w:t>
      </w:r>
      <w:r w:rsidRPr="0085471A">
        <w:rPr>
          <w:rFonts w:ascii="標楷體" w:hAnsi="標楷體" w:hint="eastAsia"/>
          <w:sz w:val="24"/>
          <w:szCs w:val="24"/>
        </w:rPr>
        <w:t>完備法制作業</w:t>
      </w:r>
      <w:bookmarkEnd w:id="2"/>
      <w:r w:rsidRPr="0085471A">
        <w:rPr>
          <w:rFonts w:ascii="標楷體" w:hAnsi="標楷體" w:hint="eastAsia"/>
          <w:spacing w:val="-2"/>
          <w:sz w:val="24"/>
          <w:szCs w:val="24"/>
        </w:rPr>
        <w:t>：</w:t>
      </w:r>
      <w:r w:rsidRPr="0085471A">
        <w:rPr>
          <w:rFonts w:ascii="標楷體" w:hAnsi="標楷體" w:hint="eastAsia"/>
          <w:b w:val="0"/>
          <w:bCs w:val="0"/>
          <w:spacing w:val="-2"/>
          <w:sz w:val="24"/>
          <w:szCs w:val="24"/>
        </w:rPr>
        <w:t>健保法第3條規定，政府每年度負擔保險之總經費，不得少於每年度保險經費扣除法定收入後</w:t>
      </w:r>
      <w:r w:rsidRPr="0085471A">
        <w:rPr>
          <w:rFonts w:ascii="標楷體" w:hAnsi="標楷體" w:hint="eastAsia"/>
          <w:b w:val="0"/>
          <w:bCs w:val="0"/>
          <w:sz w:val="24"/>
          <w:szCs w:val="24"/>
        </w:rPr>
        <w:t>金額之36％；政府負擔不足部分，由主管機關編列預算撥補之。同法第2條第5款規定，保險經費指「保險給付支出」及「應提列或增列之安全準備」。</w:t>
      </w:r>
      <w:r w:rsidR="00FD51E6" w:rsidRPr="0085471A">
        <w:rPr>
          <w:rFonts w:ascii="標楷體" w:hAnsi="標楷體" w:hint="eastAsia"/>
          <w:b w:val="0"/>
          <w:bCs w:val="0"/>
          <w:sz w:val="24"/>
          <w:szCs w:val="24"/>
        </w:rPr>
        <w:t>經</w:t>
      </w:r>
      <w:r w:rsidRPr="0085471A">
        <w:rPr>
          <w:rFonts w:ascii="標楷體" w:hAnsi="標楷體" w:hint="eastAsia"/>
          <w:b w:val="0"/>
          <w:bCs w:val="0"/>
          <w:sz w:val="24"/>
          <w:szCs w:val="24"/>
        </w:rPr>
        <w:t>查健保署現行推算政府負擔健保總經費之方式，遇有健保收支結餘時，全數提列安全準備，並計入「應提列或增列之安全準備」項目，惟倘遇收支短絀</w:t>
      </w:r>
      <w:r w:rsidR="00002842" w:rsidRPr="0085471A">
        <w:rPr>
          <w:rFonts w:ascii="標楷體" w:hAnsi="標楷體" w:hint="eastAsia"/>
          <w:b w:val="0"/>
          <w:bCs w:val="0"/>
          <w:sz w:val="24"/>
          <w:szCs w:val="24"/>
        </w:rPr>
        <w:t>須</w:t>
      </w:r>
      <w:r w:rsidR="00C11390" w:rsidRPr="0085471A">
        <w:rPr>
          <w:rFonts w:ascii="標楷體" w:hAnsi="標楷體" w:hint="eastAsia"/>
          <w:b w:val="0"/>
          <w:bCs w:val="0"/>
          <w:sz w:val="24"/>
          <w:szCs w:val="24"/>
        </w:rPr>
        <w:t>以</w:t>
      </w:r>
      <w:r w:rsidRPr="0085471A">
        <w:rPr>
          <w:rFonts w:ascii="標楷體" w:hAnsi="標楷體" w:hint="eastAsia"/>
          <w:b w:val="0"/>
          <w:bCs w:val="0"/>
          <w:sz w:val="24"/>
          <w:szCs w:val="24"/>
        </w:rPr>
        <w:t>安全準備填補，有關「應</w:t>
      </w:r>
      <w:r w:rsidRPr="0085471A">
        <w:rPr>
          <w:rFonts w:ascii="標楷體" w:hAnsi="標楷體" w:hint="eastAsia"/>
          <w:b w:val="0"/>
          <w:bCs w:val="0"/>
          <w:sz w:val="24"/>
          <w:szCs w:val="24"/>
        </w:rPr>
        <w:lastRenderedPageBreak/>
        <w:t>提列或增列之安全準備」項目，究係計零或計入年度短絀數，影響政府負擔健保總經費之認定及政府財務責任範圍，各方存有不同見解，前經本部於105年5月函請衛福部研議明確政府負擔健保總經費之定義，並完備法制</w:t>
      </w:r>
      <w:r w:rsidR="00F73293" w:rsidRPr="0085471A">
        <w:rPr>
          <w:rFonts w:ascii="標楷體" w:hAnsi="標楷體" w:hint="eastAsia"/>
          <w:b w:val="0"/>
          <w:bCs w:val="0"/>
          <w:sz w:val="24"/>
          <w:szCs w:val="24"/>
        </w:rPr>
        <w:t>。</w:t>
      </w:r>
      <w:r w:rsidR="003B1798" w:rsidRPr="0085471A">
        <w:rPr>
          <w:rFonts w:ascii="標楷體" w:hAnsi="標楷體" w:hint="eastAsia"/>
          <w:b w:val="0"/>
          <w:bCs w:val="0"/>
          <w:sz w:val="24"/>
          <w:szCs w:val="24"/>
        </w:rPr>
        <w:t>經</w:t>
      </w:r>
      <w:r w:rsidRPr="0085471A">
        <w:rPr>
          <w:rFonts w:ascii="標楷體" w:hAnsi="標楷體" w:hint="eastAsia"/>
          <w:b w:val="0"/>
          <w:bCs w:val="0"/>
          <w:sz w:val="24"/>
          <w:szCs w:val="24"/>
        </w:rPr>
        <w:t>衛福部參照106年</w:t>
      </w:r>
      <w:r w:rsidR="00D97A97" w:rsidRPr="0085471A">
        <w:rPr>
          <w:rFonts w:ascii="標楷體" w:hAnsi="標楷體" w:hint="eastAsia"/>
          <w:b w:val="0"/>
          <w:bCs w:val="0"/>
          <w:sz w:val="24"/>
          <w:szCs w:val="24"/>
        </w:rPr>
        <w:t>1月</w:t>
      </w:r>
      <w:r w:rsidRPr="0085471A">
        <w:rPr>
          <w:rFonts w:ascii="標楷體" w:hAnsi="標楷體" w:hint="eastAsia"/>
          <w:b w:val="0"/>
          <w:bCs w:val="0"/>
          <w:sz w:val="24"/>
          <w:szCs w:val="24"/>
        </w:rPr>
        <w:t>行政院協商結論，先以條文解釋方式處理，不論保險收支為結餘或短絀，皆採實際值計算</w:t>
      </w:r>
      <w:r w:rsidR="00D97A97" w:rsidRPr="0085471A">
        <w:rPr>
          <w:rFonts w:ascii="標楷體" w:hAnsi="標楷體" w:hint="eastAsia"/>
          <w:b w:val="0"/>
          <w:bCs w:val="0"/>
          <w:sz w:val="24"/>
          <w:szCs w:val="24"/>
        </w:rPr>
        <w:t>。</w:t>
      </w:r>
      <w:r w:rsidRPr="0085471A">
        <w:rPr>
          <w:rFonts w:ascii="標楷體" w:hAnsi="標楷體" w:hint="eastAsia"/>
          <w:b w:val="0"/>
          <w:bCs w:val="0"/>
          <w:sz w:val="24"/>
          <w:szCs w:val="24"/>
        </w:rPr>
        <w:t>經本部於113年6月</w:t>
      </w:r>
      <w:r w:rsidR="00C11390" w:rsidRPr="0085471A">
        <w:rPr>
          <w:rFonts w:ascii="標楷體" w:hAnsi="標楷體" w:hint="eastAsia"/>
          <w:b w:val="0"/>
          <w:bCs w:val="0"/>
          <w:sz w:val="24"/>
          <w:szCs w:val="24"/>
        </w:rPr>
        <w:t>再</w:t>
      </w:r>
      <w:r w:rsidRPr="0085471A">
        <w:rPr>
          <w:rFonts w:ascii="標楷體" w:hAnsi="標楷體" w:hint="eastAsia"/>
          <w:b w:val="0"/>
          <w:bCs w:val="0"/>
          <w:sz w:val="24"/>
          <w:szCs w:val="24"/>
        </w:rPr>
        <w:t>函請</w:t>
      </w:r>
      <w:r w:rsidR="00D97A97" w:rsidRPr="0085471A">
        <w:rPr>
          <w:rFonts w:ascii="標楷體" w:hAnsi="標楷體" w:hint="eastAsia"/>
          <w:b w:val="0"/>
          <w:bCs w:val="0"/>
          <w:sz w:val="24"/>
          <w:szCs w:val="24"/>
        </w:rPr>
        <w:t>衛福部</w:t>
      </w:r>
      <w:r w:rsidRPr="0085471A">
        <w:rPr>
          <w:rFonts w:ascii="標楷體" w:hAnsi="標楷體" w:hint="eastAsia"/>
          <w:b w:val="0"/>
          <w:bCs w:val="0"/>
          <w:sz w:val="24"/>
          <w:szCs w:val="24"/>
        </w:rPr>
        <w:t>檢討後，據復將配合健保改革及修法時程，明確定義</w:t>
      </w:r>
      <w:r w:rsidRPr="0085471A">
        <w:rPr>
          <w:rFonts w:ascii="標楷體" w:hAnsi="標楷體"/>
          <w:b w:val="0"/>
          <w:bCs w:val="0"/>
          <w:sz w:val="24"/>
          <w:szCs w:val="24"/>
        </w:rPr>
        <w:t>政府負擔</w:t>
      </w:r>
      <w:r w:rsidRPr="0085471A">
        <w:rPr>
          <w:rFonts w:ascii="標楷體" w:hAnsi="標楷體" w:hint="eastAsia"/>
          <w:b w:val="0"/>
          <w:bCs w:val="0"/>
          <w:sz w:val="24"/>
          <w:szCs w:val="24"/>
        </w:rPr>
        <w:t>健保</w:t>
      </w:r>
      <w:r w:rsidRPr="0085471A">
        <w:rPr>
          <w:rFonts w:ascii="標楷體" w:hAnsi="標楷體"/>
          <w:b w:val="0"/>
          <w:bCs w:val="0"/>
          <w:sz w:val="24"/>
          <w:szCs w:val="24"/>
        </w:rPr>
        <w:t>總經費</w:t>
      </w:r>
      <w:r w:rsidRPr="0085471A">
        <w:rPr>
          <w:rFonts w:ascii="標楷體" w:hAnsi="標楷體" w:hint="eastAsia"/>
          <w:b w:val="0"/>
          <w:bCs w:val="0"/>
          <w:sz w:val="24"/>
          <w:szCs w:val="24"/>
        </w:rPr>
        <w:t>。</w:t>
      </w:r>
      <w:r w:rsidR="003C1E25" w:rsidRPr="0085471A">
        <w:rPr>
          <w:rFonts w:ascii="標楷體" w:hAnsi="標楷體" w:hint="eastAsia"/>
          <w:b w:val="0"/>
          <w:bCs w:val="0"/>
          <w:sz w:val="24"/>
          <w:szCs w:val="24"/>
        </w:rPr>
        <w:t>惟</w:t>
      </w:r>
      <w:r w:rsidRPr="0085471A">
        <w:rPr>
          <w:rFonts w:ascii="標楷體" w:hAnsi="標楷體" w:hint="eastAsia"/>
          <w:b w:val="0"/>
          <w:bCs w:val="0"/>
          <w:sz w:val="24"/>
          <w:szCs w:val="24"/>
        </w:rPr>
        <w:t>經</w:t>
      </w:r>
      <w:r w:rsidR="00D97A97" w:rsidRPr="0085471A">
        <w:rPr>
          <w:rFonts w:ascii="標楷體" w:hAnsi="標楷體" w:hint="eastAsia"/>
          <w:b w:val="0"/>
          <w:bCs w:val="0"/>
          <w:sz w:val="24"/>
          <w:szCs w:val="24"/>
        </w:rPr>
        <w:t>本部</w:t>
      </w:r>
      <w:r w:rsidRPr="0085471A">
        <w:rPr>
          <w:rFonts w:ascii="標楷體" w:hAnsi="標楷體" w:hint="eastAsia"/>
          <w:b w:val="0"/>
          <w:bCs w:val="0"/>
          <w:sz w:val="24"/>
          <w:szCs w:val="24"/>
        </w:rPr>
        <w:t>追蹤結果，</w:t>
      </w:r>
      <w:r w:rsidRPr="0085471A">
        <w:rPr>
          <w:rFonts w:ascii="標楷體" w:hAnsi="標楷體"/>
          <w:b w:val="0"/>
          <w:bCs w:val="0"/>
          <w:sz w:val="24"/>
          <w:szCs w:val="24"/>
        </w:rPr>
        <w:t>截至115年5月底止</w:t>
      </w:r>
      <w:r w:rsidR="00002842" w:rsidRPr="0085471A">
        <w:rPr>
          <w:rFonts w:ascii="標楷體" w:hAnsi="標楷體" w:hint="eastAsia"/>
          <w:b w:val="0"/>
          <w:bCs w:val="0"/>
          <w:sz w:val="24"/>
          <w:szCs w:val="24"/>
        </w:rPr>
        <w:t>，政府每年負擔健保總經費，仍</w:t>
      </w:r>
      <w:r w:rsidRPr="0085471A">
        <w:rPr>
          <w:rFonts w:ascii="標楷體" w:hAnsi="標楷體" w:hint="eastAsia"/>
          <w:b w:val="0"/>
          <w:bCs w:val="0"/>
          <w:sz w:val="24"/>
          <w:szCs w:val="24"/>
        </w:rPr>
        <w:t>悉以前開協商結論為計算依據</w:t>
      </w:r>
      <w:r w:rsidR="00F20CA6" w:rsidRPr="0085471A">
        <w:rPr>
          <w:rFonts w:ascii="標楷體" w:hAnsi="標楷體" w:hint="eastAsia"/>
          <w:b w:val="0"/>
          <w:bCs w:val="0"/>
          <w:sz w:val="24"/>
          <w:szCs w:val="24"/>
        </w:rPr>
        <w:t>，</w:t>
      </w:r>
      <w:r w:rsidR="00002842" w:rsidRPr="0085471A">
        <w:rPr>
          <w:rFonts w:ascii="標楷體" w:hAnsi="標楷體" w:hint="eastAsia"/>
          <w:b w:val="0"/>
          <w:bCs w:val="0"/>
          <w:sz w:val="24"/>
          <w:szCs w:val="24"/>
        </w:rPr>
        <w:t>尚</w:t>
      </w:r>
      <w:r w:rsidR="00002842" w:rsidRPr="0085471A">
        <w:rPr>
          <w:rFonts w:ascii="標楷體" w:hAnsi="標楷體"/>
          <w:b w:val="0"/>
          <w:bCs w:val="0"/>
          <w:sz w:val="24"/>
          <w:szCs w:val="24"/>
        </w:rPr>
        <w:t>未完成</w:t>
      </w:r>
      <w:r w:rsidR="00EF6C27" w:rsidRPr="0085471A">
        <w:rPr>
          <w:rFonts w:ascii="標楷體" w:hAnsi="標楷體"/>
          <w:b w:val="0"/>
          <w:bCs w:val="0"/>
          <w:sz w:val="24"/>
          <w:szCs w:val="24"/>
        </w:rPr>
        <w:t>相關法制作業</w:t>
      </w:r>
      <w:r w:rsidR="003C1E25" w:rsidRPr="0085471A">
        <w:rPr>
          <w:rFonts w:ascii="標楷體" w:hAnsi="標楷體" w:hint="eastAsia"/>
          <w:b w:val="0"/>
          <w:bCs w:val="0"/>
          <w:sz w:val="24"/>
          <w:szCs w:val="24"/>
        </w:rPr>
        <w:t>。</w:t>
      </w:r>
      <w:r w:rsidRPr="0085471A">
        <w:rPr>
          <w:rFonts w:ascii="標楷體" w:hAnsi="標楷體" w:hint="eastAsia"/>
          <w:b w:val="0"/>
          <w:bCs w:val="0"/>
          <w:sz w:val="24"/>
          <w:szCs w:val="24"/>
        </w:rPr>
        <w:t>經函請衛福部加速推動</w:t>
      </w:r>
      <w:r w:rsidR="003C1E25" w:rsidRPr="0085471A">
        <w:rPr>
          <w:rFonts w:ascii="標楷體" w:hAnsi="標楷體" w:hint="eastAsia"/>
          <w:b w:val="0"/>
          <w:bCs w:val="0"/>
          <w:sz w:val="24"/>
          <w:szCs w:val="24"/>
        </w:rPr>
        <w:t>修法作業</w:t>
      </w:r>
      <w:r w:rsidRPr="0085471A">
        <w:rPr>
          <w:rFonts w:ascii="標楷體" w:hAnsi="標楷體" w:hint="eastAsia"/>
          <w:b w:val="0"/>
          <w:bCs w:val="0"/>
          <w:sz w:val="24"/>
          <w:szCs w:val="24"/>
        </w:rPr>
        <w:t>，俾釐定政府財務責任</w:t>
      </w:r>
      <w:r w:rsidRPr="0085471A">
        <w:rPr>
          <w:rFonts w:ascii="標楷體" w:hAnsi="標楷體" w:hint="eastAsia"/>
          <w:b w:val="0"/>
          <w:spacing w:val="2"/>
          <w:sz w:val="24"/>
          <w:szCs w:val="24"/>
        </w:rPr>
        <w:t>。據復：</w:t>
      </w:r>
      <w:r w:rsidR="00F12886" w:rsidRPr="0085471A">
        <w:rPr>
          <w:rFonts w:ascii="標楷體" w:hAnsi="標楷體" w:hint="eastAsia"/>
          <w:b w:val="0"/>
          <w:spacing w:val="2"/>
          <w:sz w:val="24"/>
          <w:szCs w:val="24"/>
        </w:rPr>
        <w:t>將配合健保法其他修法事項通盤研議後推動</w:t>
      </w:r>
      <w:r w:rsidRPr="0085471A">
        <w:rPr>
          <w:rFonts w:ascii="標楷體" w:hAnsi="標楷體" w:hint="eastAsia"/>
          <w:b w:val="0"/>
          <w:spacing w:val="2"/>
          <w:sz w:val="24"/>
          <w:szCs w:val="24"/>
        </w:rPr>
        <w:t>。</w:t>
      </w:r>
    </w:p>
    <w:p w14:paraId="550DD77F" w14:textId="29AC42D5" w:rsidR="005E6E9F" w:rsidRPr="00692EC7" w:rsidRDefault="005E6E9F" w:rsidP="00FF7C0F">
      <w:pPr>
        <w:pStyle w:val="af9"/>
        <w:overflowPunct w:val="0"/>
        <w:spacing w:beforeLines="0" w:before="0" w:afterLines="0" w:after="0" w:line="640" w:lineRule="exact"/>
        <w:ind w:firstLineChars="450" w:firstLine="1261"/>
        <w:rPr>
          <w:rFonts w:ascii="標楷體" w:hAnsi="標楷體"/>
          <w:bCs w:val="0"/>
          <w:spacing w:val="6"/>
          <w:kern w:val="0"/>
        </w:rPr>
      </w:pPr>
      <w:r w:rsidRPr="00651CCA">
        <w:rPr>
          <w:rFonts w:ascii="標楷體" w:hAnsi="標楷體" w:hint="eastAsia"/>
          <w:bCs w:val="0"/>
          <w:kern w:val="0"/>
        </w:rPr>
        <w:t>（</w:t>
      </w:r>
      <w:r>
        <w:rPr>
          <w:rFonts w:ascii="標楷體" w:hAnsi="標楷體"/>
          <w:bCs w:val="0"/>
          <w:kern w:val="0"/>
        </w:rPr>
        <w:t>2</w:t>
      </w:r>
      <w:r w:rsidRPr="00651CCA">
        <w:rPr>
          <w:rFonts w:ascii="標楷體" w:hAnsi="標楷體" w:hint="eastAsia"/>
          <w:bCs w:val="0"/>
          <w:kern w:val="0"/>
        </w:rPr>
        <w:t xml:space="preserve">）　</w:t>
      </w:r>
      <w:r w:rsidRPr="00692EC7">
        <w:rPr>
          <w:rFonts w:ascii="標楷體" w:hAnsi="標楷體" w:hint="eastAsia"/>
          <w:bCs w:val="0"/>
          <w:spacing w:val="2"/>
          <w:kern w:val="0"/>
        </w:rPr>
        <w:t>衛福部為強化慢性病防治成效推動「8年888計畫」，並由健保署配合推動「大家醫計畫」，惟</w:t>
      </w:r>
      <w:r w:rsidR="000437BC" w:rsidRPr="00692EC7">
        <w:rPr>
          <w:rFonts w:ascii="標楷體" w:hAnsi="標楷體" w:hint="eastAsia"/>
          <w:bCs w:val="0"/>
          <w:spacing w:val="2"/>
          <w:kern w:val="0"/>
        </w:rPr>
        <w:t>部分院所</w:t>
      </w:r>
      <w:r w:rsidR="00EF6C27" w:rsidRPr="00692EC7">
        <w:rPr>
          <w:rFonts w:ascii="標楷體" w:hAnsi="標楷體" w:hint="eastAsia"/>
          <w:bCs w:val="0"/>
          <w:spacing w:val="2"/>
          <w:kern w:val="0"/>
        </w:rPr>
        <w:t>尚未</w:t>
      </w:r>
      <w:r w:rsidR="000437BC" w:rsidRPr="00692EC7">
        <w:rPr>
          <w:rFonts w:ascii="標楷體" w:hAnsi="標楷體" w:hint="eastAsia"/>
          <w:bCs w:val="0"/>
          <w:spacing w:val="2"/>
          <w:kern w:val="0"/>
        </w:rPr>
        <w:t>參與計畫，影響</w:t>
      </w:r>
      <w:r w:rsidR="00B54F51" w:rsidRPr="00692EC7">
        <w:rPr>
          <w:rFonts w:ascii="標楷體" w:hAnsi="標楷體" w:hint="eastAsia"/>
          <w:bCs w:val="0"/>
          <w:spacing w:val="2"/>
          <w:kern w:val="0"/>
        </w:rPr>
        <w:t>符合收案資格</w:t>
      </w:r>
      <w:r w:rsidR="000437BC" w:rsidRPr="00692EC7">
        <w:rPr>
          <w:rFonts w:ascii="標楷體" w:hAnsi="標楷體" w:hint="eastAsia"/>
          <w:bCs w:val="0"/>
          <w:spacing w:val="2"/>
          <w:kern w:val="0"/>
        </w:rPr>
        <w:t>者</w:t>
      </w:r>
      <w:r w:rsidRPr="00692EC7">
        <w:rPr>
          <w:rFonts w:ascii="標楷體" w:hAnsi="標楷體" w:hint="eastAsia"/>
          <w:bCs w:val="0"/>
          <w:spacing w:val="2"/>
          <w:kern w:val="0"/>
        </w:rPr>
        <w:t>未</w:t>
      </w:r>
      <w:r w:rsidR="00D97A97" w:rsidRPr="00692EC7">
        <w:rPr>
          <w:rFonts w:ascii="標楷體" w:hAnsi="標楷體" w:hint="eastAsia"/>
          <w:bCs w:val="0"/>
          <w:spacing w:val="2"/>
          <w:kern w:val="0"/>
        </w:rPr>
        <w:t>獲</w:t>
      </w:r>
      <w:r w:rsidRPr="00692EC7">
        <w:rPr>
          <w:rFonts w:ascii="標楷體" w:hAnsi="標楷體" w:hint="eastAsia"/>
          <w:bCs w:val="0"/>
          <w:spacing w:val="2"/>
          <w:kern w:val="0"/>
        </w:rPr>
        <w:t>照護，</w:t>
      </w:r>
      <w:r w:rsidR="00D97A97" w:rsidRPr="00692EC7">
        <w:rPr>
          <w:rFonts w:ascii="標楷體" w:hAnsi="標楷體" w:hint="eastAsia"/>
          <w:bCs w:val="0"/>
          <w:spacing w:val="2"/>
          <w:kern w:val="0"/>
        </w:rPr>
        <w:t>且</w:t>
      </w:r>
      <w:r w:rsidRPr="00692EC7">
        <w:rPr>
          <w:rFonts w:ascii="標楷體" w:hAnsi="標楷體" w:hint="eastAsia"/>
          <w:bCs w:val="0"/>
          <w:spacing w:val="2"/>
          <w:kern w:val="0"/>
        </w:rPr>
        <w:t>間有病人加入照護網比率及疾病控制率</w:t>
      </w:r>
      <w:r w:rsidR="00B54F51" w:rsidRPr="00692EC7">
        <w:rPr>
          <w:rFonts w:ascii="標楷體" w:hAnsi="標楷體" w:hint="eastAsia"/>
          <w:bCs w:val="0"/>
          <w:spacing w:val="2"/>
          <w:kern w:val="0"/>
        </w:rPr>
        <w:t>未達預期目標</w:t>
      </w:r>
      <w:r w:rsidRPr="00692EC7">
        <w:rPr>
          <w:rFonts w:ascii="標楷體" w:hAnsi="標楷體" w:hint="eastAsia"/>
          <w:bCs w:val="0"/>
          <w:spacing w:val="2"/>
          <w:kern w:val="0"/>
        </w:rPr>
        <w:t>，另部分</w:t>
      </w:r>
      <w:r w:rsidR="000437BC" w:rsidRPr="00692EC7">
        <w:rPr>
          <w:rFonts w:ascii="標楷體" w:hAnsi="標楷體" w:hint="eastAsia"/>
          <w:bCs w:val="0"/>
          <w:spacing w:val="2"/>
          <w:kern w:val="0"/>
        </w:rPr>
        <w:t>高風險</w:t>
      </w:r>
      <w:r w:rsidR="000437BC" w:rsidRPr="00692EC7">
        <w:rPr>
          <w:rFonts w:ascii="標楷體" w:hAnsi="標楷體" w:hint="eastAsia"/>
          <w:bCs w:val="0"/>
          <w:spacing w:val="6"/>
          <w:kern w:val="0"/>
        </w:rPr>
        <w:t>慢性病</w:t>
      </w:r>
      <w:r w:rsidRPr="00692EC7">
        <w:rPr>
          <w:rFonts w:ascii="標楷體" w:hAnsi="標楷體" w:hint="eastAsia"/>
          <w:bCs w:val="0"/>
          <w:spacing w:val="6"/>
          <w:kern w:val="0"/>
        </w:rPr>
        <w:t>族群未納列照護</w:t>
      </w:r>
      <w:r w:rsidR="000437BC" w:rsidRPr="00692EC7">
        <w:rPr>
          <w:rFonts w:ascii="標楷體" w:hAnsi="標楷體" w:hint="eastAsia"/>
          <w:bCs w:val="0"/>
          <w:spacing w:val="6"/>
          <w:kern w:val="0"/>
        </w:rPr>
        <w:t>範圍</w:t>
      </w:r>
      <w:r w:rsidRPr="00692EC7">
        <w:rPr>
          <w:rFonts w:ascii="標楷體" w:hAnsi="標楷體" w:hint="eastAsia"/>
          <w:bCs w:val="0"/>
          <w:spacing w:val="6"/>
          <w:kern w:val="0"/>
        </w:rPr>
        <w:t>，允宜研謀改善，健全慢性病共同照護網絡，</w:t>
      </w:r>
      <w:r w:rsidR="00D97A97" w:rsidRPr="00692EC7">
        <w:rPr>
          <w:rFonts w:ascii="標楷體" w:hAnsi="標楷體" w:hint="eastAsia"/>
          <w:bCs w:val="0"/>
          <w:spacing w:val="6"/>
          <w:kern w:val="0"/>
        </w:rPr>
        <w:t>以</w:t>
      </w:r>
      <w:r w:rsidRPr="00692EC7">
        <w:rPr>
          <w:rFonts w:ascii="標楷體" w:hAnsi="標楷體" w:hint="eastAsia"/>
          <w:bCs w:val="0"/>
          <w:spacing w:val="6"/>
          <w:kern w:val="0"/>
        </w:rPr>
        <w:t>提升照護品質。</w:t>
      </w:r>
    </w:p>
    <w:p w14:paraId="0F10F410" w14:textId="2E525C0F" w:rsidR="005E6E9F" w:rsidRPr="00FF7C0F" w:rsidRDefault="005E6E9F" w:rsidP="004068F5">
      <w:pPr>
        <w:pStyle w:val="af9"/>
        <w:overflowPunct w:val="0"/>
        <w:spacing w:beforeLines="0" w:before="0" w:afterLines="0" w:after="0" w:line="640" w:lineRule="exact"/>
        <w:ind w:firstLine="472"/>
        <w:rPr>
          <w:rFonts w:ascii="標楷體" w:hAnsi="標楷體"/>
          <w:b w:val="0"/>
          <w:spacing w:val="-2"/>
          <w:sz w:val="24"/>
          <w:szCs w:val="24"/>
        </w:rPr>
      </w:pPr>
      <w:r w:rsidRPr="00FF7C0F">
        <w:rPr>
          <w:rFonts w:ascii="標楷體" w:hAnsi="標楷體" w:hint="eastAsia"/>
          <w:b w:val="0"/>
          <w:spacing w:val="-2"/>
          <w:sz w:val="24"/>
          <w:szCs w:val="24"/>
        </w:rPr>
        <w:t>隨人口老化，高血壓、高血糖及高血脂等</w:t>
      </w:r>
      <w:r w:rsidR="003C1E25" w:rsidRPr="00FF7C0F">
        <w:rPr>
          <w:rFonts w:ascii="標楷體" w:hAnsi="標楷體" w:hint="eastAsia"/>
          <w:b w:val="0"/>
          <w:spacing w:val="-2"/>
          <w:sz w:val="24"/>
          <w:szCs w:val="24"/>
        </w:rPr>
        <w:t>三高</w:t>
      </w:r>
      <w:r w:rsidRPr="00FF7C0F">
        <w:rPr>
          <w:rFonts w:ascii="標楷體" w:hAnsi="標楷體" w:hint="eastAsia"/>
          <w:b w:val="0"/>
          <w:spacing w:val="-2"/>
          <w:sz w:val="24"/>
          <w:szCs w:val="24"/>
        </w:rPr>
        <w:t>慢性病人口增加，全民健康保險（下稱健保）醫療費用逐年增長。衛生福利部（下稱衛福部）為提升慢性病防治成效，並落實國家發展計畫(114至117年)「擴大醫療投資，打造健康臺灣」之國家發展策略，推動「8年888計畫」(下稱三高防治888計畫)</w:t>
      </w:r>
      <w:r w:rsidRPr="00FF7C0F">
        <w:rPr>
          <w:rFonts w:ascii="標楷體" w:hAnsi="標楷體" w:hint="eastAsia"/>
          <w:b w:val="0"/>
          <w:bCs w:val="0"/>
          <w:spacing w:val="-2"/>
          <w:sz w:val="24"/>
          <w:szCs w:val="24"/>
        </w:rPr>
        <w:t>，</w:t>
      </w:r>
      <w:r w:rsidRPr="00FF7C0F">
        <w:rPr>
          <w:rFonts w:ascii="標楷體" w:hAnsi="標楷體" w:hint="eastAsia"/>
          <w:b w:val="0"/>
          <w:spacing w:val="-2"/>
          <w:sz w:val="24"/>
          <w:szCs w:val="24"/>
        </w:rPr>
        <w:t>並由中央健康保險署（下稱健保署）配合推動「大家醫計畫」</w:t>
      </w:r>
      <w:r w:rsidR="003C1E25" w:rsidRPr="00FF7C0F">
        <w:rPr>
          <w:rFonts w:ascii="標楷體" w:hAnsi="標楷體" w:hint="eastAsia"/>
          <w:b w:val="0"/>
          <w:spacing w:val="-2"/>
          <w:sz w:val="24"/>
          <w:szCs w:val="24"/>
        </w:rPr>
        <w:t>，期</w:t>
      </w:r>
      <w:r w:rsidR="00EA3F8A" w:rsidRPr="00FF7C0F">
        <w:rPr>
          <w:rFonts w:ascii="標楷體" w:hAnsi="標楷體" w:hint="eastAsia"/>
          <w:b w:val="0"/>
          <w:spacing w:val="-2"/>
          <w:sz w:val="24"/>
          <w:szCs w:val="24"/>
        </w:rPr>
        <w:t>維護國民健康，</w:t>
      </w:r>
      <w:r w:rsidR="003C1E25" w:rsidRPr="00FF7C0F">
        <w:rPr>
          <w:rFonts w:ascii="標楷體" w:hAnsi="標楷體" w:hint="eastAsia"/>
          <w:b w:val="0"/>
          <w:spacing w:val="-2"/>
          <w:sz w:val="24"/>
          <w:szCs w:val="24"/>
        </w:rPr>
        <w:t>達成2030年降低三高相關慢性病標準化死亡率三分之一之</w:t>
      </w:r>
      <w:r w:rsidR="005D221D" w:rsidRPr="00FF7C0F">
        <w:rPr>
          <w:rFonts w:ascii="標楷體" w:hAnsi="標楷體" w:hint="eastAsia"/>
          <w:b w:val="0"/>
          <w:spacing w:val="-2"/>
          <w:sz w:val="24"/>
          <w:szCs w:val="24"/>
        </w:rPr>
        <w:t>目標</w:t>
      </w:r>
      <w:r w:rsidR="001C6E5D" w:rsidRPr="00FF7C0F">
        <w:rPr>
          <w:rFonts w:ascii="標楷體" w:hAnsi="標楷體" w:hint="eastAsia"/>
          <w:b w:val="0"/>
          <w:spacing w:val="-2"/>
          <w:sz w:val="24"/>
          <w:szCs w:val="24"/>
        </w:rPr>
        <w:t>，以</w:t>
      </w:r>
      <w:r w:rsidR="005D221D" w:rsidRPr="00FF7C0F">
        <w:rPr>
          <w:rFonts w:ascii="標楷體" w:hAnsi="標楷體" w:hint="eastAsia"/>
          <w:b w:val="0"/>
          <w:spacing w:val="-2"/>
          <w:sz w:val="24"/>
          <w:szCs w:val="24"/>
        </w:rPr>
        <w:t>實現健康臺灣政策願景</w:t>
      </w:r>
      <w:r w:rsidR="003C1E25" w:rsidRPr="00FF7C0F">
        <w:rPr>
          <w:rFonts w:ascii="標楷體" w:hAnsi="標楷體" w:hint="eastAsia"/>
          <w:b w:val="0"/>
          <w:spacing w:val="-2"/>
          <w:sz w:val="24"/>
          <w:szCs w:val="24"/>
        </w:rPr>
        <w:t>；</w:t>
      </w:r>
      <w:r w:rsidRPr="00FF7C0F">
        <w:rPr>
          <w:rFonts w:ascii="標楷體" w:hAnsi="標楷體" w:hint="eastAsia"/>
          <w:b w:val="0"/>
          <w:spacing w:val="-2"/>
          <w:sz w:val="24"/>
          <w:szCs w:val="24"/>
        </w:rPr>
        <w:t>114年度相關計畫經費以健保總額其他預算專款51億</w:t>
      </w:r>
      <w:r w:rsidR="00D97A97" w:rsidRPr="00FF7C0F">
        <w:rPr>
          <w:rFonts w:ascii="標楷體" w:hAnsi="標楷體" w:hint="eastAsia"/>
          <w:b w:val="0"/>
          <w:spacing w:val="-2"/>
          <w:sz w:val="24"/>
          <w:szCs w:val="24"/>
        </w:rPr>
        <w:t>4</w:t>
      </w:r>
      <w:r w:rsidR="00D97A97" w:rsidRPr="00FF7C0F">
        <w:rPr>
          <w:rFonts w:ascii="標楷體" w:hAnsi="標楷體"/>
          <w:b w:val="0"/>
          <w:spacing w:val="-2"/>
          <w:sz w:val="24"/>
          <w:szCs w:val="24"/>
        </w:rPr>
        <w:t>,</w:t>
      </w:r>
      <w:r w:rsidR="00D97A97" w:rsidRPr="00FF7C0F">
        <w:rPr>
          <w:rFonts w:ascii="標楷體" w:hAnsi="標楷體" w:hint="eastAsia"/>
          <w:b w:val="0"/>
          <w:spacing w:val="-2"/>
          <w:sz w:val="24"/>
          <w:szCs w:val="24"/>
        </w:rPr>
        <w:t>800萬</w:t>
      </w:r>
      <w:r w:rsidRPr="00FF7C0F">
        <w:rPr>
          <w:rFonts w:ascii="標楷體" w:hAnsi="標楷體" w:hint="eastAsia"/>
          <w:b w:val="0"/>
          <w:spacing w:val="-2"/>
          <w:sz w:val="24"/>
          <w:szCs w:val="24"/>
        </w:rPr>
        <w:t>元支應。經查</w:t>
      </w:r>
      <w:r w:rsidR="00F73293" w:rsidRPr="00FF7C0F">
        <w:rPr>
          <w:rFonts w:ascii="標楷體" w:hAnsi="標楷體" w:hint="eastAsia"/>
          <w:b w:val="0"/>
          <w:spacing w:val="-2"/>
          <w:sz w:val="24"/>
          <w:szCs w:val="24"/>
        </w:rPr>
        <w:t>相關</w:t>
      </w:r>
      <w:r w:rsidRPr="00FF7C0F">
        <w:rPr>
          <w:rFonts w:ascii="標楷體" w:hAnsi="標楷體" w:hint="eastAsia"/>
          <w:b w:val="0"/>
          <w:spacing w:val="-2"/>
          <w:sz w:val="24"/>
          <w:szCs w:val="24"/>
        </w:rPr>
        <w:t>計畫執行情形，核有下列事項：</w:t>
      </w:r>
    </w:p>
    <w:p w14:paraId="186FC3E2" w14:textId="002E5D99" w:rsidR="005E6E9F" w:rsidRPr="0085471A" w:rsidRDefault="005E6E9F" w:rsidP="00692EC7">
      <w:pPr>
        <w:pStyle w:val="af9"/>
        <w:overflowPunct w:val="0"/>
        <w:spacing w:beforeLines="0" w:before="0" w:afterLines="0" w:after="0" w:line="634" w:lineRule="exact"/>
        <w:ind w:firstLineChars="700" w:firstLine="1682"/>
        <w:rPr>
          <w:rFonts w:ascii="標楷體" w:hAnsi="標楷體"/>
          <w:b w:val="0"/>
          <w:sz w:val="24"/>
          <w:szCs w:val="24"/>
        </w:rPr>
      </w:pPr>
      <w:r w:rsidRPr="00651CCA">
        <w:rPr>
          <w:rFonts w:ascii="標楷體" w:hAnsi="標楷體" w:hint="eastAsia"/>
          <w:sz w:val="24"/>
          <w:szCs w:val="24"/>
        </w:rPr>
        <w:t xml:space="preserve">A.　</w:t>
      </w:r>
      <w:r w:rsidRPr="008F37E7">
        <w:rPr>
          <w:rFonts w:ascii="標楷體" w:hAnsi="標楷體" w:hint="eastAsia"/>
          <w:sz w:val="24"/>
          <w:szCs w:val="24"/>
        </w:rPr>
        <w:t>健保署配合三高防治888計畫，</w:t>
      </w:r>
      <w:r w:rsidRPr="001E0D1F">
        <w:rPr>
          <w:rFonts w:ascii="標楷體" w:hAnsi="標楷體" w:hint="eastAsia"/>
          <w:sz w:val="24"/>
          <w:szCs w:val="24"/>
        </w:rPr>
        <w:t>整合家醫計畫及全人全照護計畫，推動大家醫計畫</w:t>
      </w:r>
      <w:r w:rsidRPr="008F37E7">
        <w:rPr>
          <w:rFonts w:ascii="標楷體" w:hAnsi="標楷體" w:hint="eastAsia"/>
          <w:sz w:val="24"/>
          <w:szCs w:val="24"/>
        </w:rPr>
        <w:t>，惟全國尚有近5成診所、6成地區醫院未參與相關計畫</w:t>
      </w:r>
      <w:r>
        <w:rPr>
          <w:rFonts w:ascii="標楷體" w:hAnsi="標楷體" w:hint="eastAsia"/>
          <w:sz w:val="24"/>
          <w:szCs w:val="24"/>
        </w:rPr>
        <w:t>，致符合收案資格</w:t>
      </w:r>
      <w:r w:rsidR="00BF1C7E">
        <w:rPr>
          <w:rFonts w:ascii="標楷體" w:hAnsi="標楷體" w:hint="eastAsia"/>
          <w:sz w:val="24"/>
          <w:szCs w:val="24"/>
        </w:rPr>
        <w:t>者</w:t>
      </w:r>
      <w:r>
        <w:rPr>
          <w:rFonts w:ascii="標楷體" w:hAnsi="標楷體" w:hint="eastAsia"/>
          <w:sz w:val="24"/>
          <w:szCs w:val="24"/>
        </w:rPr>
        <w:t>未納入照護</w:t>
      </w:r>
      <w:r w:rsidRPr="008F37E7">
        <w:rPr>
          <w:rFonts w:ascii="標楷體" w:hAnsi="標楷體" w:hint="eastAsia"/>
          <w:sz w:val="24"/>
          <w:szCs w:val="24"/>
        </w:rPr>
        <w:t>，且</w:t>
      </w:r>
      <w:r>
        <w:rPr>
          <w:rFonts w:ascii="標楷體" w:hAnsi="標楷體" w:hint="eastAsia"/>
          <w:sz w:val="24"/>
          <w:szCs w:val="24"/>
        </w:rPr>
        <w:t>醫療院所使用</w:t>
      </w:r>
      <w:r w:rsidRPr="008F37E7">
        <w:rPr>
          <w:rFonts w:ascii="標楷體" w:hAnsi="標楷體" w:hint="eastAsia"/>
          <w:sz w:val="24"/>
          <w:szCs w:val="24"/>
        </w:rPr>
        <w:t>家醫大平台情形</w:t>
      </w:r>
      <w:r w:rsidR="003C1E25">
        <w:rPr>
          <w:rFonts w:ascii="標楷體" w:hAnsi="標楷體" w:hint="eastAsia"/>
          <w:sz w:val="24"/>
          <w:szCs w:val="24"/>
        </w:rPr>
        <w:t>尚有成長空間</w:t>
      </w:r>
      <w:r w:rsidRPr="00651CCA">
        <w:rPr>
          <w:rFonts w:ascii="標楷體" w:hAnsi="標楷體" w:hint="eastAsia"/>
          <w:spacing w:val="-2"/>
          <w:sz w:val="24"/>
          <w:szCs w:val="24"/>
        </w:rPr>
        <w:t>：</w:t>
      </w:r>
      <w:r w:rsidRPr="008F37E7">
        <w:rPr>
          <w:rFonts w:ascii="標楷體" w:hAnsi="標楷體" w:hint="eastAsia"/>
          <w:b w:val="0"/>
          <w:bCs w:val="0"/>
          <w:sz w:val="24"/>
          <w:szCs w:val="24"/>
        </w:rPr>
        <w:t>健保署為</w:t>
      </w:r>
      <w:r w:rsidRPr="00613DAB">
        <w:rPr>
          <w:rFonts w:ascii="標楷體" w:hAnsi="標楷體" w:hint="eastAsia"/>
          <w:b w:val="0"/>
          <w:bCs w:val="0"/>
          <w:sz w:val="24"/>
          <w:szCs w:val="24"/>
        </w:rPr>
        <w:t>提</w:t>
      </w:r>
      <w:r w:rsidRPr="008F37E7">
        <w:rPr>
          <w:rFonts w:ascii="標楷體" w:hAnsi="標楷體" w:hint="eastAsia"/>
          <w:b w:val="0"/>
          <w:bCs w:val="0"/>
          <w:sz w:val="24"/>
          <w:szCs w:val="24"/>
        </w:rPr>
        <w:t>供民眾連續性之全人健康照護</w:t>
      </w:r>
      <w:r w:rsidRPr="00613DAB">
        <w:rPr>
          <w:rFonts w:ascii="標楷體" w:hAnsi="標楷體" w:hint="eastAsia"/>
          <w:b w:val="0"/>
          <w:bCs w:val="0"/>
          <w:sz w:val="24"/>
          <w:szCs w:val="24"/>
        </w:rPr>
        <w:t>及落實</w:t>
      </w:r>
      <w:r w:rsidRPr="001E0D1F">
        <w:rPr>
          <w:rFonts w:ascii="標楷體" w:hAnsi="標楷體" w:hint="eastAsia"/>
          <w:b w:val="0"/>
          <w:bCs w:val="0"/>
          <w:sz w:val="24"/>
          <w:szCs w:val="24"/>
        </w:rPr>
        <w:t>全</w:t>
      </w:r>
      <w:r w:rsidRPr="001E0D1F">
        <w:rPr>
          <w:rFonts w:ascii="標楷體" w:hAnsi="標楷體" w:hint="eastAsia"/>
          <w:b w:val="0"/>
          <w:bCs w:val="0"/>
          <w:sz w:val="24"/>
          <w:szCs w:val="24"/>
        </w:rPr>
        <w:lastRenderedPageBreak/>
        <w:t>民健康保險法</w:t>
      </w:r>
      <w:r w:rsidRPr="00613DAB">
        <w:rPr>
          <w:rFonts w:ascii="標楷體" w:hAnsi="標楷體" w:hint="eastAsia"/>
          <w:b w:val="0"/>
          <w:bCs w:val="0"/>
          <w:sz w:val="24"/>
          <w:szCs w:val="24"/>
        </w:rPr>
        <w:t>第44條規定之家庭責任醫師制度，</w:t>
      </w:r>
      <w:r w:rsidRPr="00643055">
        <w:rPr>
          <w:rFonts w:ascii="標楷體" w:hAnsi="標楷體" w:hint="eastAsia"/>
          <w:b w:val="0"/>
          <w:bCs w:val="0"/>
          <w:sz w:val="24"/>
          <w:szCs w:val="24"/>
        </w:rPr>
        <w:t>推動「家庭醫師整合性照護計畫」（下稱家醫計畫），由診所組成社區醫療群，提供個案完整醫療照護</w:t>
      </w:r>
      <w:r>
        <w:rPr>
          <w:rFonts w:ascii="標楷體" w:hAnsi="標楷體" w:hint="eastAsia"/>
          <w:b w:val="0"/>
          <w:bCs w:val="0"/>
          <w:sz w:val="24"/>
          <w:szCs w:val="24"/>
        </w:rPr>
        <w:t>。</w:t>
      </w:r>
      <w:r w:rsidRPr="00643055">
        <w:rPr>
          <w:rFonts w:ascii="標楷體" w:hAnsi="標楷體" w:hint="eastAsia"/>
          <w:b w:val="0"/>
          <w:bCs w:val="0"/>
          <w:sz w:val="24"/>
          <w:szCs w:val="24"/>
        </w:rPr>
        <w:t>據健保署分析，透過家醫計畫定期收案追蹤管理機制，確具緩解健保醫療支出之效益。健保署為強化慢性病防治效能，自113年起整合家醫計畫及</w:t>
      </w:r>
      <w:r w:rsidRPr="00643055">
        <w:rPr>
          <w:rFonts w:ascii="標楷體" w:hAnsi="標楷體" w:hint="eastAsia"/>
          <w:b w:val="0"/>
          <w:sz w:val="24"/>
          <w:szCs w:val="24"/>
        </w:rPr>
        <w:t>「地區醫院全人全社區照護計畫」（下稱全人全照護計畫）</w:t>
      </w:r>
      <w:r w:rsidRPr="00643055">
        <w:rPr>
          <w:rFonts w:ascii="標楷體" w:hAnsi="標楷體" w:hint="eastAsia"/>
          <w:b w:val="0"/>
          <w:bCs w:val="0"/>
          <w:sz w:val="24"/>
          <w:szCs w:val="24"/>
        </w:rPr>
        <w:t>，</w:t>
      </w:r>
      <w:r w:rsidR="003C1E25">
        <w:rPr>
          <w:rFonts w:ascii="標楷體" w:hAnsi="標楷體" w:hint="eastAsia"/>
          <w:b w:val="0"/>
          <w:bCs w:val="0"/>
          <w:sz w:val="24"/>
          <w:szCs w:val="24"/>
        </w:rPr>
        <w:t>將</w:t>
      </w:r>
      <w:r w:rsidR="003C1E25" w:rsidRPr="00643055">
        <w:rPr>
          <w:rFonts w:ascii="標楷體" w:hAnsi="標楷體" w:hint="eastAsia"/>
          <w:b w:val="0"/>
          <w:bCs w:val="0"/>
          <w:sz w:val="24"/>
          <w:szCs w:val="24"/>
        </w:rPr>
        <w:t>地區醫院</w:t>
      </w:r>
      <w:r w:rsidR="003C1E25">
        <w:rPr>
          <w:rFonts w:ascii="標楷體" w:hAnsi="標楷體" w:hint="eastAsia"/>
          <w:b w:val="0"/>
          <w:bCs w:val="0"/>
          <w:sz w:val="24"/>
          <w:szCs w:val="24"/>
        </w:rPr>
        <w:t>納入照護體系，</w:t>
      </w:r>
      <w:r w:rsidRPr="00643055">
        <w:rPr>
          <w:rFonts w:ascii="標楷體" w:hAnsi="標楷體" w:hint="eastAsia"/>
          <w:b w:val="0"/>
          <w:bCs w:val="0"/>
          <w:sz w:val="24"/>
          <w:szCs w:val="24"/>
        </w:rPr>
        <w:t>優先將三高與多重慢性病患納為照護對象，</w:t>
      </w:r>
      <w:r w:rsidR="005913C3" w:rsidRPr="00643055">
        <w:rPr>
          <w:rFonts w:ascii="標楷體" w:hAnsi="標楷體" w:hint="eastAsia"/>
          <w:b w:val="0"/>
          <w:bCs w:val="0"/>
          <w:sz w:val="24"/>
          <w:szCs w:val="24"/>
        </w:rPr>
        <w:t>推行「大家醫計畫」，</w:t>
      </w:r>
      <w:r w:rsidR="000437BC" w:rsidRPr="000437BC">
        <w:rPr>
          <w:rFonts w:ascii="標楷體" w:hAnsi="標楷體" w:hint="eastAsia"/>
          <w:b w:val="0"/>
          <w:bCs w:val="0"/>
          <w:sz w:val="24"/>
          <w:szCs w:val="24"/>
        </w:rPr>
        <w:t>114年度大家醫計畫收案照護人數654</w:t>
      </w:r>
      <w:r w:rsidR="004068F5" w:rsidRPr="00043F00">
        <w:rPr>
          <w:rFonts w:ascii="標楷體" w:hAnsi="標楷體" w:cs="標楷體"/>
          <w:noProof/>
          <w:szCs w:val="32"/>
          <w:shd w:val="pct15" w:color="auto" w:fill="FFFFFF"/>
        </w:rPr>
        <mc:AlternateContent>
          <mc:Choice Requires="wps">
            <w:drawing>
              <wp:anchor distT="0" distB="0" distL="144145" distR="71755" simplePos="0" relativeHeight="251676672" behindDoc="1" locked="0" layoutInCell="1" allowOverlap="0" wp14:anchorId="7553C2C6" wp14:editId="255990A7">
                <wp:simplePos x="0" y="0"/>
                <wp:positionH relativeFrom="column">
                  <wp:posOffset>2574290</wp:posOffset>
                </wp:positionH>
                <wp:positionV relativeFrom="paragraph">
                  <wp:posOffset>1718945</wp:posOffset>
                </wp:positionV>
                <wp:extent cx="3963035" cy="177165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3035" cy="1771650"/>
                        </a:xfrm>
                        <a:prstGeom prst="rect">
                          <a:avLst/>
                        </a:prstGeom>
                        <a:noFill/>
                        <a:ln w="9525">
                          <a:noFill/>
                          <a:miter lim="800000"/>
                          <a:headEnd/>
                          <a:tailEnd/>
                        </a:ln>
                      </wps:spPr>
                      <wps:txbx>
                        <w:txbxContent>
                          <w:p w14:paraId="7B4313B3" w14:textId="77777777" w:rsidR="004068F5" w:rsidRPr="00E259F6" w:rsidRDefault="004068F5" w:rsidP="004068F5">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3</w:t>
                            </w:r>
                            <w:r w:rsidRPr="0083054F">
                              <w:rPr>
                                <w:rFonts w:ascii="標楷體" w:eastAsia="標楷體" w:hAnsi="標楷體"/>
                                <w:b/>
                                <w:szCs w:val="28"/>
                              </w:rPr>
                              <w:t xml:space="preserve">　</w:t>
                            </w:r>
                            <w:r w:rsidRPr="000D5819">
                              <w:rPr>
                                <w:rFonts w:ascii="標楷體" w:eastAsia="標楷體" w:hAnsi="標楷體" w:hint="eastAsia"/>
                                <w:b/>
                                <w:spacing w:val="-6"/>
                                <w:szCs w:val="28"/>
                              </w:rPr>
                              <w:t>家醫計畫執行情形</w:t>
                            </w:r>
                          </w:p>
                          <w:p w14:paraId="5757AB9E" w14:textId="77777777" w:rsidR="004068F5" w:rsidRDefault="004068F5" w:rsidP="00702043">
                            <w:pPr>
                              <w:spacing w:beforeLines="20" w:before="72" w:line="200" w:lineRule="exact"/>
                              <w:ind w:rightChars="38" w:right="91"/>
                              <w:jc w:val="right"/>
                              <w:rPr>
                                <w:rFonts w:ascii="標楷體" w:eastAsia="標楷體" w:hAnsi="標楷體"/>
                                <w:sz w:val="20"/>
                                <w:szCs w:val="20"/>
                              </w:rPr>
                            </w:pPr>
                            <w:r w:rsidRPr="0034726D">
                              <w:rPr>
                                <w:rFonts w:ascii="標楷體" w:eastAsia="標楷體" w:hAnsi="標楷體" w:hint="eastAsia"/>
                                <w:sz w:val="20"/>
                                <w:szCs w:val="20"/>
                              </w:rPr>
                              <w:t>單位：</w:t>
                            </w:r>
                            <w:r w:rsidRPr="000D5819">
                              <w:rPr>
                                <w:rFonts w:ascii="標楷體" w:eastAsia="標楷體" w:hAnsi="標楷體" w:hint="eastAsia"/>
                                <w:sz w:val="20"/>
                                <w:szCs w:val="20"/>
                              </w:rPr>
                              <w:t>家、％、</w:t>
                            </w:r>
                            <w:r>
                              <w:rPr>
                                <w:rFonts w:ascii="標楷體" w:eastAsia="標楷體" w:hAnsi="標楷體" w:hint="eastAsia"/>
                                <w:sz w:val="20"/>
                                <w:szCs w:val="20"/>
                              </w:rPr>
                              <w:t>千</w:t>
                            </w:r>
                            <w:r w:rsidRPr="000D5819">
                              <w:rPr>
                                <w:rFonts w:ascii="標楷體" w:eastAsia="標楷體" w:hAnsi="標楷體" w:hint="eastAsia"/>
                                <w:sz w:val="20"/>
                                <w:szCs w:val="20"/>
                              </w:rPr>
                              <w:t>人</w:t>
                            </w:r>
                          </w:p>
                          <w:tbl>
                            <w:tblPr>
                              <w:tblW w:w="6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0"/>
                              <w:gridCol w:w="1080"/>
                              <w:gridCol w:w="1400"/>
                              <w:gridCol w:w="1240"/>
                              <w:gridCol w:w="1800"/>
                            </w:tblGrid>
                            <w:tr w:rsidR="004068F5" w:rsidRPr="00980F9B" w14:paraId="7E8CC9E2" w14:textId="77777777" w:rsidTr="00630821">
                              <w:tc>
                                <w:tcPr>
                                  <w:tcW w:w="600" w:type="dxa"/>
                                  <w:tcBorders>
                                    <w:top w:val="single" w:sz="4" w:space="0" w:color="auto"/>
                                  </w:tcBorders>
                                  <w:shd w:val="clear" w:color="auto" w:fill="auto"/>
                                  <w:vAlign w:val="center"/>
                                  <w:hideMark/>
                                </w:tcPr>
                                <w:p w14:paraId="595FB453"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年度</w:t>
                                  </w:r>
                                </w:p>
                              </w:tc>
                              <w:tc>
                                <w:tcPr>
                                  <w:tcW w:w="1080" w:type="dxa"/>
                                  <w:tcBorders>
                                    <w:top w:val="single" w:sz="4" w:space="0" w:color="auto"/>
                                  </w:tcBorders>
                                  <w:shd w:val="clear" w:color="auto" w:fill="auto"/>
                                  <w:vAlign w:val="center"/>
                                </w:tcPr>
                                <w:p w14:paraId="4795AB85"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參與院所數</w:t>
                                  </w:r>
                                </w:p>
                              </w:tc>
                              <w:tc>
                                <w:tcPr>
                                  <w:tcW w:w="1400" w:type="dxa"/>
                                  <w:tcBorders>
                                    <w:top w:val="single" w:sz="4" w:space="0" w:color="auto"/>
                                  </w:tcBorders>
                                  <w:shd w:val="clear" w:color="auto" w:fill="auto"/>
                                  <w:vAlign w:val="center"/>
                                </w:tcPr>
                                <w:p w14:paraId="53E1DF36"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參與院所占比</w:t>
                                  </w:r>
                                </w:p>
                              </w:tc>
                              <w:tc>
                                <w:tcPr>
                                  <w:tcW w:w="1240" w:type="dxa"/>
                                  <w:tcBorders>
                                    <w:top w:val="single" w:sz="4" w:space="0" w:color="auto"/>
                                    <w:right w:val="double" w:sz="4" w:space="0" w:color="auto"/>
                                  </w:tcBorders>
                                  <w:shd w:val="clear" w:color="auto" w:fill="auto"/>
                                  <w:vAlign w:val="center"/>
                                </w:tcPr>
                                <w:p w14:paraId="1B3D08EA"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收案人數</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0F8BBAE0" w14:textId="77777777" w:rsidR="004068F5" w:rsidRPr="00980F9B" w:rsidRDefault="004068F5" w:rsidP="00702043">
                                  <w:pPr>
                                    <w:widowControl/>
                                    <w:spacing w:line="280" w:lineRule="exact"/>
                                    <w:jc w:val="both"/>
                                    <w:rPr>
                                      <w:rFonts w:ascii="標楷體" w:eastAsia="標楷體" w:hAnsi="標楷體" w:cs="新細明體"/>
                                      <w:sz w:val="20"/>
                                      <w:szCs w:val="20"/>
                                    </w:rPr>
                                  </w:pPr>
                                  <w:r w:rsidRPr="00980F9B">
                                    <w:rPr>
                                      <w:rFonts w:ascii="標楷體" w:eastAsia="標楷體" w:hAnsi="標楷體" w:cs="新細明體" w:hint="eastAsia"/>
                                      <w:sz w:val="20"/>
                                      <w:szCs w:val="20"/>
                                    </w:rPr>
                                    <w:t>因院所未加入計畫無法派案之人數</w:t>
                                  </w:r>
                                </w:p>
                              </w:tc>
                            </w:tr>
                            <w:tr w:rsidR="004068F5" w:rsidRPr="00980F9B" w14:paraId="2A4E7063" w14:textId="77777777" w:rsidTr="00692EC7">
                              <w:trPr>
                                <w:trHeight w:val="397"/>
                              </w:trPr>
                              <w:tc>
                                <w:tcPr>
                                  <w:tcW w:w="600" w:type="dxa"/>
                                  <w:shd w:val="clear" w:color="auto" w:fill="auto"/>
                                  <w:vAlign w:val="center"/>
                                  <w:hideMark/>
                                </w:tcPr>
                                <w:p w14:paraId="7A29F13D" w14:textId="77777777" w:rsidR="004068F5" w:rsidRPr="00980F9B" w:rsidRDefault="004068F5" w:rsidP="004765BB">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112</w:t>
                                  </w:r>
                                </w:p>
                              </w:tc>
                              <w:tc>
                                <w:tcPr>
                                  <w:tcW w:w="1080" w:type="dxa"/>
                                  <w:shd w:val="clear" w:color="auto" w:fill="auto"/>
                                  <w:vAlign w:val="center"/>
                                </w:tcPr>
                                <w:p w14:paraId="3618A107"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5,590</w:t>
                                  </w:r>
                                </w:p>
                              </w:tc>
                              <w:tc>
                                <w:tcPr>
                                  <w:tcW w:w="1400" w:type="dxa"/>
                                  <w:shd w:val="clear" w:color="auto" w:fill="auto"/>
                                  <w:vAlign w:val="center"/>
                                </w:tcPr>
                                <w:p w14:paraId="69E66AB9"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52.31</w:t>
                                  </w:r>
                                </w:p>
                              </w:tc>
                              <w:tc>
                                <w:tcPr>
                                  <w:tcW w:w="1240" w:type="dxa"/>
                                  <w:tcBorders>
                                    <w:right w:val="double" w:sz="4" w:space="0" w:color="auto"/>
                                  </w:tcBorders>
                                  <w:shd w:val="clear" w:color="auto" w:fill="auto"/>
                                  <w:vAlign w:val="center"/>
                                </w:tcPr>
                                <w:p w14:paraId="47992B99" w14:textId="77777777" w:rsidR="004068F5" w:rsidRPr="004765BB" w:rsidRDefault="004068F5" w:rsidP="004765BB">
                                  <w:pPr>
                                    <w:widowControl/>
                                    <w:spacing w:line="280" w:lineRule="exact"/>
                                    <w:jc w:val="right"/>
                                    <w:rPr>
                                      <w:rFonts w:ascii="標楷體" w:eastAsia="標楷體" w:hAnsi="標楷體"/>
                                      <w:sz w:val="20"/>
                                      <w:szCs w:val="20"/>
                                    </w:rPr>
                                  </w:pPr>
                                  <w:r w:rsidRPr="004765BB">
                                    <w:rPr>
                                      <w:rFonts w:ascii="標楷體" w:eastAsia="標楷體" w:hAnsi="標楷體" w:cs="新細明體" w:hint="eastAsia"/>
                                      <w:sz w:val="20"/>
                                      <w:szCs w:val="20"/>
                                    </w:rPr>
                                    <w:t>5,957</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5A2A781A"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1,905</w:t>
                                  </w:r>
                                </w:p>
                              </w:tc>
                            </w:tr>
                            <w:tr w:rsidR="004068F5" w:rsidRPr="00980F9B" w14:paraId="0979521F" w14:textId="77777777" w:rsidTr="00692EC7">
                              <w:trPr>
                                <w:trHeight w:val="397"/>
                              </w:trPr>
                              <w:tc>
                                <w:tcPr>
                                  <w:tcW w:w="600" w:type="dxa"/>
                                  <w:shd w:val="clear" w:color="auto" w:fill="auto"/>
                                  <w:vAlign w:val="center"/>
                                  <w:hideMark/>
                                </w:tcPr>
                                <w:p w14:paraId="1E3A51DF" w14:textId="77777777" w:rsidR="004068F5" w:rsidRPr="00980F9B" w:rsidRDefault="004068F5" w:rsidP="004765BB">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113</w:t>
                                  </w:r>
                                </w:p>
                              </w:tc>
                              <w:tc>
                                <w:tcPr>
                                  <w:tcW w:w="1080" w:type="dxa"/>
                                  <w:shd w:val="clear" w:color="auto" w:fill="auto"/>
                                  <w:vAlign w:val="center"/>
                                </w:tcPr>
                                <w:p w14:paraId="3E638B90"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5,544</w:t>
                                  </w:r>
                                </w:p>
                              </w:tc>
                              <w:tc>
                                <w:tcPr>
                                  <w:tcW w:w="1400" w:type="dxa"/>
                                  <w:shd w:val="clear" w:color="auto" w:fill="auto"/>
                                  <w:vAlign w:val="center"/>
                                </w:tcPr>
                                <w:p w14:paraId="0BEDEBF5"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51.59</w:t>
                                  </w:r>
                                </w:p>
                              </w:tc>
                              <w:tc>
                                <w:tcPr>
                                  <w:tcW w:w="1240" w:type="dxa"/>
                                  <w:tcBorders>
                                    <w:right w:val="double" w:sz="4" w:space="0" w:color="auto"/>
                                  </w:tcBorders>
                                  <w:shd w:val="clear" w:color="auto" w:fill="auto"/>
                                  <w:vAlign w:val="center"/>
                                </w:tcPr>
                                <w:p w14:paraId="4181C4E9" w14:textId="77777777" w:rsidR="004068F5" w:rsidRPr="004765BB" w:rsidRDefault="004068F5" w:rsidP="004765BB">
                                  <w:pPr>
                                    <w:widowControl/>
                                    <w:spacing w:line="280" w:lineRule="exact"/>
                                    <w:jc w:val="right"/>
                                    <w:rPr>
                                      <w:rFonts w:ascii="標楷體" w:eastAsia="標楷體" w:hAnsi="標楷體"/>
                                      <w:sz w:val="20"/>
                                      <w:szCs w:val="20"/>
                                    </w:rPr>
                                  </w:pPr>
                                  <w:r w:rsidRPr="004765BB">
                                    <w:rPr>
                                      <w:rFonts w:ascii="標楷體" w:eastAsia="標楷體" w:hAnsi="標楷體" w:cs="新細明體" w:hint="eastAsia"/>
                                      <w:sz w:val="20"/>
                                      <w:szCs w:val="20"/>
                                    </w:rPr>
                                    <w:t>6,273</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2A6BED3F"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sz w:val="20"/>
                                      <w:szCs w:val="20"/>
                                    </w:rPr>
                                    <w:t>2,009</w:t>
                                  </w:r>
                                </w:p>
                              </w:tc>
                            </w:tr>
                            <w:tr w:rsidR="004068F5" w:rsidRPr="00980F9B" w14:paraId="454A811D" w14:textId="77777777" w:rsidTr="00692EC7">
                              <w:trPr>
                                <w:trHeight w:val="397"/>
                              </w:trPr>
                              <w:tc>
                                <w:tcPr>
                                  <w:tcW w:w="600" w:type="dxa"/>
                                  <w:shd w:val="clear" w:color="auto" w:fill="auto"/>
                                  <w:vAlign w:val="center"/>
                                  <w:hideMark/>
                                </w:tcPr>
                                <w:p w14:paraId="0E5026A3" w14:textId="77777777" w:rsidR="004068F5" w:rsidRPr="00980F9B" w:rsidRDefault="004068F5" w:rsidP="004765BB">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114</w:t>
                                  </w:r>
                                </w:p>
                              </w:tc>
                              <w:tc>
                                <w:tcPr>
                                  <w:tcW w:w="1080" w:type="dxa"/>
                                  <w:shd w:val="clear" w:color="auto" w:fill="auto"/>
                                  <w:vAlign w:val="center"/>
                                </w:tcPr>
                                <w:p w14:paraId="33E6F79C"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5,456</w:t>
                                  </w:r>
                                </w:p>
                              </w:tc>
                              <w:tc>
                                <w:tcPr>
                                  <w:tcW w:w="1400" w:type="dxa"/>
                                  <w:shd w:val="clear" w:color="auto" w:fill="auto"/>
                                  <w:vAlign w:val="center"/>
                                </w:tcPr>
                                <w:p w14:paraId="3EB5DE95"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50.14</w:t>
                                  </w:r>
                                </w:p>
                              </w:tc>
                              <w:tc>
                                <w:tcPr>
                                  <w:tcW w:w="1240" w:type="dxa"/>
                                  <w:tcBorders>
                                    <w:right w:val="double" w:sz="4" w:space="0" w:color="auto"/>
                                  </w:tcBorders>
                                  <w:shd w:val="clear" w:color="auto" w:fill="auto"/>
                                  <w:vAlign w:val="center"/>
                                </w:tcPr>
                                <w:p w14:paraId="6228DBD5" w14:textId="77777777" w:rsidR="004068F5" w:rsidRPr="004765BB" w:rsidRDefault="004068F5" w:rsidP="004765BB">
                                  <w:pPr>
                                    <w:widowControl/>
                                    <w:spacing w:line="280" w:lineRule="exact"/>
                                    <w:jc w:val="right"/>
                                    <w:rPr>
                                      <w:rFonts w:ascii="標楷體" w:eastAsia="標楷體" w:hAnsi="標楷體"/>
                                      <w:sz w:val="20"/>
                                      <w:szCs w:val="20"/>
                                    </w:rPr>
                                  </w:pPr>
                                  <w:r w:rsidRPr="004765BB">
                                    <w:rPr>
                                      <w:rFonts w:ascii="標楷體" w:eastAsia="標楷體" w:hAnsi="標楷體" w:cs="新細明體" w:hint="eastAsia"/>
                                      <w:sz w:val="20"/>
                                      <w:szCs w:val="20"/>
                                    </w:rPr>
                                    <w:t>6,473</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5486752F"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2,079</w:t>
                                  </w:r>
                                </w:p>
                              </w:tc>
                            </w:tr>
                          </w:tbl>
                          <w:p w14:paraId="564804BC" w14:textId="77777777" w:rsidR="004068F5" w:rsidRDefault="004068F5" w:rsidP="004068F5">
                            <w:pPr>
                              <w:spacing w:line="200" w:lineRule="exact"/>
                              <w:ind w:left="490" w:rightChars="34" w:right="82" w:hangingChars="272" w:hanging="490"/>
                              <w:jc w:val="both"/>
                            </w:pPr>
                            <w:r w:rsidRPr="00A633D0">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553C2C6" id="_x0000_s1028" type="#_x0000_t202" style="position:absolute;left:0;text-align:left;margin-left:202.7pt;margin-top:135.35pt;width:312.05pt;height:139.5pt;z-index:-251639808;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" o:allowoverlap="f" filled="f" stroked="f">
                <v:textbox inset="0,0,0,0">
                  <w:txbxContent>
                    <w:p w14:paraId="7B4313B3" w14:textId="77777777" w:rsidR="004068F5" w:rsidRPr="00E259F6" w:rsidRDefault="004068F5" w:rsidP="004068F5">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3</w:t>
                      </w:r>
                      <w:r w:rsidRPr="0083054F">
                        <w:rPr>
                          <w:rFonts w:ascii="標楷體" w:eastAsia="標楷體" w:hAnsi="標楷體"/>
                          <w:b/>
                          <w:szCs w:val="28"/>
                        </w:rPr>
                        <w:t xml:space="preserve">　</w:t>
                      </w:r>
                      <w:r w:rsidRPr="000D5819">
                        <w:rPr>
                          <w:rFonts w:ascii="標楷體" w:eastAsia="標楷體" w:hAnsi="標楷體" w:hint="eastAsia"/>
                          <w:b/>
                          <w:spacing w:val="-6"/>
                          <w:szCs w:val="28"/>
                        </w:rPr>
                        <w:t>家醫計畫執行情形</w:t>
                      </w:r>
                    </w:p>
                    <w:p w14:paraId="5757AB9E" w14:textId="77777777" w:rsidR="004068F5" w:rsidRDefault="004068F5" w:rsidP="00702043">
                      <w:pPr>
                        <w:spacing w:beforeLines="20" w:before="72" w:line="200" w:lineRule="exact"/>
                        <w:ind w:rightChars="38" w:right="91"/>
                        <w:jc w:val="right"/>
                        <w:rPr>
                          <w:rFonts w:ascii="標楷體" w:eastAsia="標楷體" w:hAnsi="標楷體"/>
                          <w:sz w:val="20"/>
                          <w:szCs w:val="20"/>
                        </w:rPr>
                      </w:pPr>
                      <w:r w:rsidRPr="0034726D">
                        <w:rPr>
                          <w:rFonts w:ascii="標楷體" w:eastAsia="標楷體" w:hAnsi="標楷體" w:hint="eastAsia"/>
                          <w:sz w:val="20"/>
                          <w:szCs w:val="20"/>
                        </w:rPr>
                        <w:t>單位：</w:t>
                      </w:r>
                      <w:r w:rsidRPr="000D5819">
                        <w:rPr>
                          <w:rFonts w:ascii="標楷體" w:eastAsia="標楷體" w:hAnsi="標楷體" w:hint="eastAsia"/>
                          <w:sz w:val="20"/>
                          <w:szCs w:val="20"/>
                        </w:rPr>
                        <w:t>家、％、</w:t>
                      </w:r>
                      <w:r>
                        <w:rPr>
                          <w:rFonts w:ascii="標楷體" w:eastAsia="標楷體" w:hAnsi="標楷體" w:hint="eastAsia"/>
                          <w:sz w:val="20"/>
                          <w:szCs w:val="20"/>
                        </w:rPr>
                        <w:t>千</w:t>
                      </w:r>
                      <w:r w:rsidRPr="000D5819">
                        <w:rPr>
                          <w:rFonts w:ascii="標楷體" w:eastAsia="標楷體" w:hAnsi="標楷體" w:hint="eastAsia"/>
                          <w:sz w:val="20"/>
                          <w:szCs w:val="20"/>
                        </w:rPr>
                        <w:t>人</w:t>
                      </w:r>
                    </w:p>
                    <w:tbl>
                      <w:tblPr>
                        <w:tblW w:w="6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0"/>
                        <w:gridCol w:w="1080"/>
                        <w:gridCol w:w="1400"/>
                        <w:gridCol w:w="1240"/>
                        <w:gridCol w:w="1800"/>
                      </w:tblGrid>
                      <w:tr w:rsidR="004068F5" w:rsidRPr="00980F9B" w14:paraId="7E8CC9E2" w14:textId="77777777" w:rsidTr="00630821">
                        <w:tc>
                          <w:tcPr>
                            <w:tcW w:w="600" w:type="dxa"/>
                            <w:tcBorders>
                              <w:top w:val="single" w:sz="4" w:space="0" w:color="auto"/>
                            </w:tcBorders>
                            <w:shd w:val="clear" w:color="auto" w:fill="auto"/>
                            <w:vAlign w:val="center"/>
                            <w:hideMark/>
                          </w:tcPr>
                          <w:p w14:paraId="595FB453"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年度</w:t>
                            </w:r>
                          </w:p>
                        </w:tc>
                        <w:tc>
                          <w:tcPr>
                            <w:tcW w:w="1080" w:type="dxa"/>
                            <w:tcBorders>
                              <w:top w:val="single" w:sz="4" w:space="0" w:color="auto"/>
                            </w:tcBorders>
                            <w:shd w:val="clear" w:color="auto" w:fill="auto"/>
                            <w:vAlign w:val="center"/>
                          </w:tcPr>
                          <w:p w14:paraId="4795AB85"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參與院所數</w:t>
                            </w:r>
                          </w:p>
                        </w:tc>
                        <w:tc>
                          <w:tcPr>
                            <w:tcW w:w="1400" w:type="dxa"/>
                            <w:tcBorders>
                              <w:top w:val="single" w:sz="4" w:space="0" w:color="auto"/>
                            </w:tcBorders>
                            <w:shd w:val="clear" w:color="auto" w:fill="auto"/>
                            <w:vAlign w:val="center"/>
                          </w:tcPr>
                          <w:p w14:paraId="53E1DF36"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參與院所占比</w:t>
                            </w:r>
                          </w:p>
                        </w:tc>
                        <w:tc>
                          <w:tcPr>
                            <w:tcW w:w="1240" w:type="dxa"/>
                            <w:tcBorders>
                              <w:top w:val="single" w:sz="4" w:space="0" w:color="auto"/>
                              <w:right w:val="double" w:sz="4" w:space="0" w:color="auto"/>
                            </w:tcBorders>
                            <w:shd w:val="clear" w:color="auto" w:fill="auto"/>
                            <w:vAlign w:val="center"/>
                          </w:tcPr>
                          <w:p w14:paraId="1B3D08EA" w14:textId="77777777" w:rsidR="004068F5" w:rsidRPr="00980F9B" w:rsidRDefault="004068F5" w:rsidP="00643055">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收案人數</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0F8BBAE0" w14:textId="77777777" w:rsidR="004068F5" w:rsidRPr="00980F9B" w:rsidRDefault="004068F5" w:rsidP="00702043">
                            <w:pPr>
                              <w:widowControl/>
                              <w:spacing w:line="280" w:lineRule="exact"/>
                              <w:jc w:val="both"/>
                              <w:rPr>
                                <w:rFonts w:ascii="標楷體" w:eastAsia="標楷體" w:hAnsi="標楷體" w:cs="新細明體"/>
                                <w:sz w:val="20"/>
                                <w:szCs w:val="20"/>
                              </w:rPr>
                            </w:pPr>
                            <w:r w:rsidRPr="00980F9B">
                              <w:rPr>
                                <w:rFonts w:ascii="標楷體" w:eastAsia="標楷體" w:hAnsi="標楷體" w:cs="新細明體" w:hint="eastAsia"/>
                                <w:sz w:val="20"/>
                                <w:szCs w:val="20"/>
                              </w:rPr>
                              <w:t>因院所未加入計畫無法派案之人數</w:t>
                            </w:r>
                          </w:p>
                        </w:tc>
                      </w:tr>
                      <w:tr w:rsidR="004068F5" w:rsidRPr="00980F9B" w14:paraId="2A4E7063" w14:textId="77777777" w:rsidTr="00692EC7">
                        <w:trPr>
                          <w:trHeight w:val="397"/>
                        </w:trPr>
                        <w:tc>
                          <w:tcPr>
                            <w:tcW w:w="600" w:type="dxa"/>
                            <w:shd w:val="clear" w:color="auto" w:fill="auto"/>
                            <w:vAlign w:val="center"/>
                            <w:hideMark/>
                          </w:tcPr>
                          <w:p w14:paraId="7A29F13D" w14:textId="77777777" w:rsidR="004068F5" w:rsidRPr="00980F9B" w:rsidRDefault="004068F5" w:rsidP="004765BB">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112</w:t>
                            </w:r>
                          </w:p>
                        </w:tc>
                        <w:tc>
                          <w:tcPr>
                            <w:tcW w:w="1080" w:type="dxa"/>
                            <w:shd w:val="clear" w:color="auto" w:fill="auto"/>
                            <w:vAlign w:val="center"/>
                          </w:tcPr>
                          <w:p w14:paraId="3618A107"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5,590</w:t>
                            </w:r>
                          </w:p>
                        </w:tc>
                        <w:tc>
                          <w:tcPr>
                            <w:tcW w:w="1400" w:type="dxa"/>
                            <w:shd w:val="clear" w:color="auto" w:fill="auto"/>
                            <w:vAlign w:val="center"/>
                          </w:tcPr>
                          <w:p w14:paraId="69E66AB9"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52.31</w:t>
                            </w:r>
                          </w:p>
                        </w:tc>
                        <w:tc>
                          <w:tcPr>
                            <w:tcW w:w="1240" w:type="dxa"/>
                            <w:tcBorders>
                              <w:right w:val="double" w:sz="4" w:space="0" w:color="auto"/>
                            </w:tcBorders>
                            <w:shd w:val="clear" w:color="auto" w:fill="auto"/>
                            <w:vAlign w:val="center"/>
                          </w:tcPr>
                          <w:p w14:paraId="47992B99" w14:textId="77777777" w:rsidR="004068F5" w:rsidRPr="004765BB" w:rsidRDefault="004068F5" w:rsidP="004765BB">
                            <w:pPr>
                              <w:widowControl/>
                              <w:spacing w:line="280" w:lineRule="exact"/>
                              <w:jc w:val="right"/>
                              <w:rPr>
                                <w:rFonts w:ascii="標楷體" w:eastAsia="標楷體" w:hAnsi="標楷體"/>
                                <w:sz w:val="20"/>
                                <w:szCs w:val="20"/>
                              </w:rPr>
                            </w:pPr>
                            <w:r w:rsidRPr="004765BB">
                              <w:rPr>
                                <w:rFonts w:ascii="標楷體" w:eastAsia="標楷體" w:hAnsi="標楷體" w:cs="新細明體" w:hint="eastAsia"/>
                                <w:sz w:val="20"/>
                                <w:szCs w:val="20"/>
                              </w:rPr>
                              <w:t>5,957</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5A2A781A"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1,905</w:t>
                            </w:r>
                          </w:p>
                        </w:tc>
                      </w:tr>
                      <w:tr w:rsidR="004068F5" w:rsidRPr="00980F9B" w14:paraId="0979521F" w14:textId="77777777" w:rsidTr="00692EC7">
                        <w:trPr>
                          <w:trHeight w:val="397"/>
                        </w:trPr>
                        <w:tc>
                          <w:tcPr>
                            <w:tcW w:w="600" w:type="dxa"/>
                            <w:shd w:val="clear" w:color="auto" w:fill="auto"/>
                            <w:vAlign w:val="center"/>
                            <w:hideMark/>
                          </w:tcPr>
                          <w:p w14:paraId="1E3A51DF" w14:textId="77777777" w:rsidR="004068F5" w:rsidRPr="00980F9B" w:rsidRDefault="004068F5" w:rsidP="004765BB">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113</w:t>
                            </w:r>
                          </w:p>
                        </w:tc>
                        <w:tc>
                          <w:tcPr>
                            <w:tcW w:w="1080" w:type="dxa"/>
                            <w:shd w:val="clear" w:color="auto" w:fill="auto"/>
                            <w:vAlign w:val="center"/>
                          </w:tcPr>
                          <w:p w14:paraId="3E638B90"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5,544</w:t>
                            </w:r>
                          </w:p>
                        </w:tc>
                        <w:tc>
                          <w:tcPr>
                            <w:tcW w:w="1400" w:type="dxa"/>
                            <w:shd w:val="clear" w:color="auto" w:fill="auto"/>
                            <w:vAlign w:val="center"/>
                          </w:tcPr>
                          <w:p w14:paraId="0BEDEBF5"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51.59</w:t>
                            </w:r>
                          </w:p>
                        </w:tc>
                        <w:tc>
                          <w:tcPr>
                            <w:tcW w:w="1240" w:type="dxa"/>
                            <w:tcBorders>
                              <w:right w:val="double" w:sz="4" w:space="0" w:color="auto"/>
                            </w:tcBorders>
                            <w:shd w:val="clear" w:color="auto" w:fill="auto"/>
                            <w:vAlign w:val="center"/>
                          </w:tcPr>
                          <w:p w14:paraId="4181C4E9" w14:textId="77777777" w:rsidR="004068F5" w:rsidRPr="004765BB" w:rsidRDefault="004068F5" w:rsidP="004765BB">
                            <w:pPr>
                              <w:widowControl/>
                              <w:spacing w:line="280" w:lineRule="exact"/>
                              <w:jc w:val="right"/>
                              <w:rPr>
                                <w:rFonts w:ascii="標楷體" w:eastAsia="標楷體" w:hAnsi="標楷體"/>
                                <w:sz w:val="20"/>
                                <w:szCs w:val="20"/>
                              </w:rPr>
                            </w:pPr>
                            <w:r w:rsidRPr="004765BB">
                              <w:rPr>
                                <w:rFonts w:ascii="標楷體" w:eastAsia="標楷體" w:hAnsi="標楷體" w:cs="新細明體" w:hint="eastAsia"/>
                                <w:sz w:val="20"/>
                                <w:szCs w:val="20"/>
                              </w:rPr>
                              <w:t>6,273</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2A6BED3F"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sz w:val="20"/>
                                <w:szCs w:val="20"/>
                              </w:rPr>
                              <w:t>2,009</w:t>
                            </w:r>
                          </w:p>
                        </w:tc>
                      </w:tr>
                      <w:tr w:rsidR="004068F5" w:rsidRPr="00980F9B" w14:paraId="454A811D" w14:textId="77777777" w:rsidTr="00692EC7">
                        <w:trPr>
                          <w:trHeight w:val="397"/>
                        </w:trPr>
                        <w:tc>
                          <w:tcPr>
                            <w:tcW w:w="600" w:type="dxa"/>
                            <w:shd w:val="clear" w:color="auto" w:fill="auto"/>
                            <w:vAlign w:val="center"/>
                            <w:hideMark/>
                          </w:tcPr>
                          <w:p w14:paraId="0E5026A3" w14:textId="77777777" w:rsidR="004068F5" w:rsidRPr="00980F9B" w:rsidRDefault="004068F5" w:rsidP="004765BB">
                            <w:pPr>
                              <w:widowControl/>
                              <w:spacing w:line="280" w:lineRule="exact"/>
                              <w:jc w:val="center"/>
                              <w:rPr>
                                <w:rFonts w:ascii="標楷體" w:eastAsia="標楷體" w:hAnsi="標楷體" w:cs="新細明體"/>
                                <w:sz w:val="20"/>
                                <w:szCs w:val="20"/>
                              </w:rPr>
                            </w:pPr>
                            <w:r w:rsidRPr="00980F9B">
                              <w:rPr>
                                <w:rFonts w:ascii="標楷體" w:eastAsia="標楷體" w:hAnsi="標楷體" w:cs="新細明體" w:hint="eastAsia"/>
                                <w:sz w:val="20"/>
                                <w:szCs w:val="20"/>
                              </w:rPr>
                              <w:t>114</w:t>
                            </w:r>
                          </w:p>
                        </w:tc>
                        <w:tc>
                          <w:tcPr>
                            <w:tcW w:w="1080" w:type="dxa"/>
                            <w:shd w:val="clear" w:color="auto" w:fill="auto"/>
                            <w:vAlign w:val="center"/>
                          </w:tcPr>
                          <w:p w14:paraId="33E6F79C"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5,456</w:t>
                            </w:r>
                          </w:p>
                        </w:tc>
                        <w:tc>
                          <w:tcPr>
                            <w:tcW w:w="1400" w:type="dxa"/>
                            <w:shd w:val="clear" w:color="auto" w:fill="auto"/>
                            <w:vAlign w:val="center"/>
                          </w:tcPr>
                          <w:p w14:paraId="3EB5DE95"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50.14</w:t>
                            </w:r>
                          </w:p>
                        </w:tc>
                        <w:tc>
                          <w:tcPr>
                            <w:tcW w:w="1240" w:type="dxa"/>
                            <w:tcBorders>
                              <w:right w:val="double" w:sz="4" w:space="0" w:color="auto"/>
                            </w:tcBorders>
                            <w:shd w:val="clear" w:color="auto" w:fill="auto"/>
                            <w:vAlign w:val="center"/>
                          </w:tcPr>
                          <w:p w14:paraId="6228DBD5" w14:textId="77777777" w:rsidR="004068F5" w:rsidRPr="004765BB" w:rsidRDefault="004068F5" w:rsidP="004765BB">
                            <w:pPr>
                              <w:widowControl/>
                              <w:spacing w:line="280" w:lineRule="exact"/>
                              <w:jc w:val="right"/>
                              <w:rPr>
                                <w:rFonts w:ascii="標楷體" w:eastAsia="標楷體" w:hAnsi="標楷體"/>
                                <w:sz w:val="20"/>
                                <w:szCs w:val="20"/>
                              </w:rPr>
                            </w:pPr>
                            <w:r w:rsidRPr="004765BB">
                              <w:rPr>
                                <w:rFonts w:ascii="標楷體" w:eastAsia="標楷體" w:hAnsi="標楷體" w:cs="新細明體" w:hint="eastAsia"/>
                                <w:sz w:val="20"/>
                                <w:szCs w:val="20"/>
                              </w:rPr>
                              <w:t>6,473</w:t>
                            </w:r>
                          </w:p>
                        </w:tc>
                        <w:tc>
                          <w:tcPr>
                            <w:tcW w:w="1800" w:type="dxa"/>
                            <w:tcBorders>
                              <w:top w:val="single" w:sz="4" w:space="0" w:color="auto"/>
                              <w:left w:val="double" w:sz="4" w:space="0" w:color="auto"/>
                              <w:bottom w:val="single" w:sz="4" w:space="0" w:color="auto"/>
                              <w:right w:val="single" w:sz="4" w:space="0" w:color="auto"/>
                            </w:tcBorders>
                            <w:shd w:val="clear" w:color="auto" w:fill="auto"/>
                            <w:vAlign w:val="center"/>
                          </w:tcPr>
                          <w:p w14:paraId="5486752F" w14:textId="77777777" w:rsidR="004068F5" w:rsidRPr="00980F9B" w:rsidRDefault="004068F5" w:rsidP="004765BB">
                            <w:pPr>
                              <w:widowControl/>
                              <w:spacing w:line="280" w:lineRule="exact"/>
                              <w:jc w:val="right"/>
                              <w:rPr>
                                <w:rFonts w:ascii="標楷體" w:eastAsia="標楷體" w:hAnsi="標楷體" w:cs="新細明體"/>
                                <w:sz w:val="20"/>
                                <w:szCs w:val="20"/>
                              </w:rPr>
                            </w:pPr>
                            <w:r w:rsidRPr="00980F9B">
                              <w:rPr>
                                <w:rFonts w:ascii="標楷體" w:eastAsia="標楷體" w:hAnsi="標楷體" w:cs="新細明體" w:hint="eastAsia"/>
                                <w:sz w:val="20"/>
                                <w:szCs w:val="20"/>
                              </w:rPr>
                              <w:t>2,079</w:t>
                            </w:r>
                          </w:p>
                        </w:tc>
                      </w:tr>
                    </w:tbl>
                    <w:p w14:paraId="564804BC" w14:textId="77777777" w:rsidR="004068F5" w:rsidRDefault="004068F5" w:rsidP="004068F5">
                      <w:pPr>
                        <w:spacing w:line="200" w:lineRule="exact"/>
                        <w:ind w:left="490" w:rightChars="34" w:right="82" w:hangingChars="272" w:hanging="490"/>
                        <w:jc w:val="both"/>
                      </w:pPr>
                      <w:r w:rsidRPr="00A633D0">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v:textbox>
                <w10:wrap type="square"/>
              </v:shape>
            </w:pict>
          </mc:Fallback>
        </mc:AlternateContent>
      </w:r>
      <w:r w:rsidR="000437BC" w:rsidRPr="000437BC">
        <w:rPr>
          <w:rFonts w:ascii="標楷體" w:hAnsi="標楷體" w:hint="eastAsia"/>
          <w:b w:val="0"/>
          <w:bCs w:val="0"/>
          <w:sz w:val="24"/>
          <w:szCs w:val="24"/>
        </w:rPr>
        <w:t>萬餘人</w:t>
      </w:r>
      <w:r w:rsidR="005913C3">
        <w:rPr>
          <w:rFonts w:ascii="標楷體" w:hAnsi="標楷體" w:hint="eastAsia"/>
          <w:b w:val="0"/>
          <w:bCs w:val="0"/>
          <w:sz w:val="24"/>
          <w:szCs w:val="24"/>
        </w:rPr>
        <w:t>，</w:t>
      </w:r>
      <w:r w:rsidRPr="00643055">
        <w:rPr>
          <w:rFonts w:ascii="標楷體" w:hAnsi="標楷體" w:hint="eastAsia"/>
          <w:b w:val="0"/>
          <w:bCs w:val="0"/>
          <w:sz w:val="24"/>
          <w:szCs w:val="24"/>
        </w:rPr>
        <w:t>並</w:t>
      </w:r>
      <w:r w:rsidR="005913C3">
        <w:rPr>
          <w:rFonts w:ascii="標楷體" w:hAnsi="標楷體" w:hint="eastAsia"/>
          <w:b w:val="0"/>
          <w:bCs w:val="0"/>
          <w:sz w:val="24"/>
          <w:szCs w:val="24"/>
        </w:rPr>
        <w:t>由健保署</w:t>
      </w:r>
      <w:r w:rsidRPr="00643055">
        <w:rPr>
          <w:rFonts w:ascii="標楷體" w:hAnsi="標楷體" w:hint="eastAsia"/>
          <w:b w:val="0"/>
          <w:bCs w:val="0"/>
          <w:sz w:val="24"/>
          <w:szCs w:val="24"/>
        </w:rPr>
        <w:t>建置「家醫大平台」，提供</w:t>
      </w:r>
      <w:r w:rsidR="00692EC7" w:rsidRPr="00043F00">
        <w:rPr>
          <w:rFonts w:ascii="標楷體" w:hAnsi="標楷體" w:cs="標楷體"/>
          <w:noProof/>
          <w:szCs w:val="32"/>
          <w:shd w:val="pct15" w:color="auto" w:fill="FFFFFF"/>
        </w:rPr>
        <mc:AlternateContent>
          <mc:Choice Requires="wps">
            <w:drawing>
              <wp:anchor distT="0" distB="0" distL="144145" distR="71755" simplePos="0" relativeHeight="251674624" behindDoc="1" locked="0" layoutInCell="1" allowOverlap="0" wp14:anchorId="24B528DB" wp14:editId="4B7CD5C8">
                <wp:simplePos x="0" y="0"/>
                <wp:positionH relativeFrom="column">
                  <wp:posOffset>2593340</wp:posOffset>
                </wp:positionH>
                <wp:positionV relativeFrom="paragraph">
                  <wp:posOffset>3538855</wp:posOffset>
                </wp:positionV>
                <wp:extent cx="3895725" cy="1571625"/>
                <wp:effectExtent l="0" t="0" r="9525" b="9525"/>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1571625"/>
                        </a:xfrm>
                        <a:prstGeom prst="rect">
                          <a:avLst/>
                        </a:prstGeom>
                        <a:noFill/>
                        <a:ln w="9525">
                          <a:noFill/>
                          <a:miter lim="800000"/>
                          <a:headEnd/>
                          <a:tailEnd/>
                        </a:ln>
                      </wps:spPr>
                      <wps:txbx>
                        <w:txbxContent>
                          <w:p w14:paraId="4869BF74" w14:textId="77777777" w:rsidR="004068F5" w:rsidRPr="00E259F6" w:rsidRDefault="004068F5" w:rsidP="004068F5">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4</w:t>
                            </w:r>
                            <w:r w:rsidRPr="0083054F">
                              <w:rPr>
                                <w:rFonts w:ascii="標楷體" w:eastAsia="標楷體" w:hAnsi="標楷體"/>
                                <w:b/>
                                <w:szCs w:val="28"/>
                              </w:rPr>
                              <w:t xml:space="preserve">　</w:t>
                            </w:r>
                            <w:r w:rsidRPr="000D5819">
                              <w:rPr>
                                <w:rFonts w:ascii="標楷體" w:eastAsia="標楷體" w:hAnsi="標楷體" w:hint="eastAsia"/>
                                <w:b/>
                                <w:spacing w:val="-6"/>
                                <w:szCs w:val="28"/>
                              </w:rPr>
                              <w:t>全人全照護計畫執行情形</w:t>
                            </w:r>
                          </w:p>
                          <w:p w14:paraId="1BE29CFF" w14:textId="77777777" w:rsidR="004068F5" w:rsidRDefault="004068F5" w:rsidP="00702043">
                            <w:pPr>
                              <w:spacing w:beforeLines="20" w:before="72" w:line="200" w:lineRule="exact"/>
                              <w:ind w:rightChars="7" w:right="17"/>
                              <w:jc w:val="right"/>
                              <w:rPr>
                                <w:rFonts w:ascii="標楷體" w:eastAsia="標楷體" w:hAnsi="標楷體"/>
                                <w:sz w:val="20"/>
                                <w:szCs w:val="20"/>
                              </w:rPr>
                            </w:pPr>
                            <w:r w:rsidRPr="0034726D">
                              <w:rPr>
                                <w:rFonts w:ascii="標楷體" w:eastAsia="標楷體" w:hAnsi="標楷體" w:hint="eastAsia"/>
                                <w:sz w:val="20"/>
                                <w:szCs w:val="20"/>
                              </w:rPr>
                              <w:t>單位：</w:t>
                            </w:r>
                            <w:r w:rsidRPr="000D5819">
                              <w:rPr>
                                <w:rFonts w:ascii="標楷體" w:eastAsia="標楷體" w:hAnsi="標楷體" w:hint="eastAsia"/>
                                <w:sz w:val="20"/>
                                <w:szCs w:val="20"/>
                              </w:rPr>
                              <w:t>家、％、</w:t>
                            </w:r>
                            <w:r>
                              <w:rPr>
                                <w:rFonts w:ascii="標楷體" w:eastAsia="標楷體" w:hAnsi="標楷體" w:hint="eastAsia"/>
                                <w:sz w:val="20"/>
                                <w:szCs w:val="20"/>
                              </w:rPr>
                              <w:t>千人</w:t>
                            </w:r>
                          </w:p>
                          <w:tbl>
                            <w:tblPr>
                              <w:tblW w:w="61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2"/>
                              <w:gridCol w:w="1150"/>
                              <w:gridCol w:w="892"/>
                              <w:gridCol w:w="892"/>
                              <w:gridCol w:w="850"/>
                              <w:gridCol w:w="1797"/>
                            </w:tblGrid>
                            <w:tr w:rsidR="004068F5" w:rsidRPr="00980F9B" w14:paraId="7B81A69B" w14:textId="77777777" w:rsidTr="00702043">
                              <w:trPr>
                                <w:trHeight w:val="21"/>
                              </w:trPr>
                              <w:tc>
                                <w:tcPr>
                                  <w:tcW w:w="522" w:type="dxa"/>
                                  <w:tcBorders>
                                    <w:top w:val="single" w:sz="4" w:space="0" w:color="auto"/>
                                  </w:tcBorders>
                                  <w:shd w:val="clear" w:color="auto" w:fill="auto"/>
                                  <w:vAlign w:val="center"/>
                                  <w:hideMark/>
                                </w:tcPr>
                                <w:p w14:paraId="5FADA852" w14:textId="77777777" w:rsidR="004068F5" w:rsidRPr="00980F9B" w:rsidRDefault="004068F5" w:rsidP="00870390">
                                  <w:pPr>
                                    <w:widowControl/>
                                    <w:spacing w:line="28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年度</w:t>
                                  </w:r>
                                </w:p>
                              </w:tc>
                              <w:tc>
                                <w:tcPr>
                                  <w:tcW w:w="1150" w:type="dxa"/>
                                  <w:tcBorders>
                                    <w:top w:val="single" w:sz="4" w:space="0" w:color="auto"/>
                                  </w:tcBorders>
                                  <w:shd w:val="clear" w:color="auto" w:fill="auto"/>
                                  <w:vAlign w:val="center"/>
                                </w:tcPr>
                                <w:p w14:paraId="241F28C8"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參與院所數</w:t>
                                  </w:r>
                                </w:p>
                              </w:tc>
                              <w:tc>
                                <w:tcPr>
                                  <w:tcW w:w="892" w:type="dxa"/>
                                  <w:tcBorders>
                                    <w:top w:val="single" w:sz="4" w:space="0" w:color="auto"/>
                                    <w:right w:val="single" w:sz="4" w:space="0" w:color="auto"/>
                                  </w:tcBorders>
                                  <w:shd w:val="clear" w:color="auto" w:fill="auto"/>
                                  <w:vAlign w:val="center"/>
                                </w:tcPr>
                                <w:p w14:paraId="5A6C5613"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參與院所占比</w:t>
                                  </w:r>
                                </w:p>
                              </w:tc>
                              <w:tc>
                                <w:tcPr>
                                  <w:tcW w:w="892" w:type="dxa"/>
                                  <w:tcBorders>
                                    <w:top w:val="single" w:sz="4" w:space="0" w:color="auto"/>
                                  </w:tcBorders>
                                  <w:shd w:val="clear" w:color="auto" w:fill="auto"/>
                                  <w:vAlign w:val="center"/>
                                </w:tcPr>
                                <w:p w14:paraId="092EF371"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收案人數</w:t>
                                  </w:r>
                                </w:p>
                              </w:tc>
                              <w:tc>
                                <w:tcPr>
                                  <w:tcW w:w="850" w:type="dxa"/>
                                  <w:tcBorders>
                                    <w:top w:val="single" w:sz="4" w:space="0" w:color="auto"/>
                                    <w:right w:val="double" w:sz="4" w:space="0" w:color="auto"/>
                                  </w:tcBorders>
                                  <w:shd w:val="clear" w:color="auto" w:fill="auto"/>
                                  <w:vAlign w:val="center"/>
                                </w:tcPr>
                                <w:p w14:paraId="693DF60A"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照護率</w:t>
                                  </w:r>
                                </w:p>
                              </w:tc>
                              <w:tc>
                                <w:tcPr>
                                  <w:tcW w:w="1797" w:type="dxa"/>
                                  <w:tcBorders>
                                    <w:top w:val="single" w:sz="4" w:space="0" w:color="auto"/>
                                    <w:left w:val="double" w:sz="4" w:space="0" w:color="auto"/>
                                    <w:right w:val="single" w:sz="4" w:space="0" w:color="auto"/>
                                  </w:tcBorders>
                                </w:tcPr>
                                <w:p w14:paraId="0914BC1F" w14:textId="77777777" w:rsidR="004068F5" w:rsidRPr="00980F9B" w:rsidRDefault="004068F5" w:rsidP="00692EC7">
                                  <w:pPr>
                                    <w:widowControl/>
                                    <w:spacing w:line="260" w:lineRule="exact"/>
                                    <w:jc w:val="both"/>
                                    <w:rPr>
                                      <w:rFonts w:ascii="標楷體" w:eastAsia="標楷體" w:hAnsi="標楷體" w:cs="新細明體"/>
                                      <w:sz w:val="20"/>
                                      <w:szCs w:val="16"/>
                                    </w:rPr>
                                  </w:pPr>
                                  <w:r w:rsidRPr="000808B5">
                                    <w:rPr>
                                      <w:rFonts w:ascii="標楷體" w:eastAsia="標楷體" w:hAnsi="標楷體" w:hint="eastAsia"/>
                                      <w:sz w:val="20"/>
                                      <w:szCs w:val="20"/>
                                    </w:rPr>
                                    <w:t>因院所未加入計畫無法派案之人數</w:t>
                                  </w:r>
                                </w:p>
                              </w:tc>
                            </w:tr>
                            <w:tr w:rsidR="004068F5" w:rsidRPr="00980F9B" w14:paraId="2C1D93C9" w14:textId="77777777" w:rsidTr="00702043">
                              <w:trPr>
                                <w:trHeight w:val="425"/>
                              </w:trPr>
                              <w:tc>
                                <w:tcPr>
                                  <w:tcW w:w="522" w:type="dxa"/>
                                  <w:shd w:val="clear" w:color="auto" w:fill="auto"/>
                                  <w:vAlign w:val="center"/>
                                  <w:hideMark/>
                                </w:tcPr>
                                <w:p w14:paraId="37E1951A" w14:textId="77777777" w:rsidR="004068F5" w:rsidRPr="00980F9B" w:rsidRDefault="004068F5" w:rsidP="00870390">
                                  <w:pPr>
                                    <w:widowControl/>
                                    <w:spacing w:line="28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113</w:t>
                                  </w:r>
                                </w:p>
                              </w:tc>
                              <w:tc>
                                <w:tcPr>
                                  <w:tcW w:w="1150" w:type="dxa"/>
                                  <w:shd w:val="clear" w:color="auto" w:fill="auto"/>
                                  <w:vAlign w:val="center"/>
                                </w:tcPr>
                                <w:p w14:paraId="6421C59C"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127</w:t>
                                  </w:r>
                                </w:p>
                              </w:tc>
                              <w:tc>
                                <w:tcPr>
                                  <w:tcW w:w="892" w:type="dxa"/>
                                  <w:tcBorders>
                                    <w:right w:val="single" w:sz="4" w:space="0" w:color="auto"/>
                                  </w:tcBorders>
                                  <w:shd w:val="clear" w:color="auto" w:fill="auto"/>
                                  <w:vAlign w:val="center"/>
                                </w:tcPr>
                                <w:p w14:paraId="7EA6D03A"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37.24</w:t>
                                  </w:r>
                                </w:p>
                              </w:tc>
                              <w:tc>
                                <w:tcPr>
                                  <w:tcW w:w="892" w:type="dxa"/>
                                  <w:shd w:val="clear" w:color="auto" w:fill="auto"/>
                                  <w:vAlign w:val="center"/>
                                </w:tcPr>
                                <w:p w14:paraId="608F4A1D"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45</w:t>
                                  </w:r>
                                </w:p>
                              </w:tc>
                              <w:tc>
                                <w:tcPr>
                                  <w:tcW w:w="850" w:type="dxa"/>
                                  <w:tcBorders>
                                    <w:right w:val="double" w:sz="4" w:space="0" w:color="auto"/>
                                  </w:tcBorders>
                                  <w:shd w:val="clear" w:color="auto" w:fill="auto"/>
                                  <w:vAlign w:val="center"/>
                                </w:tcPr>
                                <w:p w14:paraId="741B1CEA"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9.67</w:t>
                                  </w:r>
                                </w:p>
                              </w:tc>
                              <w:tc>
                                <w:tcPr>
                                  <w:tcW w:w="1797" w:type="dxa"/>
                                  <w:tcBorders>
                                    <w:left w:val="double" w:sz="4" w:space="0" w:color="auto"/>
                                    <w:right w:val="single" w:sz="4" w:space="0" w:color="auto"/>
                                  </w:tcBorders>
                                  <w:vAlign w:val="center"/>
                                </w:tcPr>
                                <w:p w14:paraId="4F3129CE"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0808B5">
                                    <w:rPr>
                                      <w:rFonts w:ascii="標楷體" w:eastAsia="標楷體" w:hAnsi="標楷體"/>
                                      <w:sz w:val="20"/>
                                      <w:szCs w:val="20"/>
                                    </w:rPr>
                                    <w:t>144</w:t>
                                  </w:r>
                                </w:p>
                              </w:tc>
                            </w:tr>
                            <w:tr w:rsidR="004068F5" w:rsidRPr="00980F9B" w14:paraId="737155BF" w14:textId="77777777" w:rsidTr="00702043">
                              <w:trPr>
                                <w:trHeight w:val="425"/>
                              </w:trPr>
                              <w:tc>
                                <w:tcPr>
                                  <w:tcW w:w="522" w:type="dxa"/>
                                  <w:shd w:val="clear" w:color="auto" w:fill="auto"/>
                                  <w:vAlign w:val="center"/>
                                  <w:hideMark/>
                                </w:tcPr>
                                <w:p w14:paraId="05BB5898" w14:textId="77777777" w:rsidR="004068F5" w:rsidRPr="00980F9B" w:rsidRDefault="004068F5" w:rsidP="00870390">
                                  <w:pPr>
                                    <w:widowControl/>
                                    <w:spacing w:line="28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114</w:t>
                                  </w:r>
                                </w:p>
                              </w:tc>
                              <w:tc>
                                <w:tcPr>
                                  <w:tcW w:w="1150" w:type="dxa"/>
                                  <w:shd w:val="clear" w:color="auto" w:fill="auto"/>
                                  <w:vAlign w:val="center"/>
                                </w:tcPr>
                                <w:p w14:paraId="7F427923"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137</w:t>
                                  </w:r>
                                </w:p>
                              </w:tc>
                              <w:tc>
                                <w:tcPr>
                                  <w:tcW w:w="892" w:type="dxa"/>
                                  <w:tcBorders>
                                    <w:right w:val="single" w:sz="4" w:space="0" w:color="auto"/>
                                  </w:tcBorders>
                                  <w:shd w:val="clear" w:color="auto" w:fill="auto"/>
                                  <w:vAlign w:val="center"/>
                                </w:tcPr>
                                <w:p w14:paraId="342E1D37"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40.29</w:t>
                                  </w:r>
                                </w:p>
                              </w:tc>
                              <w:tc>
                                <w:tcPr>
                                  <w:tcW w:w="892" w:type="dxa"/>
                                  <w:shd w:val="clear" w:color="auto" w:fill="auto"/>
                                  <w:vAlign w:val="center"/>
                                </w:tcPr>
                                <w:p w14:paraId="6823973A"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76</w:t>
                                  </w:r>
                                </w:p>
                              </w:tc>
                              <w:tc>
                                <w:tcPr>
                                  <w:tcW w:w="850" w:type="dxa"/>
                                  <w:tcBorders>
                                    <w:right w:val="double" w:sz="4" w:space="0" w:color="auto"/>
                                  </w:tcBorders>
                                  <w:shd w:val="clear" w:color="auto" w:fill="auto"/>
                                  <w:vAlign w:val="center"/>
                                </w:tcPr>
                                <w:p w14:paraId="386D7A84"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15.50</w:t>
                                  </w:r>
                                </w:p>
                              </w:tc>
                              <w:tc>
                                <w:tcPr>
                                  <w:tcW w:w="1797" w:type="dxa"/>
                                  <w:tcBorders>
                                    <w:left w:val="double" w:sz="4" w:space="0" w:color="auto"/>
                                    <w:right w:val="single" w:sz="4" w:space="0" w:color="auto"/>
                                  </w:tcBorders>
                                  <w:vAlign w:val="center"/>
                                </w:tcPr>
                                <w:p w14:paraId="5B01E9C0"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0808B5">
                                    <w:rPr>
                                      <w:rFonts w:ascii="標楷體" w:eastAsia="標楷體" w:hAnsi="標楷體"/>
                                      <w:sz w:val="20"/>
                                      <w:szCs w:val="20"/>
                                    </w:rPr>
                                    <w:t>122</w:t>
                                  </w:r>
                                </w:p>
                              </w:tc>
                            </w:tr>
                          </w:tbl>
                          <w:p w14:paraId="5DF368E9" w14:textId="77777777" w:rsidR="004068F5" w:rsidRDefault="004068F5" w:rsidP="004068F5">
                            <w:pPr>
                              <w:spacing w:line="200" w:lineRule="exact"/>
                              <w:ind w:left="490" w:rightChars="34" w:right="82" w:hangingChars="272" w:hanging="490"/>
                              <w:jc w:val="both"/>
                            </w:pPr>
                            <w:r w:rsidRPr="00A633D0">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B528DB" id="文字方塊 3" o:spid="_x0000_s1029" type="#_x0000_t202" style="position:absolute;left:0;text-align:left;margin-left:204.2pt;margin-top:278.65pt;width:306.75pt;height:123.75pt;z-index:-251641856;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" o:allowoverlap="f" filled="f" stroked="f">
                <v:textbox inset="0,0,0,0">
                  <w:txbxContent>
                    <w:p w14:paraId="4869BF74" w14:textId="77777777" w:rsidR="004068F5" w:rsidRPr="00E259F6" w:rsidRDefault="004068F5" w:rsidP="004068F5">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4</w:t>
                      </w:r>
                      <w:r w:rsidRPr="0083054F">
                        <w:rPr>
                          <w:rFonts w:ascii="標楷體" w:eastAsia="標楷體" w:hAnsi="標楷體"/>
                          <w:b/>
                          <w:szCs w:val="28"/>
                        </w:rPr>
                        <w:t xml:space="preserve">　</w:t>
                      </w:r>
                      <w:r w:rsidRPr="000D5819">
                        <w:rPr>
                          <w:rFonts w:ascii="標楷體" w:eastAsia="標楷體" w:hAnsi="標楷體" w:hint="eastAsia"/>
                          <w:b/>
                          <w:spacing w:val="-6"/>
                          <w:szCs w:val="28"/>
                        </w:rPr>
                        <w:t>全人全照護計畫執行情形</w:t>
                      </w:r>
                    </w:p>
                    <w:p w14:paraId="1BE29CFF" w14:textId="77777777" w:rsidR="004068F5" w:rsidRDefault="004068F5" w:rsidP="00702043">
                      <w:pPr>
                        <w:spacing w:beforeLines="20" w:before="72" w:line="200" w:lineRule="exact"/>
                        <w:ind w:rightChars="7" w:right="17"/>
                        <w:jc w:val="right"/>
                        <w:rPr>
                          <w:rFonts w:ascii="標楷體" w:eastAsia="標楷體" w:hAnsi="標楷體"/>
                          <w:sz w:val="20"/>
                          <w:szCs w:val="20"/>
                        </w:rPr>
                      </w:pPr>
                      <w:r w:rsidRPr="0034726D">
                        <w:rPr>
                          <w:rFonts w:ascii="標楷體" w:eastAsia="標楷體" w:hAnsi="標楷體" w:hint="eastAsia"/>
                          <w:sz w:val="20"/>
                          <w:szCs w:val="20"/>
                        </w:rPr>
                        <w:t>單位：</w:t>
                      </w:r>
                      <w:r w:rsidRPr="000D5819">
                        <w:rPr>
                          <w:rFonts w:ascii="標楷體" w:eastAsia="標楷體" w:hAnsi="標楷體" w:hint="eastAsia"/>
                          <w:sz w:val="20"/>
                          <w:szCs w:val="20"/>
                        </w:rPr>
                        <w:t>家、％、</w:t>
                      </w:r>
                      <w:r>
                        <w:rPr>
                          <w:rFonts w:ascii="標楷體" w:eastAsia="標楷體" w:hAnsi="標楷體" w:hint="eastAsia"/>
                          <w:sz w:val="20"/>
                          <w:szCs w:val="20"/>
                        </w:rPr>
                        <w:t>千人</w:t>
                      </w:r>
                    </w:p>
                    <w:tbl>
                      <w:tblPr>
                        <w:tblW w:w="61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2"/>
                        <w:gridCol w:w="1150"/>
                        <w:gridCol w:w="892"/>
                        <w:gridCol w:w="892"/>
                        <w:gridCol w:w="850"/>
                        <w:gridCol w:w="1797"/>
                      </w:tblGrid>
                      <w:tr w:rsidR="004068F5" w:rsidRPr="00980F9B" w14:paraId="7B81A69B" w14:textId="77777777" w:rsidTr="00702043">
                        <w:trPr>
                          <w:trHeight w:val="21"/>
                        </w:trPr>
                        <w:tc>
                          <w:tcPr>
                            <w:tcW w:w="522" w:type="dxa"/>
                            <w:tcBorders>
                              <w:top w:val="single" w:sz="4" w:space="0" w:color="auto"/>
                            </w:tcBorders>
                            <w:shd w:val="clear" w:color="auto" w:fill="auto"/>
                            <w:vAlign w:val="center"/>
                            <w:hideMark/>
                          </w:tcPr>
                          <w:p w14:paraId="5FADA852" w14:textId="77777777" w:rsidR="004068F5" w:rsidRPr="00980F9B" w:rsidRDefault="004068F5" w:rsidP="00870390">
                            <w:pPr>
                              <w:widowControl/>
                              <w:spacing w:line="28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年度</w:t>
                            </w:r>
                          </w:p>
                        </w:tc>
                        <w:tc>
                          <w:tcPr>
                            <w:tcW w:w="1150" w:type="dxa"/>
                            <w:tcBorders>
                              <w:top w:val="single" w:sz="4" w:space="0" w:color="auto"/>
                            </w:tcBorders>
                            <w:shd w:val="clear" w:color="auto" w:fill="auto"/>
                            <w:vAlign w:val="center"/>
                          </w:tcPr>
                          <w:p w14:paraId="241F28C8"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參與院所數</w:t>
                            </w:r>
                          </w:p>
                        </w:tc>
                        <w:tc>
                          <w:tcPr>
                            <w:tcW w:w="892" w:type="dxa"/>
                            <w:tcBorders>
                              <w:top w:val="single" w:sz="4" w:space="0" w:color="auto"/>
                              <w:right w:val="single" w:sz="4" w:space="0" w:color="auto"/>
                            </w:tcBorders>
                            <w:shd w:val="clear" w:color="auto" w:fill="auto"/>
                            <w:vAlign w:val="center"/>
                          </w:tcPr>
                          <w:p w14:paraId="5A6C5613"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參與院所占比</w:t>
                            </w:r>
                          </w:p>
                        </w:tc>
                        <w:tc>
                          <w:tcPr>
                            <w:tcW w:w="892" w:type="dxa"/>
                            <w:tcBorders>
                              <w:top w:val="single" w:sz="4" w:space="0" w:color="auto"/>
                            </w:tcBorders>
                            <w:shd w:val="clear" w:color="auto" w:fill="auto"/>
                            <w:vAlign w:val="center"/>
                          </w:tcPr>
                          <w:p w14:paraId="092EF371"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收案人數</w:t>
                            </w:r>
                          </w:p>
                        </w:tc>
                        <w:tc>
                          <w:tcPr>
                            <w:tcW w:w="850" w:type="dxa"/>
                            <w:tcBorders>
                              <w:top w:val="single" w:sz="4" w:space="0" w:color="auto"/>
                              <w:right w:val="double" w:sz="4" w:space="0" w:color="auto"/>
                            </w:tcBorders>
                            <w:shd w:val="clear" w:color="auto" w:fill="auto"/>
                            <w:vAlign w:val="center"/>
                          </w:tcPr>
                          <w:p w14:paraId="693DF60A" w14:textId="77777777" w:rsidR="004068F5" w:rsidRPr="00980F9B" w:rsidRDefault="004068F5" w:rsidP="00FF7C0F">
                            <w:pPr>
                              <w:widowControl/>
                              <w:spacing w:line="26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照護率</w:t>
                            </w:r>
                          </w:p>
                        </w:tc>
                        <w:tc>
                          <w:tcPr>
                            <w:tcW w:w="1797" w:type="dxa"/>
                            <w:tcBorders>
                              <w:top w:val="single" w:sz="4" w:space="0" w:color="auto"/>
                              <w:left w:val="double" w:sz="4" w:space="0" w:color="auto"/>
                              <w:right w:val="single" w:sz="4" w:space="0" w:color="auto"/>
                            </w:tcBorders>
                          </w:tcPr>
                          <w:p w14:paraId="0914BC1F" w14:textId="77777777" w:rsidR="004068F5" w:rsidRPr="00980F9B" w:rsidRDefault="004068F5" w:rsidP="00692EC7">
                            <w:pPr>
                              <w:widowControl/>
                              <w:spacing w:line="260" w:lineRule="exact"/>
                              <w:jc w:val="both"/>
                              <w:rPr>
                                <w:rFonts w:ascii="標楷體" w:eastAsia="標楷體" w:hAnsi="標楷體" w:cs="新細明體"/>
                                <w:sz w:val="20"/>
                                <w:szCs w:val="16"/>
                              </w:rPr>
                            </w:pPr>
                            <w:r w:rsidRPr="000808B5">
                              <w:rPr>
                                <w:rFonts w:ascii="標楷體" w:eastAsia="標楷體" w:hAnsi="標楷體" w:hint="eastAsia"/>
                                <w:sz w:val="20"/>
                                <w:szCs w:val="20"/>
                              </w:rPr>
                              <w:t>因院所未加入計畫無法派案之人數</w:t>
                            </w:r>
                          </w:p>
                        </w:tc>
                      </w:tr>
                      <w:tr w:rsidR="004068F5" w:rsidRPr="00980F9B" w14:paraId="2C1D93C9" w14:textId="77777777" w:rsidTr="00702043">
                        <w:trPr>
                          <w:trHeight w:val="425"/>
                        </w:trPr>
                        <w:tc>
                          <w:tcPr>
                            <w:tcW w:w="522" w:type="dxa"/>
                            <w:shd w:val="clear" w:color="auto" w:fill="auto"/>
                            <w:vAlign w:val="center"/>
                            <w:hideMark/>
                          </w:tcPr>
                          <w:p w14:paraId="37E1951A" w14:textId="77777777" w:rsidR="004068F5" w:rsidRPr="00980F9B" w:rsidRDefault="004068F5" w:rsidP="00870390">
                            <w:pPr>
                              <w:widowControl/>
                              <w:spacing w:line="28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113</w:t>
                            </w:r>
                          </w:p>
                        </w:tc>
                        <w:tc>
                          <w:tcPr>
                            <w:tcW w:w="1150" w:type="dxa"/>
                            <w:shd w:val="clear" w:color="auto" w:fill="auto"/>
                            <w:vAlign w:val="center"/>
                          </w:tcPr>
                          <w:p w14:paraId="6421C59C"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127</w:t>
                            </w:r>
                          </w:p>
                        </w:tc>
                        <w:tc>
                          <w:tcPr>
                            <w:tcW w:w="892" w:type="dxa"/>
                            <w:tcBorders>
                              <w:right w:val="single" w:sz="4" w:space="0" w:color="auto"/>
                            </w:tcBorders>
                            <w:shd w:val="clear" w:color="auto" w:fill="auto"/>
                            <w:vAlign w:val="center"/>
                          </w:tcPr>
                          <w:p w14:paraId="7EA6D03A"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37.24</w:t>
                            </w:r>
                          </w:p>
                        </w:tc>
                        <w:tc>
                          <w:tcPr>
                            <w:tcW w:w="892" w:type="dxa"/>
                            <w:shd w:val="clear" w:color="auto" w:fill="auto"/>
                            <w:vAlign w:val="center"/>
                          </w:tcPr>
                          <w:p w14:paraId="608F4A1D"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45</w:t>
                            </w:r>
                          </w:p>
                        </w:tc>
                        <w:tc>
                          <w:tcPr>
                            <w:tcW w:w="850" w:type="dxa"/>
                            <w:tcBorders>
                              <w:right w:val="double" w:sz="4" w:space="0" w:color="auto"/>
                            </w:tcBorders>
                            <w:shd w:val="clear" w:color="auto" w:fill="auto"/>
                            <w:vAlign w:val="center"/>
                          </w:tcPr>
                          <w:p w14:paraId="741B1CEA"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9.67</w:t>
                            </w:r>
                          </w:p>
                        </w:tc>
                        <w:tc>
                          <w:tcPr>
                            <w:tcW w:w="1797" w:type="dxa"/>
                            <w:tcBorders>
                              <w:left w:val="double" w:sz="4" w:space="0" w:color="auto"/>
                              <w:right w:val="single" w:sz="4" w:space="0" w:color="auto"/>
                            </w:tcBorders>
                            <w:vAlign w:val="center"/>
                          </w:tcPr>
                          <w:p w14:paraId="4F3129CE"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0808B5">
                              <w:rPr>
                                <w:rFonts w:ascii="標楷體" w:eastAsia="標楷體" w:hAnsi="標楷體"/>
                                <w:sz w:val="20"/>
                                <w:szCs w:val="20"/>
                              </w:rPr>
                              <w:t>144</w:t>
                            </w:r>
                          </w:p>
                        </w:tc>
                      </w:tr>
                      <w:tr w:rsidR="004068F5" w:rsidRPr="00980F9B" w14:paraId="737155BF" w14:textId="77777777" w:rsidTr="00702043">
                        <w:trPr>
                          <w:trHeight w:val="425"/>
                        </w:trPr>
                        <w:tc>
                          <w:tcPr>
                            <w:tcW w:w="522" w:type="dxa"/>
                            <w:shd w:val="clear" w:color="auto" w:fill="auto"/>
                            <w:vAlign w:val="center"/>
                            <w:hideMark/>
                          </w:tcPr>
                          <w:p w14:paraId="05BB5898" w14:textId="77777777" w:rsidR="004068F5" w:rsidRPr="00980F9B" w:rsidRDefault="004068F5" w:rsidP="00870390">
                            <w:pPr>
                              <w:widowControl/>
                              <w:spacing w:line="280" w:lineRule="exact"/>
                              <w:jc w:val="center"/>
                              <w:rPr>
                                <w:rFonts w:ascii="標楷體" w:eastAsia="標楷體" w:hAnsi="標楷體" w:cs="新細明體"/>
                                <w:sz w:val="20"/>
                                <w:szCs w:val="16"/>
                              </w:rPr>
                            </w:pPr>
                            <w:r w:rsidRPr="00980F9B">
                              <w:rPr>
                                <w:rFonts w:ascii="標楷體" w:eastAsia="標楷體" w:hAnsi="標楷體" w:cs="新細明體" w:hint="eastAsia"/>
                                <w:sz w:val="20"/>
                                <w:szCs w:val="16"/>
                              </w:rPr>
                              <w:t>114</w:t>
                            </w:r>
                          </w:p>
                        </w:tc>
                        <w:tc>
                          <w:tcPr>
                            <w:tcW w:w="1150" w:type="dxa"/>
                            <w:shd w:val="clear" w:color="auto" w:fill="auto"/>
                            <w:vAlign w:val="center"/>
                          </w:tcPr>
                          <w:p w14:paraId="7F427923"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137</w:t>
                            </w:r>
                          </w:p>
                        </w:tc>
                        <w:tc>
                          <w:tcPr>
                            <w:tcW w:w="892" w:type="dxa"/>
                            <w:tcBorders>
                              <w:right w:val="single" w:sz="4" w:space="0" w:color="auto"/>
                            </w:tcBorders>
                            <w:shd w:val="clear" w:color="auto" w:fill="auto"/>
                            <w:vAlign w:val="center"/>
                          </w:tcPr>
                          <w:p w14:paraId="342E1D37"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40.29</w:t>
                            </w:r>
                          </w:p>
                        </w:tc>
                        <w:tc>
                          <w:tcPr>
                            <w:tcW w:w="892" w:type="dxa"/>
                            <w:shd w:val="clear" w:color="auto" w:fill="auto"/>
                            <w:vAlign w:val="center"/>
                          </w:tcPr>
                          <w:p w14:paraId="6823973A"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76</w:t>
                            </w:r>
                          </w:p>
                        </w:tc>
                        <w:tc>
                          <w:tcPr>
                            <w:tcW w:w="850" w:type="dxa"/>
                            <w:tcBorders>
                              <w:right w:val="double" w:sz="4" w:space="0" w:color="auto"/>
                            </w:tcBorders>
                            <w:shd w:val="clear" w:color="auto" w:fill="auto"/>
                            <w:vAlign w:val="center"/>
                          </w:tcPr>
                          <w:p w14:paraId="386D7A84"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980F9B">
                              <w:rPr>
                                <w:rFonts w:ascii="標楷體" w:eastAsia="標楷體" w:hAnsi="標楷體" w:cs="新細明體" w:hint="eastAsia"/>
                                <w:sz w:val="20"/>
                                <w:szCs w:val="16"/>
                              </w:rPr>
                              <w:t>15.50</w:t>
                            </w:r>
                          </w:p>
                        </w:tc>
                        <w:tc>
                          <w:tcPr>
                            <w:tcW w:w="1797" w:type="dxa"/>
                            <w:tcBorders>
                              <w:left w:val="double" w:sz="4" w:space="0" w:color="auto"/>
                              <w:right w:val="single" w:sz="4" w:space="0" w:color="auto"/>
                            </w:tcBorders>
                            <w:vAlign w:val="center"/>
                          </w:tcPr>
                          <w:p w14:paraId="5B01E9C0" w14:textId="77777777" w:rsidR="004068F5" w:rsidRPr="00980F9B" w:rsidRDefault="004068F5" w:rsidP="008921B7">
                            <w:pPr>
                              <w:widowControl/>
                              <w:spacing w:line="280" w:lineRule="exact"/>
                              <w:jc w:val="right"/>
                              <w:rPr>
                                <w:rFonts w:ascii="標楷體" w:eastAsia="標楷體" w:hAnsi="標楷體" w:cs="新細明體"/>
                                <w:sz w:val="20"/>
                                <w:szCs w:val="16"/>
                              </w:rPr>
                            </w:pPr>
                            <w:r w:rsidRPr="000808B5">
                              <w:rPr>
                                <w:rFonts w:ascii="標楷體" w:eastAsia="標楷體" w:hAnsi="標楷體"/>
                                <w:sz w:val="20"/>
                                <w:szCs w:val="20"/>
                              </w:rPr>
                              <w:t>122</w:t>
                            </w:r>
                          </w:p>
                        </w:tc>
                      </w:tr>
                    </w:tbl>
                    <w:p w14:paraId="5DF368E9" w14:textId="77777777" w:rsidR="004068F5" w:rsidRDefault="004068F5" w:rsidP="004068F5">
                      <w:pPr>
                        <w:spacing w:line="200" w:lineRule="exact"/>
                        <w:ind w:left="490" w:rightChars="34" w:right="82" w:hangingChars="272" w:hanging="490"/>
                        <w:jc w:val="both"/>
                      </w:pPr>
                      <w:r w:rsidRPr="00A633D0">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v:textbox>
                <w10:wrap type="square"/>
              </v:shape>
            </w:pict>
          </mc:Fallback>
        </mc:AlternateContent>
      </w:r>
      <w:r w:rsidRPr="00643055">
        <w:rPr>
          <w:rFonts w:ascii="標楷體" w:hAnsi="標楷體" w:hint="eastAsia"/>
          <w:b w:val="0"/>
          <w:bCs w:val="0"/>
          <w:sz w:val="24"/>
          <w:szCs w:val="24"/>
        </w:rPr>
        <w:t>參與院所透過數位追蹤病人健康數據，以提升健康管理效率。</w:t>
      </w:r>
      <w:r w:rsidR="003C1E25">
        <w:rPr>
          <w:rFonts w:ascii="標楷體" w:hAnsi="標楷體" w:hint="eastAsia"/>
          <w:b w:val="0"/>
          <w:bCs w:val="0"/>
          <w:sz w:val="24"/>
          <w:szCs w:val="24"/>
        </w:rPr>
        <w:t>經</w:t>
      </w:r>
      <w:r w:rsidRPr="00643055">
        <w:rPr>
          <w:rFonts w:ascii="標楷體" w:hAnsi="標楷體" w:hint="eastAsia"/>
          <w:b w:val="0"/>
          <w:bCs w:val="0"/>
          <w:sz w:val="24"/>
          <w:szCs w:val="24"/>
        </w:rPr>
        <w:t>查114年度</w:t>
      </w:r>
      <w:r w:rsidR="00F73293">
        <w:rPr>
          <w:rFonts w:ascii="標楷體" w:hAnsi="標楷體" w:hint="eastAsia"/>
          <w:b w:val="0"/>
          <w:bCs w:val="0"/>
          <w:sz w:val="24"/>
          <w:szCs w:val="24"/>
        </w:rPr>
        <w:t>參與</w:t>
      </w:r>
      <w:r w:rsidRPr="00643055">
        <w:rPr>
          <w:rFonts w:ascii="標楷體" w:hAnsi="標楷體" w:hint="eastAsia"/>
          <w:b w:val="0"/>
          <w:bCs w:val="0"/>
          <w:sz w:val="24"/>
          <w:szCs w:val="24"/>
        </w:rPr>
        <w:t>家醫計畫</w:t>
      </w:r>
      <w:r>
        <w:rPr>
          <w:rFonts w:ascii="標楷體" w:hAnsi="標楷體" w:hint="eastAsia"/>
          <w:b w:val="0"/>
          <w:bCs w:val="0"/>
          <w:sz w:val="24"/>
          <w:szCs w:val="24"/>
        </w:rPr>
        <w:t>、全人全照護計畫之院所</w:t>
      </w:r>
      <w:r w:rsidR="00F73293">
        <w:rPr>
          <w:rFonts w:ascii="標楷體" w:hAnsi="標楷體" w:hint="eastAsia"/>
          <w:b w:val="0"/>
          <w:bCs w:val="0"/>
          <w:sz w:val="24"/>
          <w:szCs w:val="24"/>
        </w:rPr>
        <w:t>數占全國院所數之比</w:t>
      </w:r>
      <w:r w:rsidRPr="00643055">
        <w:rPr>
          <w:rFonts w:ascii="標楷體" w:hAnsi="標楷體" w:hint="eastAsia"/>
          <w:b w:val="0"/>
          <w:bCs w:val="0"/>
          <w:sz w:val="24"/>
          <w:szCs w:val="24"/>
        </w:rPr>
        <w:t>率</w:t>
      </w:r>
      <w:r>
        <w:rPr>
          <w:rFonts w:ascii="標楷體" w:hAnsi="標楷體" w:hint="eastAsia"/>
          <w:b w:val="0"/>
          <w:bCs w:val="0"/>
          <w:sz w:val="24"/>
          <w:szCs w:val="24"/>
        </w:rPr>
        <w:t>分別</w:t>
      </w:r>
      <w:r w:rsidRPr="00643055">
        <w:rPr>
          <w:rFonts w:ascii="標楷體" w:hAnsi="標楷體" w:hint="eastAsia"/>
          <w:b w:val="0"/>
          <w:bCs w:val="0"/>
          <w:sz w:val="24"/>
          <w:szCs w:val="24"/>
        </w:rPr>
        <w:t>約5成</w:t>
      </w:r>
      <w:r>
        <w:rPr>
          <w:rFonts w:ascii="標楷體" w:hAnsi="標楷體" w:hint="eastAsia"/>
          <w:b w:val="0"/>
          <w:bCs w:val="0"/>
          <w:sz w:val="24"/>
          <w:szCs w:val="24"/>
        </w:rPr>
        <w:t>、</w:t>
      </w:r>
      <w:r w:rsidR="00541329">
        <w:rPr>
          <w:rFonts w:ascii="標楷體" w:hAnsi="標楷體" w:hint="eastAsia"/>
          <w:b w:val="0"/>
          <w:bCs w:val="0"/>
          <w:sz w:val="24"/>
          <w:szCs w:val="24"/>
        </w:rPr>
        <w:t>4</w:t>
      </w:r>
      <w:r>
        <w:rPr>
          <w:rFonts w:ascii="標楷體" w:hAnsi="標楷體" w:hint="eastAsia"/>
          <w:b w:val="0"/>
          <w:bCs w:val="0"/>
          <w:sz w:val="24"/>
          <w:szCs w:val="24"/>
        </w:rPr>
        <w:t>成</w:t>
      </w:r>
      <w:r w:rsidRPr="00643055">
        <w:rPr>
          <w:rFonts w:ascii="標楷體" w:hAnsi="標楷體" w:hint="eastAsia"/>
          <w:b w:val="0"/>
          <w:bCs w:val="0"/>
          <w:sz w:val="24"/>
          <w:szCs w:val="24"/>
        </w:rPr>
        <w:t>（表3</w:t>
      </w:r>
      <w:r>
        <w:rPr>
          <w:rFonts w:ascii="標楷體" w:hAnsi="標楷體" w:hint="eastAsia"/>
          <w:b w:val="0"/>
          <w:bCs w:val="0"/>
          <w:sz w:val="24"/>
          <w:szCs w:val="24"/>
        </w:rPr>
        <w:t>、表4</w:t>
      </w:r>
      <w:r w:rsidRPr="00643055">
        <w:rPr>
          <w:rFonts w:ascii="標楷體" w:hAnsi="標楷體" w:hint="eastAsia"/>
          <w:b w:val="0"/>
          <w:bCs w:val="0"/>
          <w:sz w:val="24"/>
          <w:szCs w:val="24"/>
        </w:rPr>
        <w:t>），</w:t>
      </w:r>
      <w:r>
        <w:rPr>
          <w:rFonts w:ascii="標楷體" w:hAnsi="標楷體" w:hint="eastAsia"/>
          <w:b w:val="0"/>
          <w:bCs w:val="0"/>
          <w:sz w:val="24"/>
          <w:szCs w:val="24"/>
        </w:rPr>
        <w:t>主要係囿於</w:t>
      </w:r>
      <w:r w:rsidRPr="008F37E7">
        <w:rPr>
          <w:rFonts w:ascii="標楷體" w:hAnsi="標楷體" w:hint="eastAsia"/>
          <w:b w:val="0"/>
          <w:bCs w:val="0"/>
          <w:sz w:val="24"/>
          <w:szCs w:val="24"/>
        </w:rPr>
        <w:t>院所人力資源不足</w:t>
      </w:r>
      <w:r>
        <w:rPr>
          <w:rFonts w:ascii="標楷體" w:hAnsi="標楷體" w:hint="eastAsia"/>
          <w:b w:val="0"/>
          <w:bCs w:val="0"/>
          <w:sz w:val="24"/>
          <w:szCs w:val="24"/>
        </w:rPr>
        <w:t>，</w:t>
      </w:r>
      <w:r w:rsidRPr="001157A4">
        <w:rPr>
          <w:rFonts w:ascii="標楷體" w:hAnsi="標楷體" w:hint="eastAsia"/>
          <w:b w:val="0"/>
          <w:bCs w:val="0"/>
          <w:sz w:val="24"/>
          <w:szCs w:val="24"/>
        </w:rPr>
        <w:t>及計畫要求個案追蹤、健康衛教等持續性照護作業負荷繁重</w:t>
      </w:r>
      <w:r w:rsidRPr="008F37E7">
        <w:rPr>
          <w:rFonts w:ascii="標楷體" w:hAnsi="標楷體" w:hint="eastAsia"/>
          <w:b w:val="0"/>
          <w:bCs w:val="0"/>
          <w:sz w:val="24"/>
          <w:szCs w:val="24"/>
        </w:rPr>
        <w:t>，影響</w:t>
      </w:r>
      <w:r w:rsidR="003C1E25">
        <w:rPr>
          <w:rFonts w:ascii="標楷體" w:hAnsi="標楷體" w:hint="eastAsia"/>
          <w:b w:val="0"/>
          <w:bCs w:val="0"/>
          <w:sz w:val="24"/>
          <w:szCs w:val="24"/>
        </w:rPr>
        <w:t>院所</w:t>
      </w:r>
      <w:r>
        <w:rPr>
          <w:rFonts w:ascii="標楷體" w:hAnsi="標楷體" w:hint="eastAsia"/>
          <w:b w:val="0"/>
          <w:bCs w:val="0"/>
          <w:sz w:val="24"/>
          <w:szCs w:val="24"/>
        </w:rPr>
        <w:t>參與</w:t>
      </w:r>
      <w:r w:rsidRPr="008F37E7">
        <w:rPr>
          <w:rFonts w:ascii="標楷體" w:hAnsi="標楷體" w:hint="eastAsia"/>
          <w:b w:val="0"/>
          <w:bCs w:val="0"/>
          <w:sz w:val="24"/>
          <w:szCs w:val="24"/>
        </w:rPr>
        <w:t>意願，</w:t>
      </w:r>
      <w:r>
        <w:rPr>
          <w:rFonts w:ascii="標楷體" w:hAnsi="標楷體" w:hint="eastAsia"/>
          <w:b w:val="0"/>
          <w:bCs w:val="0"/>
          <w:sz w:val="24"/>
          <w:szCs w:val="24"/>
        </w:rPr>
        <w:t>致</w:t>
      </w:r>
      <w:r w:rsidRPr="00643055">
        <w:rPr>
          <w:rFonts w:ascii="標楷體" w:hAnsi="標楷體" w:hint="eastAsia"/>
          <w:b w:val="0"/>
          <w:bCs w:val="0"/>
          <w:sz w:val="24"/>
          <w:szCs w:val="24"/>
        </w:rPr>
        <w:t>全國尚有207萬餘名</w:t>
      </w:r>
      <w:r>
        <w:rPr>
          <w:rFonts w:ascii="標楷體" w:hAnsi="標楷體" w:hint="eastAsia"/>
          <w:b w:val="0"/>
          <w:bCs w:val="0"/>
          <w:sz w:val="24"/>
          <w:szCs w:val="24"/>
        </w:rPr>
        <w:t>、12萬餘名</w:t>
      </w:r>
      <w:r w:rsidRPr="00643055">
        <w:rPr>
          <w:rFonts w:ascii="標楷體" w:hAnsi="標楷體" w:hint="eastAsia"/>
          <w:b w:val="0"/>
          <w:bCs w:val="0"/>
          <w:sz w:val="24"/>
          <w:szCs w:val="24"/>
        </w:rPr>
        <w:t>符合</w:t>
      </w:r>
      <w:r>
        <w:rPr>
          <w:rFonts w:ascii="標楷體" w:hAnsi="標楷體" w:hint="eastAsia"/>
          <w:b w:val="0"/>
          <w:bCs w:val="0"/>
          <w:sz w:val="24"/>
          <w:szCs w:val="24"/>
        </w:rPr>
        <w:t>前開</w:t>
      </w:r>
      <w:r w:rsidRPr="00643055">
        <w:rPr>
          <w:rFonts w:ascii="標楷體" w:hAnsi="標楷體" w:hint="eastAsia"/>
          <w:b w:val="0"/>
          <w:bCs w:val="0"/>
          <w:sz w:val="24"/>
          <w:szCs w:val="24"/>
        </w:rPr>
        <w:t>計畫收案資格之對象，因</w:t>
      </w:r>
      <w:r w:rsidR="00B54F51">
        <w:rPr>
          <w:rFonts w:ascii="標楷體" w:hAnsi="標楷體" w:hint="eastAsia"/>
          <w:b w:val="0"/>
          <w:bCs w:val="0"/>
          <w:sz w:val="24"/>
          <w:szCs w:val="24"/>
        </w:rPr>
        <w:t>其</w:t>
      </w:r>
      <w:r w:rsidRPr="008F37E7">
        <w:rPr>
          <w:rFonts w:ascii="標楷體" w:hAnsi="標楷體" w:hint="eastAsia"/>
          <w:b w:val="0"/>
          <w:bCs w:val="0"/>
          <w:sz w:val="24"/>
          <w:szCs w:val="24"/>
        </w:rPr>
        <w:t>就診之診所</w:t>
      </w:r>
      <w:r>
        <w:rPr>
          <w:rFonts w:ascii="標楷體" w:hAnsi="標楷體" w:hint="eastAsia"/>
          <w:b w:val="0"/>
          <w:bCs w:val="0"/>
          <w:sz w:val="24"/>
          <w:szCs w:val="24"/>
        </w:rPr>
        <w:t>、地區醫院</w:t>
      </w:r>
      <w:r w:rsidRPr="008F37E7">
        <w:rPr>
          <w:rFonts w:ascii="標楷體" w:hAnsi="標楷體" w:hint="eastAsia"/>
          <w:b w:val="0"/>
          <w:bCs w:val="0"/>
          <w:sz w:val="24"/>
          <w:szCs w:val="24"/>
        </w:rPr>
        <w:t>未參與</w:t>
      </w:r>
      <w:r>
        <w:rPr>
          <w:rFonts w:ascii="標楷體" w:hAnsi="標楷體" w:hint="eastAsia"/>
          <w:b w:val="0"/>
          <w:bCs w:val="0"/>
          <w:sz w:val="24"/>
          <w:szCs w:val="24"/>
        </w:rPr>
        <w:t>相關</w:t>
      </w:r>
      <w:r w:rsidRPr="008F37E7">
        <w:rPr>
          <w:rFonts w:ascii="標楷體" w:hAnsi="標楷體" w:hint="eastAsia"/>
          <w:b w:val="0"/>
          <w:bCs w:val="0"/>
          <w:sz w:val="24"/>
          <w:szCs w:val="24"/>
        </w:rPr>
        <w:t>計畫而</w:t>
      </w:r>
      <w:r w:rsidR="000437BC">
        <w:rPr>
          <w:rFonts w:ascii="標楷體" w:hAnsi="標楷體" w:hint="eastAsia"/>
          <w:b w:val="0"/>
          <w:bCs w:val="0"/>
          <w:sz w:val="24"/>
          <w:szCs w:val="24"/>
        </w:rPr>
        <w:t>未獲</w:t>
      </w:r>
      <w:r w:rsidR="00B54F51" w:rsidRPr="00B54F51">
        <w:rPr>
          <w:rFonts w:ascii="標楷體" w:hAnsi="標楷體" w:hint="eastAsia"/>
          <w:b w:val="0"/>
          <w:bCs w:val="0"/>
          <w:sz w:val="24"/>
          <w:szCs w:val="24"/>
        </w:rPr>
        <w:t>收案照護</w:t>
      </w:r>
      <w:r w:rsidRPr="008F37E7">
        <w:rPr>
          <w:rFonts w:ascii="標楷體" w:hAnsi="標楷體" w:hint="eastAsia"/>
          <w:b w:val="0"/>
          <w:bCs w:val="0"/>
          <w:sz w:val="24"/>
          <w:szCs w:val="24"/>
        </w:rPr>
        <w:t>，計畫之推展容有精進空間。另114年度參與院所使用家醫大平台3萬餘次，相較大家醫計畫收案照護人數654萬餘人，平台使用率</w:t>
      </w:r>
      <w:r w:rsidR="003C1E25">
        <w:rPr>
          <w:rFonts w:ascii="標楷體" w:hAnsi="標楷體" w:hint="eastAsia"/>
          <w:b w:val="0"/>
          <w:bCs w:val="0"/>
          <w:sz w:val="24"/>
          <w:szCs w:val="24"/>
        </w:rPr>
        <w:t>尚有大幅成長空間</w:t>
      </w:r>
      <w:r w:rsidRPr="008F37E7">
        <w:rPr>
          <w:rFonts w:ascii="標楷體" w:hAnsi="標楷體" w:hint="eastAsia"/>
          <w:b w:val="0"/>
          <w:bCs w:val="0"/>
          <w:sz w:val="24"/>
          <w:szCs w:val="24"/>
        </w:rPr>
        <w:t>，</w:t>
      </w:r>
      <w:r w:rsidR="003C1E25">
        <w:rPr>
          <w:rFonts w:ascii="標楷體" w:hAnsi="標楷體" w:hint="eastAsia"/>
          <w:b w:val="0"/>
          <w:bCs w:val="0"/>
          <w:sz w:val="24"/>
          <w:szCs w:val="24"/>
        </w:rPr>
        <w:t>以利發揮</w:t>
      </w:r>
      <w:r w:rsidR="00D97A97" w:rsidRPr="008F37E7">
        <w:rPr>
          <w:rFonts w:ascii="標楷體" w:hAnsi="標楷體" w:hint="eastAsia"/>
          <w:b w:val="0"/>
          <w:bCs w:val="0"/>
          <w:sz w:val="24"/>
          <w:szCs w:val="24"/>
        </w:rPr>
        <w:t>平台</w:t>
      </w:r>
      <w:r w:rsidRPr="0085471A">
        <w:rPr>
          <w:rFonts w:ascii="標楷體" w:hAnsi="標楷體" w:hint="eastAsia"/>
          <w:b w:val="0"/>
          <w:bCs w:val="0"/>
          <w:sz w:val="24"/>
          <w:szCs w:val="24"/>
        </w:rPr>
        <w:t>健康管理之建置效益</w:t>
      </w:r>
      <w:r w:rsidR="003C1E25" w:rsidRPr="0085471A">
        <w:rPr>
          <w:rFonts w:ascii="標楷體" w:hAnsi="標楷體" w:hint="eastAsia"/>
          <w:b w:val="0"/>
          <w:bCs w:val="0"/>
          <w:sz w:val="24"/>
          <w:szCs w:val="24"/>
        </w:rPr>
        <w:t>。</w:t>
      </w:r>
      <w:r w:rsidRPr="0085471A">
        <w:rPr>
          <w:rFonts w:ascii="標楷體" w:hAnsi="標楷體" w:hint="eastAsia"/>
          <w:b w:val="0"/>
          <w:sz w:val="24"/>
          <w:szCs w:val="24"/>
        </w:rPr>
        <w:t>經函請健保署研謀因應，檢視精進現行計畫參與誘因與強化推廣措施</w:t>
      </w:r>
      <w:r w:rsidR="003C1E25" w:rsidRPr="0085471A">
        <w:rPr>
          <w:rFonts w:ascii="標楷體" w:hAnsi="標楷體" w:hint="eastAsia"/>
          <w:b w:val="0"/>
          <w:sz w:val="24"/>
          <w:szCs w:val="24"/>
        </w:rPr>
        <w:t>，並優化家醫大平台之系統功能</w:t>
      </w:r>
      <w:r w:rsidRPr="0085471A">
        <w:rPr>
          <w:rFonts w:ascii="標楷體" w:hAnsi="標楷體" w:hint="eastAsia"/>
          <w:b w:val="0"/>
          <w:sz w:val="24"/>
          <w:szCs w:val="24"/>
        </w:rPr>
        <w:t>，以利計畫推展</w:t>
      </w:r>
      <w:r w:rsidR="003C1E25" w:rsidRPr="0085471A">
        <w:rPr>
          <w:rFonts w:ascii="標楷體" w:hAnsi="標楷體" w:hint="eastAsia"/>
          <w:b w:val="0"/>
          <w:sz w:val="24"/>
          <w:szCs w:val="24"/>
        </w:rPr>
        <w:t>，</w:t>
      </w:r>
      <w:r w:rsidRPr="0085471A">
        <w:rPr>
          <w:rFonts w:ascii="標楷體" w:hAnsi="標楷體" w:hint="eastAsia"/>
          <w:b w:val="0"/>
          <w:sz w:val="24"/>
          <w:szCs w:val="24"/>
        </w:rPr>
        <w:t>提升照護涵蓋率，落實慢性病整合照護之政策目標。據復：</w:t>
      </w:r>
      <w:r w:rsidR="00160C5E">
        <w:rPr>
          <w:rFonts w:ascii="標楷體" w:hAnsi="標楷體" w:hint="eastAsia"/>
          <w:b w:val="0"/>
          <w:sz w:val="24"/>
          <w:szCs w:val="24"/>
        </w:rPr>
        <w:t>1</w:t>
      </w:r>
      <w:r w:rsidR="00160C5E">
        <w:rPr>
          <w:rFonts w:ascii="標楷體" w:hAnsi="標楷體"/>
          <w:b w:val="0"/>
          <w:sz w:val="24"/>
          <w:szCs w:val="24"/>
        </w:rPr>
        <w:t>15</w:t>
      </w:r>
      <w:r w:rsidR="00160C5E">
        <w:rPr>
          <w:rFonts w:ascii="標楷體" w:hAnsi="標楷體" w:hint="eastAsia"/>
          <w:b w:val="0"/>
          <w:sz w:val="24"/>
          <w:szCs w:val="24"/>
        </w:rPr>
        <w:t>年</w:t>
      </w:r>
      <w:r w:rsidR="00F12886" w:rsidRPr="0085471A">
        <w:rPr>
          <w:rFonts w:ascii="標楷體" w:hAnsi="標楷體" w:hint="eastAsia"/>
          <w:b w:val="0"/>
          <w:sz w:val="24"/>
          <w:szCs w:val="24"/>
        </w:rPr>
        <w:t>已爭取預算，提高計畫獎勵費用及擴大獎勵範圍，並增加績優院所之三高病人收案名額，以提升院所參與率與病人照護率，另將持續精進家醫大平台功能，並規劃提供</w:t>
      </w:r>
      <w:r w:rsidR="00160C5E" w:rsidRPr="0085471A">
        <w:rPr>
          <w:rFonts w:ascii="標楷體" w:hAnsi="標楷體" w:hint="eastAsia"/>
          <w:b w:val="0"/>
          <w:sz w:val="24"/>
          <w:szCs w:val="24"/>
        </w:rPr>
        <w:t>介接</w:t>
      </w:r>
      <w:r w:rsidR="00F12886" w:rsidRPr="0085471A">
        <w:rPr>
          <w:rFonts w:ascii="標楷體" w:hAnsi="標楷體" w:hint="eastAsia"/>
          <w:b w:val="0"/>
          <w:sz w:val="24"/>
          <w:szCs w:val="24"/>
        </w:rPr>
        <w:t>醫療院所資訊系統</w:t>
      </w:r>
      <w:r w:rsidR="00160C5E">
        <w:rPr>
          <w:rFonts w:ascii="標楷體" w:hAnsi="標楷體" w:hint="eastAsia"/>
          <w:b w:val="0"/>
          <w:sz w:val="24"/>
          <w:szCs w:val="24"/>
        </w:rPr>
        <w:t>服務</w:t>
      </w:r>
      <w:r w:rsidR="00F12886" w:rsidRPr="0085471A">
        <w:rPr>
          <w:rFonts w:ascii="標楷體" w:hAnsi="標楷體" w:hint="eastAsia"/>
          <w:b w:val="0"/>
          <w:sz w:val="24"/>
          <w:szCs w:val="24"/>
        </w:rPr>
        <w:t>，以利院所進行個案管理，俾提高其使用意願</w:t>
      </w:r>
      <w:r w:rsidRPr="0085471A">
        <w:rPr>
          <w:rFonts w:ascii="標楷體" w:hAnsi="標楷體" w:hint="eastAsia"/>
          <w:b w:val="0"/>
          <w:sz w:val="24"/>
          <w:szCs w:val="24"/>
        </w:rPr>
        <w:t>。</w:t>
      </w:r>
    </w:p>
    <w:p w14:paraId="12BA862D" w14:textId="3B5BCC97" w:rsidR="005E6E9F" w:rsidRPr="006F51FE" w:rsidRDefault="004068F5" w:rsidP="006F51FE">
      <w:pPr>
        <w:pStyle w:val="af9"/>
        <w:overflowPunct w:val="0"/>
        <w:spacing w:beforeLines="0" w:before="0" w:afterLines="0" w:after="0" w:line="582" w:lineRule="exact"/>
        <w:ind w:firstLineChars="700" w:firstLine="1962"/>
        <w:rPr>
          <w:rFonts w:ascii="標楷體" w:hAnsi="標楷體"/>
          <w:b w:val="0"/>
          <w:bCs w:val="0"/>
          <w:sz w:val="24"/>
          <w:szCs w:val="24"/>
        </w:rPr>
      </w:pPr>
      <w:r w:rsidRPr="00043F00">
        <w:rPr>
          <w:rFonts w:ascii="標楷體" w:hAnsi="標楷體" w:cs="標楷體"/>
          <w:noProof/>
          <w:szCs w:val="32"/>
          <w:shd w:val="pct15" w:color="auto" w:fill="FFFFFF"/>
        </w:rPr>
        <w:lastRenderedPageBreak/>
        <mc:AlternateContent>
          <mc:Choice Requires="wps">
            <w:drawing>
              <wp:anchor distT="0" distB="0" distL="144145" distR="71755" simplePos="0" relativeHeight="251670528" behindDoc="1" locked="0" layoutInCell="1" allowOverlap="1" wp14:anchorId="2AAE5FEB" wp14:editId="5F614044">
                <wp:simplePos x="0" y="0"/>
                <wp:positionH relativeFrom="column">
                  <wp:posOffset>1066165</wp:posOffset>
                </wp:positionH>
                <wp:positionV relativeFrom="paragraph">
                  <wp:posOffset>4516351</wp:posOffset>
                </wp:positionV>
                <wp:extent cx="5488940" cy="2410460"/>
                <wp:effectExtent l="0" t="0" r="0" b="889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8940" cy="2410460"/>
                        </a:xfrm>
                        <a:prstGeom prst="rect">
                          <a:avLst/>
                        </a:prstGeom>
                        <a:noFill/>
                        <a:ln w="9525">
                          <a:noFill/>
                          <a:miter lim="800000"/>
                          <a:headEnd/>
                          <a:tailEnd/>
                        </a:ln>
                      </wps:spPr>
                      <wps:txbx>
                        <w:txbxContent>
                          <w:p w14:paraId="5FAFFDE0" w14:textId="77777777" w:rsidR="008921B7" w:rsidRPr="00E259F6" w:rsidRDefault="008921B7" w:rsidP="008921B7">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5</w:t>
                            </w:r>
                            <w:r w:rsidRPr="0083054F">
                              <w:rPr>
                                <w:rFonts w:ascii="標楷體" w:eastAsia="標楷體" w:hAnsi="標楷體"/>
                                <w:b/>
                                <w:szCs w:val="28"/>
                              </w:rPr>
                              <w:t xml:space="preserve">　</w:t>
                            </w:r>
                            <w:r w:rsidRPr="0074177F">
                              <w:rPr>
                                <w:rFonts w:ascii="標楷體" w:eastAsia="標楷體" w:hAnsi="標楷體" w:hint="eastAsia"/>
                                <w:b/>
                                <w:spacing w:val="-6"/>
                                <w:szCs w:val="28"/>
                              </w:rPr>
                              <w:t>三高防治888計畫執行情形</w:t>
                            </w:r>
                          </w:p>
                          <w:p w14:paraId="7DAB67FE" w14:textId="77777777" w:rsidR="008921B7" w:rsidRDefault="008921B7" w:rsidP="00483F57">
                            <w:pPr>
                              <w:spacing w:beforeLines="20" w:before="72" w:line="200" w:lineRule="exact"/>
                              <w:ind w:rightChars="42" w:right="101"/>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w:t>
                            </w:r>
                            <w:r w:rsidRPr="000D5819">
                              <w:rPr>
                                <w:rFonts w:ascii="標楷體" w:eastAsia="標楷體" w:hAnsi="標楷體" w:hint="eastAsia"/>
                                <w:sz w:val="20"/>
                                <w:szCs w:val="20"/>
                              </w:rPr>
                              <w:t>人、％</w:t>
                            </w:r>
                          </w:p>
                          <w:tbl>
                            <w:tblPr>
                              <w:tblW w:w="8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0"/>
                              <w:gridCol w:w="960"/>
                              <w:gridCol w:w="1080"/>
                              <w:gridCol w:w="960"/>
                              <w:gridCol w:w="960"/>
                              <w:gridCol w:w="960"/>
                              <w:gridCol w:w="1080"/>
                              <w:gridCol w:w="960"/>
                              <w:gridCol w:w="1080"/>
                            </w:tblGrid>
                            <w:tr w:rsidR="008921B7" w:rsidRPr="001504F6" w14:paraId="6B40EFA0" w14:textId="77777777" w:rsidTr="006F51FE">
                              <w:trPr>
                                <w:trHeight w:val="624"/>
                              </w:trPr>
                              <w:tc>
                                <w:tcPr>
                                  <w:tcW w:w="480" w:type="dxa"/>
                                  <w:vMerge w:val="restart"/>
                                  <w:tcBorders>
                                    <w:top w:val="single" w:sz="4" w:space="0" w:color="auto"/>
                                  </w:tcBorders>
                                  <w:shd w:val="clear" w:color="auto" w:fill="auto"/>
                                  <w:noWrap/>
                                  <w:vAlign w:val="center"/>
                                  <w:hideMark/>
                                </w:tcPr>
                                <w:p w14:paraId="33C17183"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年度</w:t>
                                  </w:r>
                                </w:p>
                              </w:tc>
                              <w:tc>
                                <w:tcPr>
                                  <w:tcW w:w="3000" w:type="dxa"/>
                                  <w:gridSpan w:val="3"/>
                                  <w:tcBorders>
                                    <w:top w:val="single" w:sz="4" w:space="0" w:color="auto"/>
                                  </w:tcBorders>
                                  <w:shd w:val="clear" w:color="auto" w:fill="auto"/>
                                  <w:noWrap/>
                                  <w:vAlign w:val="center"/>
                                  <w:hideMark/>
                                </w:tcPr>
                                <w:p w14:paraId="1F2C7A58"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三高病</w:t>
                                  </w:r>
                                  <w:r>
                                    <w:rPr>
                                      <w:rFonts w:ascii="標楷體" w:eastAsia="標楷體" w:hAnsi="標楷體" w:hint="eastAsia"/>
                                      <w:sz w:val="20"/>
                                      <w:szCs w:val="16"/>
                                    </w:rPr>
                                    <w:t>人</w:t>
                                  </w:r>
                                  <w:r w:rsidRPr="001504F6">
                                    <w:rPr>
                                      <w:rFonts w:ascii="標楷體" w:eastAsia="標楷體" w:hAnsi="標楷體" w:hint="eastAsia"/>
                                      <w:sz w:val="20"/>
                                      <w:szCs w:val="16"/>
                                    </w:rPr>
                                    <w:t>加入照護網</w:t>
                                  </w:r>
                                </w:p>
                              </w:tc>
                              <w:tc>
                                <w:tcPr>
                                  <w:tcW w:w="1920" w:type="dxa"/>
                                  <w:gridSpan w:val="2"/>
                                  <w:tcBorders>
                                    <w:top w:val="single" w:sz="4" w:space="0" w:color="auto"/>
                                  </w:tcBorders>
                                  <w:shd w:val="clear" w:color="auto" w:fill="auto"/>
                                  <w:noWrap/>
                                  <w:vAlign w:val="center"/>
                                  <w:hideMark/>
                                </w:tcPr>
                                <w:p w14:paraId="085E4DF3"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共照網病人接受生活習慣諮商</w:t>
                                  </w:r>
                                </w:p>
                              </w:tc>
                              <w:tc>
                                <w:tcPr>
                                  <w:tcW w:w="3120" w:type="dxa"/>
                                  <w:gridSpan w:val="3"/>
                                  <w:tcBorders>
                                    <w:top w:val="single" w:sz="4" w:space="0" w:color="auto"/>
                                  </w:tcBorders>
                                  <w:shd w:val="clear" w:color="auto" w:fill="auto"/>
                                  <w:noWrap/>
                                  <w:vAlign w:val="center"/>
                                  <w:hideMark/>
                                </w:tcPr>
                                <w:p w14:paraId="24E11DCC"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共照網病人達到三高控制</w:t>
                                  </w:r>
                                </w:p>
                              </w:tc>
                            </w:tr>
                            <w:tr w:rsidR="008921B7" w:rsidRPr="001504F6" w14:paraId="4722B037" w14:textId="77777777" w:rsidTr="006F51FE">
                              <w:trPr>
                                <w:trHeight w:val="907"/>
                              </w:trPr>
                              <w:tc>
                                <w:tcPr>
                                  <w:tcW w:w="480" w:type="dxa"/>
                                  <w:vMerge/>
                                  <w:shd w:val="clear" w:color="auto" w:fill="auto"/>
                                  <w:noWrap/>
                                  <w:vAlign w:val="center"/>
                                  <w:hideMark/>
                                </w:tcPr>
                                <w:p w14:paraId="3535C922" w14:textId="77777777" w:rsidR="008921B7" w:rsidRPr="001504F6" w:rsidRDefault="008921B7" w:rsidP="00643055">
                                  <w:pPr>
                                    <w:spacing w:line="280" w:lineRule="exact"/>
                                    <w:jc w:val="center"/>
                                    <w:rPr>
                                      <w:rFonts w:ascii="標楷體" w:eastAsia="標楷體" w:hAnsi="標楷體"/>
                                      <w:sz w:val="20"/>
                                      <w:szCs w:val="16"/>
                                    </w:rPr>
                                  </w:pPr>
                                </w:p>
                              </w:tc>
                              <w:tc>
                                <w:tcPr>
                                  <w:tcW w:w="960" w:type="dxa"/>
                                  <w:shd w:val="clear" w:color="auto" w:fill="auto"/>
                                  <w:noWrap/>
                                  <w:vAlign w:val="center"/>
                                  <w:hideMark/>
                                </w:tcPr>
                                <w:p w14:paraId="6B71E881"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三高病人人數</w:t>
                                  </w:r>
                                </w:p>
                                <w:p w14:paraId="0BF17DD3"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(A)</w:t>
                                  </w:r>
                                </w:p>
                              </w:tc>
                              <w:tc>
                                <w:tcPr>
                                  <w:tcW w:w="1080" w:type="dxa"/>
                                  <w:shd w:val="clear" w:color="auto" w:fill="auto"/>
                                  <w:noWrap/>
                                  <w:vAlign w:val="center"/>
                                  <w:hideMark/>
                                </w:tcPr>
                                <w:p w14:paraId="4A74BCED"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經任一計畫收案人數</w:t>
                                  </w:r>
                                </w:p>
                                <w:p w14:paraId="7B80AF8E"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(B)</w:t>
                                  </w:r>
                                </w:p>
                              </w:tc>
                              <w:tc>
                                <w:tcPr>
                                  <w:tcW w:w="960" w:type="dxa"/>
                                  <w:shd w:val="clear" w:color="auto" w:fill="auto"/>
                                  <w:noWrap/>
                                  <w:vAlign w:val="center"/>
                                  <w:hideMark/>
                                </w:tcPr>
                                <w:p w14:paraId="12DBC42A"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照護率</w:t>
                                  </w:r>
                                </w:p>
                                <w:p w14:paraId="14013030"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(B/A</w:t>
                                  </w:r>
                                  <w:r w:rsidRPr="006556BA">
                                    <w:rPr>
                                      <w:rFonts w:ascii="標楷體" w:eastAsia="標楷體" w:hAnsi="標楷體" w:hint="eastAsia"/>
                                      <w:sz w:val="20"/>
                                      <w:szCs w:val="16"/>
                                    </w:rPr>
                                    <w:t>×100</w:t>
                                  </w:r>
                                  <w:r w:rsidRPr="006556BA">
                                    <w:rPr>
                                      <w:rFonts w:ascii="標楷體" w:eastAsia="標楷體" w:hAnsi="標楷體"/>
                                      <w:sz w:val="20"/>
                                      <w:szCs w:val="16"/>
                                    </w:rPr>
                                    <w:t>)</w:t>
                                  </w:r>
                                </w:p>
                              </w:tc>
                              <w:tc>
                                <w:tcPr>
                                  <w:tcW w:w="960" w:type="dxa"/>
                                  <w:shd w:val="clear" w:color="auto" w:fill="auto"/>
                                  <w:noWrap/>
                                  <w:vAlign w:val="center"/>
                                  <w:hideMark/>
                                </w:tcPr>
                                <w:p w14:paraId="0CA26C5F"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接受生活</w:t>
                                  </w:r>
                                </w:p>
                                <w:p w14:paraId="4E241E33"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習慣諮商</w:t>
                                  </w:r>
                                </w:p>
                                <w:p w14:paraId="5AA77260"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人數</w:t>
                                  </w:r>
                                  <w:r w:rsidRPr="006556BA">
                                    <w:rPr>
                                      <w:rFonts w:ascii="標楷體" w:eastAsia="標楷體" w:hAnsi="標楷體"/>
                                      <w:sz w:val="20"/>
                                      <w:szCs w:val="16"/>
                                    </w:rPr>
                                    <w:t>(C)</w:t>
                                  </w:r>
                                </w:p>
                              </w:tc>
                              <w:tc>
                                <w:tcPr>
                                  <w:tcW w:w="960" w:type="dxa"/>
                                  <w:shd w:val="clear" w:color="auto" w:fill="auto"/>
                                  <w:noWrap/>
                                  <w:vAlign w:val="center"/>
                                  <w:hideMark/>
                                </w:tcPr>
                                <w:p w14:paraId="64DBC3A2"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生活習慣諮商率</w:t>
                                  </w:r>
                                </w:p>
                                <w:p w14:paraId="5DED1A3B"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(C/B</w:t>
                                  </w:r>
                                  <w:r w:rsidRPr="006556BA">
                                    <w:rPr>
                                      <w:rFonts w:ascii="標楷體" w:eastAsia="標楷體" w:hAnsi="標楷體" w:hint="eastAsia"/>
                                      <w:sz w:val="20"/>
                                      <w:szCs w:val="16"/>
                                    </w:rPr>
                                    <w:t>×100</w:t>
                                  </w:r>
                                  <w:r w:rsidRPr="006556BA">
                                    <w:rPr>
                                      <w:rFonts w:ascii="標楷體" w:eastAsia="標楷體" w:hAnsi="標楷體"/>
                                      <w:sz w:val="20"/>
                                      <w:szCs w:val="16"/>
                                    </w:rPr>
                                    <w:t>)</w:t>
                                  </w:r>
                                </w:p>
                              </w:tc>
                              <w:tc>
                                <w:tcPr>
                                  <w:tcW w:w="1080" w:type="dxa"/>
                                  <w:shd w:val="clear" w:color="auto" w:fill="auto"/>
                                  <w:vAlign w:val="center"/>
                                  <w:hideMark/>
                                </w:tcPr>
                                <w:p w14:paraId="6C14375A"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有檢驗(查)</w:t>
                                  </w:r>
                                </w:p>
                                <w:p w14:paraId="5E9C6371"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紀錄人數</w:t>
                                  </w:r>
                                </w:p>
                              </w:tc>
                              <w:tc>
                                <w:tcPr>
                                  <w:tcW w:w="960" w:type="dxa"/>
                                  <w:shd w:val="clear" w:color="auto" w:fill="auto"/>
                                  <w:vAlign w:val="center"/>
                                  <w:hideMark/>
                                </w:tcPr>
                                <w:p w14:paraId="309FC7AF"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控制良好</w:t>
                                  </w:r>
                                </w:p>
                                <w:p w14:paraId="7CBC520C"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人數(D)</w:t>
                                  </w:r>
                                </w:p>
                              </w:tc>
                              <w:tc>
                                <w:tcPr>
                                  <w:tcW w:w="1080" w:type="dxa"/>
                                  <w:shd w:val="clear" w:color="auto" w:fill="auto"/>
                                  <w:vAlign w:val="center"/>
                                  <w:hideMark/>
                                </w:tcPr>
                                <w:p w14:paraId="5FA48F84"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控制良好率</w:t>
                                  </w:r>
                                  <w:r w:rsidRPr="006556BA">
                                    <w:rPr>
                                      <w:rFonts w:ascii="標楷體" w:eastAsia="標楷體" w:hAnsi="標楷體"/>
                                      <w:sz w:val="20"/>
                                      <w:szCs w:val="16"/>
                                    </w:rPr>
                                    <w:br/>
                                  </w:r>
                                  <w:r w:rsidRPr="006556BA">
                                    <w:rPr>
                                      <w:rFonts w:ascii="標楷體" w:eastAsia="標楷體" w:hAnsi="標楷體" w:hint="eastAsia"/>
                                      <w:sz w:val="20"/>
                                      <w:szCs w:val="16"/>
                                    </w:rPr>
                                    <w:t>(D/B×100)</w:t>
                                  </w:r>
                                </w:p>
                              </w:tc>
                            </w:tr>
                            <w:tr w:rsidR="008921B7" w:rsidRPr="001504F6" w14:paraId="5E004358" w14:textId="77777777" w:rsidTr="00692EC7">
                              <w:trPr>
                                <w:trHeight w:val="454"/>
                              </w:trPr>
                              <w:tc>
                                <w:tcPr>
                                  <w:tcW w:w="480" w:type="dxa"/>
                                  <w:shd w:val="clear" w:color="auto" w:fill="auto"/>
                                  <w:noWrap/>
                                  <w:vAlign w:val="center"/>
                                  <w:hideMark/>
                                </w:tcPr>
                                <w:p w14:paraId="18CF1216" w14:textId="77777777" w:rsidR="008921B7" w:rsidRPr="001504F6" w:rsidRDefault="008921B7" w:rsidP="006556BA">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113</w:t>
                                  </w:r>
                                </w:p>
                              </w:tc>
                              <w:tc>
                                <w:tcPr>
                                  <w:tcW w:w="960" w:type="dxa"/>
                                  <w:shd w:val="clear" w:color="auto" w:fill="auto"/>
                                  <w:noWrap/>
                                  <w:vAlign w:val="center"/>
                                  <w:hideMark/>
                                </w:tcPr>
                                <w:p w14:paraId="5AF5A33E"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5,417</w:t>
                                  </w:r>
                                </w:p>
                              </w:tc>
                              <w:tc>
                                <w:tcPr>
                                  <w:tcW w:w="1080" w:type="dxa"/>
                                  <w:shd w:val="clear" w:color="auto" w:fill="auto"/>
                                  <w:noWrap/>
                                  <w:vAlign w:val="center"/>
                                  <w:hideMark/>
                                </w:tcPr>
                                <w:p w14:paraId="1C8465C8"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3,161</w:t>
                                  </w:r>
                                </w:p>
                              </w:tc>
                              <w:tc>
                                <w:tcPr>
                                  <w:tcW w:w="960" w:type="dxa"/>
                                  <w:shd w:val="clear" w:color="auto" w:fill="auto"/>
                                  <w:noWrap/>
                                  <w:vAlign w:val="center"/>
                                  <w:hideMark/>
                                </w:tcPr>
                                <w:p w14:paraId="1E415E7C"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58.36</w:t>
                                  </w:r>
                                </w:p>
                              </w:tc>
                              <w:tc>
                                <w:tcPr>
                                  <w:tcW w:w="960" w:type="dxa"/>
                                  <w:shd w:val="clear" w:color="auto" w:fill="auto"/>
                                  <w:noWrap/>
                                  <w:vAlign w:val="center"/>
                                  <w:hideMark/>
                                </w:tcPr>
                                <w:p w14:paraId="4CD270B2"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1,500</w:t>
                                  </w:r>
                                </w:p>
                              </w:tc>
                              <w:tc>
                                <w:tcPr>
                                  <w:tcW w:w="960" w:type="dxa"/>
                                  <w:shd w:val="clear" w:color="auto" w:fill="auto"/>
                                  <w:noWrap/>
                                  <w:vAlign w:val="center"/>
                                  <w:hideMark/>
                                </w:tcPr>
                                <w:p w14:paraId="403A389A"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47.47</w:t>
                                  </w:r>
                                </w:p>
                              </w:tc>
                              <w:tc>
                                <w:tcPr>
                                  <w:tcW w:w="1080" w:type="dxa"/>
                                  <w:shd w:val="clear" w:color="auto" w:fill="auto"/>
                                  <w:vAlign w:val="center"/>
                                  <w:hideMark/>
                                </w:tcPr>
                                <w:p w14:paraId="149A40EB"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2,569</w:t>
                                  </w:r>
                                </w:p>
                              </w:tc>
                              <w:tc>
                                <w:tcPr>
                                  <w:tcW w:w="960" w:type="dxa"/>
                                  <w:shd w:val="clear" w:color="auto" w:fill="auto"/>
                                  <w:vAlign w:val="center"/>
                                  <w:hideMark/>
                                </w:tcPr>
                                <w:p w14:paraId="7CB92A18"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1,698</w:t>
                                  </w:r>
                                </w:p>
                              </w:tc>
                              <w:tc>
                                <w:tcPr>
                                  <w:tcW w:w="1080" w:type="dxa"/>
                                  <w:shd w:val="clear" w:color="auto" w:fill="auto"/>
                                  <w:vAlign w:val="center"/>
                                  <w:hideMark/>
                                </w:tcPr>
                                <w:p w14:paraId="6690D9CC"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53.72</w:t>
                                  </w:r>
                                </w:p>
                              </w:tc>
                            </w:tr>
                            <w:tr w:rsidR="008921B7" w:rsidRPr="001504F6" w14:paraId="576407E7" w14:textId="77777777" w:rsidTr="00692EC7">
                              <w:trPr>
                                <w:trHeight w:val="454"/>
                              </w:trPr>
                              <w:tc>
                                <w:tcPr>
                                  <w:tcW w:w="480" w:type="dxa"/>
                                  <w:shd w:val="clear" w:color="auto" w:fill="auto"/>
                                  <w:noWrap/>
                                  <w:vAlign w:val="center"/>
                                  <w:hideMark/>
                                </w:tcPr>
                                <w:p w14:paraId="4B2477CF" w14:textId="77777777" w:rsidR="008921B7" w:rsidRPr="001504F6" w:rsidRDefault="008921B7" w:rsidP="006556BA">
                                  <w:pPr>
                                    <w:spacing w:line="280" w:lineRule="exact"/>
                                    <w:jc w:val="center"/>
                                    <w:rPr>
                                      <w:rFonts w:ascii="標楷體" w:eastAsia="標楷體" w:hAnsi="標楷體"/>
                                      <w:sz w:val="20"/>
                                      <w:szCs w:val="16"/>
                                    </w:rPr>
                                  </w:pPr>
                                  <w:r w:rsidRPr="001504F6">
                                    <w:rPr>
                                      <w:rFonts w:ascii="標楷體" w:eastAsia="標楷體" w:hAnsi="標楷體"/>
                                      <w:sz w:val="20"/>
                                      <w:szCs w:val="16"/>
                                    </w:rPr>
                                    <w:t>114</w:t>
                                  </w:r>
                                </w:p>
                              </w:tc>
                              <w:tc>
                                <w:tcPr>
                                  <w:tcW w:w="960" w:type="dxa"/>
                                  <w:shd w:val="clear" w:color="auto" w:fill="auto"/>
                                  <w:vAlign w:val="center"/>
                                  <w:hideMark/>
                                </w:tcPr>
                                <w:p w14:paraId="51152F2B"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5,300</w:t>
                                  </w:r>
                                </w:p>
                              </w:tc>
                              <w:tc>
                                <w:tcPr>
                                  <w:tcW w:w="1080" w:type="dxa"/>
                                  <w:shd w:val="clear" w:color="auto" w:fill="auto"/>
                                  <w:vAlign w:val="center"/>
                                  <w:hideMark/>
                                </w:tcPr>
                                <w:p w14:paraId="34BF5ED6"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3,217</w:t>
                                  </w:r>
                                </w:p>
                              </w:tc>
                              <w:tc>
                                <w:tcPr>
                                  <w:tcW w:w="960" w:type="dxa"/>
                                  <w:shd w:val="clear" w:color="auto" w:fill="auto"/>
                                  <w:vAlign w:val="center"/>
                                  <w:hideMark/>
                                </w:tcPr>
                                <w:p w14:paraId="2CA605E5"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shd w:val="pct15" w:color="auto" w:fill="FFFFFF"/>
                                    </w:rPr>
                                    <w:t>60.70</w:t>
                                  </w:r>
                                </w:p>
                              </w:tc>
                              <w:tc>
                                <w:tcPr>
                                  <w:tcW w:w="960" w:type="dxa"/>
                                  <w:shd w:val="clear" w:color="auto" w:fill="auto"/>
                                  <w:vAlign w:val="center"/>
                                  <w:hideMark/>
                                </w:tcPr>
                                <w:p w14:paraId="783CE6F9"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1,607</w:t>
                                  </w:r>
                                </w:p>
                              </w:tc>
                              <w:tc>
                                <w:tcPr>
                                  <w:tcW w:w="960" w:type="dxa"/>
                                  <w:shd w:val="clear" w:color="auto" w:fill="auto"/>
                                  <w:vAlign w:val="center"/>
                                  <w:hideMark/>
                                </w:tcPr>
                                <w:p w14:paraId="5375D4EB"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49.97</w:t>
                                  </w:r>
                                </w:p>
                              </w:tc>
                              <w:tc>
                                <w:tcPr>
                                  <w:tcW w:w="1080" w:type="dxa"/>
                                  <w:shd w:val="clear" w:color="auto" w:fill="auto"/>
                                  <w:noWrap/>
                                  <w:vAlign w:val="center"/>
                                  <w:hideMark/>
                                </w:tcPr>
                                <w:p w14:paraId="6A761BF4"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2,639</w:t>
                                  </w:r>
                                </w:p>
                              </w:tc>
                              <w:tc>
                                <w:tcPr>
                                  <w:tcW w:w="960" w:type="dxa"/>
                                  <w:shd w:val="clear" w:color="auto" w:fill="auto"/>
                                  <w:noWrap/>
                                  <w:vAlign w:val="center"/>
                                  <w:hideMark/>
                                </w:tcPr>
                                <w:p w14:paraId="501B3EA6"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1,737</w:t>
                                  </w:r>
                                </w:p>
                              </w:tc>
                              <w:tc>
                                <w:tcPr>
                                  <w:tcW w:w="1080" w:type="dxa"/>
                                  <w:shd w:val="clear" w:color="auto" w:fill="auto"/>
                                  <w:noWrap/>
                                  <w:vAlign w:val="center"/>
                                  <w:hideMark/>
                                </w:tcPr>
                                <w:p w14:paraId="403F4C6F"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shd w:val="pct15" w:color="auto" w:fill="FFFFFF"/>
                                    </w:rPr>
                                    <w:t>53.99</w:t>
                                  </w:r>
                                </w:p>
                              </w:tc>
                            </w:tr>
                          </w:tbl>
                          <w:p w14:paraId="339010FF" w14:textId="77777777" w:rsidR="008921B7" w:rsidRDefault="008921B7" w:rsidP="00760E8B">
                            <w:pPr>
                              <w:spacing w:line="240" w:lineRule="exact"/>
                              <w:ind w:left="490" w:rightChars="34" w:right="82" w:hangingChars="272" w:hanging="490"/>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以灰底標註未達114年度目標值者。</w:t>
                            </w:r>
                          </w:p>
                          <w:p w14:paraId="38E8C594" w14:textId="75E08C4B" w:rsidR="008921B7" w:rsidRDefault="008921B7" w:rsidP="00760E8B">
                            <w:pPr>
                              <w:spacing w:line="240" w:lineRule="exact"/>
                              <w:ind w:rightChars="34" w:right="82" w:firstLineChars="200" w:firstLine="360"/>
                              <w:jc w:val="both"/>
                            </w:pPr>
                            <w:r>
                              <w:rPr>
                                <w:rFonts w:ascii="標楷體" w:eastAsia="標楷體" w:hAnsi="標楷體" w:hint="eastAsia"/>
                                <w:sz w:val="18"/>
                                <w:szCs w:val="18"/>
                              </w:rPr>
                              <w:t>2</w:t>
                            </w:r>
                            <w:r>
                              <w:rPr>
                                <w:rFonts w:ascii="標楷體" w:eastAsia="標楷體" w:hAnsi="標楷體"/>
                                <w:sz w:val="18"/>
                                <w:szCs w:val="18"/>
                              </w:rPr>
                              <w:t>.</w:t>
                            </w:r>
                            <w:r w:rsidRPr="00A633D0">
                              <w:rPr>
                                <w:rFonts w:ascii="標楷體" w:eastAsia="標楷體" w:hAnsi="標楷體" w:hint="eastAsia"/>
                                <w:sz w:val="18"/>
                                <w:szCs w:val="18"/>
                              </w:rPr>
                              <w:t>資料來源：整理自健保署提供資料</w:t>
                            </w:r>
                            <w:r w:rsidR="000437BC">
                              <w:rPr>
                                <w:rFonts w:ascii="標楷體" w:eastAsia="標楷體" w:hAnsi="標楷體" w:hint="eastAsia"/>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AAE5FEB" id="文字方塊 4" o:spid="_x0000_s1030" type="#_x0000_t202" style="position:absolute;left:0;text-align:left;margin-left:83.95pt;margin-top:355.6pt;width:432.2pt;height:189.8pt;z-index:-251645952;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" filled="f" stroked="f">
                <v:textbox inset="0,0,0,0">
                  <w:txbxContent>
                    <w:p w14:paraId="5FAFFDE0" w14:textId="77777777" w:rsidR="008921B7" w:rsidRPr="00E259F6" w:rsidRDefault="008921B7" w:rsidP="008921B7">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5</w:t>
                      </w:r>
                      <w:r w:rsidRPr="0083054F">
                        <w:rPr>
                          <w:rFonts w:ascii="標楷體" w:eastAsia="標楷體" w:hAnsi="標楷體"/>
                          <w:b/>
                          <w:szCs w:val="28"/>
                        </w:rPr>
                        <w:t xml:space="preserve">　</w:t>
                      </w:r>
                      <w:r w:rsidRPr="0074177F">
                        <w:rPr>
                          <w:rFonts w:ascii="標楷體" w:eastAsia="標楷體" w:hAnsi="標楷體" w:hint="eastAsia"/>
                          <w:b/>
                          <w:spacing w:val="-6"/>
                          <w:szCs w:val="28"/>
                        </w:rPr>
                        <w:t>三高防治888計畫執行情形</w:t>
                      </w:r>
                    </w:p>
                    <w:p w14:paraId="7DAB67FE" w14:textId="77777777" w:rsidR="008921B7" w:rsidRDefault="008921B7" w:rsidP="00483F57">
                      <w:pPr>
                        <w:spacing w:beforeLines="20" w:before="72" w:line="200" w:lineRule="exact"/>
                        <w:ind w:rightChars="42" w:right="101"/>
                        <w:jc w:val="right"/>
                        <w:rPr>
                          <w:rFonts w:ascii="標楷體" w:eastAsia="標楷體" w:hAnsi="標楷體"/>
                          <w:sz w:val="20"/>
                          <w:szCs w:val="20"/>
                        </w:rPr>
                      </w:pPr>
                      <w:r w:rsidRPr="0034726D">
                        <w:rPr>
                          <w:rFonts w:ascii="標楷體" w:eastAsia="標楷體" w:hAnsi="標楷體" w:hint="eastAsia"/>
                          <w:sz w:val="20"/>
                          <w:szCs w:val="20"/>
                        </w:rPr>
                        <w:t>單位：</w:t>
                      </w:r>
                      <w:r>
                        <w:rPr>
                          <w:rFonts w:ascii="標楷體" w:eastAsia="標楷體" w:hAnsi="標楷體" w:hint="eastAsia"/>
                          <w:sz w:val="20"/>
                          <w:szCs w:val="20"/>
                        </w:rPr>
                        <w:t>千</w:t>
                      </w:r>
                      <w:r w:rsidRPr="000D5819">
                        <w:rPr>
                          <w:rFonts w:ascii="標楷體" w:eastAsia="標楷體" w:hAnsi="標楷體" w:hint="eastAsia"/>
                          <w:sz w:val="20"/>
                          <w:szCs w:val="20"/>
                        </w:rPr>
                        <w:t>人、％</w:t>
                      </w:r>
                    </w:p>
                    <w:tbl>
                      <w:tblPr>
                        <w:tblW w:w="8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0"/>
                        <w:gridCol w:w="960"/>
                        <w:gridCol w:w="1080"/>
                        <w:gridCol w:w="960"/>
                        <w:gridCol w:w="960"/>
                        <w:gridCol w:w="960"/>
                        <w:gridCol w:w="1080"/>
                        <w:gridCol w:w="960"/>
                        <w:gridCol w:w="1080"/>
                      </w:tblGrid>
                      <w:tr w:rsidR="008921B7" w:rsidRPr="001504F6" w14:paraId="6B40EFA0" w14:textId="77777777" w:rsidTr="006F51FE">
                        <w:trPr>
                          <w:trHeight w:val="624"/>
                        </w:trPr>
                        <w:tc>
                          <w:tcPr>
                            <w:tcW w:w="480" w:type="dxa"/>
                            <w:vMerge w:val="restart"/>
                            <w:tcBorders>
                              <w:top w:val="single" w:sz="4" w:space="0" w:color="auto"/>
                            </w:tcBorders>
                            <w:shd w:val="clear" w:color="auto" w:fill="auto"/>
                            <w:noWrap/>
                            <w:vAlign w:val="center"/>
                            <w:hideMark/>
                          </w:tcPr>
                          <w:p w14:paraId="33C17183"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年度</w:t>
                            </w:r>
                          </w:p>
                        </w:tc>
                        <w:tc>
                          <w:tcPr>
                            <w:tcW w:w="3000" w:type="dxa"/>
                            <w:gridSpan w:val="3"/>
                            <w:tcBorders>
                              <w:top w:val="single" w:sz="4" w:space="0" w:color="auto"/>
                            </w:tcBorders>
                            <w:shd w:val="clear" w:color="auto" w:fill="auto"/>
                            <w:noWrap/>
                            <w:vAlign w:val="center"/>
                            <w:hideMark/>
                          </w:tcPr>
                          <w:p w14:paraId="1F2C7A58"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三高病</w:t>
                            </w:r>
                            <w:r>
                              <w:rPr>
                                <w:rFonts w:ascii="標楷體" w:eastAsia="標楷體" w:hAnsi="標楷體" w:hint="eastAsia"/>
                                <w:sz w:val="20"/>
                                <w:szCs w:val="16"/>
                              </w:rPr>
                              <w:t>人</w:t>
                            </w:r>
                            <w:r w:rsidRPr="001504F6">
                              <w:rPr>
                                <w:rFonts w:ascii="標楷體" w:eastAsia="標楷體" w:hAnsi="標楷體" w:hint="eastAsia"/>
                                <w:sz w:val="20"/>
                                <w:szCs w:val="16"/>
                              </w:rPr>
                              <w:t>加入照護網</w:t>
                            </w:r>
                          </w:p>
                        </w:tc>
                        <w:tc>
                          <w:tcPr>
                            <w:tcW w:w="1920" w:type="dxa"/>
                            <w:gridSpan w:val="2"/>
                            <w:tcBorders>
                              <w:top w:val="single" w:sz="4" w:space="0" w:color="auto"/>
                            </w:tcBorders>
                            <w:shd w:val="clear" w:color="auto" w:fill="auto"/>
                            <w:noWrap/>
                            <w:vAlign w:val="center"/>
                            <w:hideMark/>
                          </w:tcPr>
                          <w:p w14:paraId="085E4DF3"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共照網病人接受生活習慣諮商</w:t>
                            </w:r>
                          </w:p>
                        </w:tc>
                        <w:tc>
                          <w:tcPr>
                            <w:tcW w:w="3120" w:type="dxa"/>
                            <w:gridSpan w:val="3"/>
                            <w:tcBorders>
                              <w:top w:val="single" w:sz="4" w:space="0" w:color="auto"/>
                            </w:tcBorders>
                            <w:shd w:val="clear" w:color="auto" w:fill="auto"/>
                            <w:noWrap/>
                            <w:vAlign w:val="center"/>
                            <w:hideMark/>
                          </w:tcPr>
                          <w:p w14:paraId="24E11DCC" w14:textId="77777777" w:rsidR="008921B7" w:rsidRPr="001504F6" w:rsidRDefault="008921B7" w:rsidP="00643055">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共照網病人達到三高控制</w:t>
                            </w:r>
                          </w:p>
                        </w:tc>
                      </w:tr>
                      <w:tr w:rsidR="008921B7" w:rsidRPr="001504F6" w14:paraId="4722B037" w14:textId="77777777" w:rsidTr="006F51FE">
                        <w:trPr>
                          <w:trHeight w:val="907"/>
                        </w:trPr>
                        <w:tc>
                          <w:tcPr>
                            <w:tcW w:w="480" w:type="dxa"/>
                            <w:vMerge/>
                            <w:shd w:val="clear" w:color="auto" w:fill="auto"/>
                            <w:noWrap/>
                            <w:vAlign w:val="center"/>
                            <w:hideMark/>
                          </w:tcPr>
                          <w:p w14:paraId="3535C922" w14:textId="77777777" w:rsidR="008921B7" w:rsidRPr="001504F6" w:rsidRDefault="008921B7" w:rsidP="00643055">
                            <w:pPr>
                              <w:spacing w:line="280" w:lineRule="exact"/>
                              <w:jc w:val="center"/>
                              <w:rPr>
                                <w:rFonts w:ascii="標楷體" w:eastAsia="標楷體" w:hAnsi="標楷體"/>
                                <w:sz w:val="20"/>
                                <w:szCs w:val="16"/>
                              </w:rPr>
                            </w:pPr>
                          </w:p>
                        </w:tc>
                        <w:tc>
                          <w:tcPr>
                            <w:tcW w:w="960" w:type="dxa"/>
                            <w:shd w:val="clear" w:color="auto" w:fill="auto"/>
                            <w:noWrap/>
                            <w:vAlign w:val="center"/>
                            <w:hideMark/>
                          </w:tcPr>
                          <w:p w14:paraId="6B71E881"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三高病人人數</w:t>
                            </w:r>
                          </w:p>
                          <w:p w14:paraId="0BF17DD3"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(A)</w:t>
                            </w:r>
                          </w:p>
                        </w:tc>
                        <w:tc>
                          <w:tcPr>
                            <w:tcW w:w="1080" w:type="dxa"/>
                            <w:shd w:val="clear" w:color="auto" w:fill="auto"/>
                            <w:noWrap/>
                            <w:vAlign w:val="center"/>
                            <w:hideMark/>
                          </w:tcPr>
                          <w:p w14:paraId="4A74BCED"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經任一計畫收案人數</w:t>
                            </w:r>
                          </w:p>
                          <w:p w14:paraId="7B80AF8E"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(B)</w:t>
                            </w:r>
                          </w:p>
                        </w:tc>
                        <w:tc>
                          <w:tcPr>
                            <w:tcW w:w="960" w:type="dxa"/>
                            <w:shd w:val="clear" w:color="auto" w:fill="auto"/>
                            <w:noWrap/>
                            <w:vAlign w:val="center"/>
                            <w:hideMark/>
                          </w:tcPr>
                          <w:p w14:paraId="12DBC42A"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照護率</w:t>
                            </w:r>
                          </w:p>
                          <w:p w14:paraId="14013030"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(B/A</w:t>
                            </w:r>
                            <w:r w:rsidRPr="006556BA">
                              <w:rPr>
                                <w:rFonts w:ascii="標楷體" w:eastAsia="標楷體" w:hAnsi="標楷體" w:hint="eastAsia"/>
                                <w:sz w:val="20"/>
                                <w:szCs w:val="16"/>
                              </w:rPr>
                              <w:t>×100</w:t>
                            </w:r>
                            <w:r w:rsidRPr="006556BA">
                              <w:rPr>
                                <w:rFonts w:ascii="標楷體" w:eastAsia="標楷體" w:hAnsi="標楷體"/>
                                <w:sz w:val="20"/>
                                <w:szCs w:val="16"/>
                              </w:rPr>
                              <w:t>)</w:t>
                            </w:r>
                          </w:p>
                        </w:tc>
                        <w:tc>
                          <w:tcPr>
                            <w:tcW w:w="960" w:type="dxa"/>
                            <w:shd w:val="clear" w:color="auto" w:fill="auto"/>
                            <w:noWrap/>
                            <w:vAlign w:val="center"/>
                            <w:hideMark/>
                          </w:tcPr>
                          <w:p w14:paraId="0CA26C5F"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接受生活</w:t>
                            </w:r>
                          </w:p>
                          <w:p w14:paraId="4E241E33"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習慣諮商</w:t>
                            </w:r>
                          </w:p>
                          <w:p w14:paraId="5AA77260"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人數</w:t>
                            </w:r>
                            <w:r w:rsidRPr="006556BA">
                              <w:rPr>
                                <w:rFonts w:ascii="標楷體" w:eastAsia="標楷體" w:hAnsi="標楷體"/>
                                <w:sz w:val="20"/>
                                <w:szCs w:val="16"/>
                              </w:rPr>
                              <w:t>(C)</w:t>
                            </w:r>
                          </w:p>
                        </w:tc>
                        <w:tc>
                          <w:tcPr>
                            <w:tcW w:w="960" w:type="dxa"/>
                            <w:shd w:val="clear" w:color="auto" w:fill="auto"/>
                            <w:noWrap/>
                            <w:vAlign w:val="center"/>
                            <w:hideMark/>
                          </w:tcPr>
                          <w:p w14:paraId="64DBC3A2"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生活習慣諮商率</w:t>
                            </w:r>
                          </w:p>
                          <w:p w14:paraId="5DED1A3B"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sz w:val="20"/>
                                <w:szCs w:val="16"/>
                              </w:rPr>
                              <w:t>(C/B</w:t>
                            </w:r>
                            <w:r w:rsidRPr="006556BA">
                              <w:rPr>
                                <w:rFonts w:ascii="標楷體" w:eastAsia="標楷體" w:hAnsi="標楷體" w:hint="eastAsia"/>
                                <w:sz w:val="20"/>
                                <w:szCs w:val="16"/>
                              </w:rPr>
                              <w:t>×100</w:t>
                            </w:r>
                            <w:r w:rsidRPr="006556BA">
                              <w:rPr>
                                <w:rFonts w:ascii="標楷體" w:eastAsia="標楷體" w:hAnsi="標楷體"/>
                                <w:sz w:val="20"/>
                                <w:szCs w:val="16"/>
                              </w:rPr>
                              <w:t>)</w:t>
                            </w:r>
                          </w:p>
                        </w:tc>
                        <w:tc>
                          <w:tcPr>
                            <w:tcW w:w="1080" w:type="dxa"/>
                            <w:shd w:val="clear" w:color="auto" w:fill="auto"/>
                            <w:vAlign w:val="center"/>
                            <w:hideMark/>
                          </w:tcPr>
                          <w:p w14:paraId="6C14375A"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有檢驗(查)</w:t>
                            </w:r>
                          </w:p>
                          <w:p w14:paraId="5E9C6371"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紀錄人數</w:t>
                            </w:r>
                          </w:p>
                        </w:tc>
                        <w:tc>
                          <w:tcPr>
                            <w:tcW w:w="960" w:type="dxa"/>
                            <w:shd w:val="clear" w:color="auto" w:fill="auto"/>
                            <w:vAlign w:val="center"/>
                            <w:hideMark/>
                          </w:tcPr>
                          <w:p w14:paraId="309FC7AF"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控制良好</w:t>
                            </w:r>
                          </w:p>
                          <w:p w14:paraId="7CBC520C"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人數(D)</w:t>
                            </w:r>
                          </w:p>
                        </w:tc>
                        <w:tc>
                          <w:tcPr>
                            <w:tcW w:w="1080" w:type="dxa"/>
                            <w:shd w:val="clear" w:color="auto" w:fill="auto"/>
                            <w:vAlign w:val="center"/>
                            <w:hideMark/>
                          </w:tcPr>
                          <w:p w14:paraId="5FA48F84" w14:textId="77777777" w:rsidR="008921B7" w:rsidRPr="006556BA" w:rsidRDefault="008921B7" w:rsidP="00643055">
                            <w:pPr>
                              <w:spacing w:line="280" w:lineRule="exact"/>
                              <w:jc w:val="center"/>
                              <w:rPr>
                                <w:rFonts w:ascii="標楷體" w:eastAsia="標楷體" w:hAnsi="標楷體"/>
                                <w:sz w:val="20"/>
                                <w:szCs w:val="16"/>
                              </w:rPr>
                            </w:pPr>
                            <w:r w:rsidRPr="006556BA">
                              <w:rPr>
                                <w:rFonts w:ascii="標楷體" w:eastAsia="標楷體" w:hAnsi="標楷體" w:hint="eastAsia"/>
                                <w:sz w:val="20"/>
                                <w:szCs w:val="16"/>
                              </w:rPr>
                              <w:t>控制良好率</w:t>
                            </w:r>
                            <w:r w:rsidRPr="006556BA">
                              <w:rPr>
                                <w:rFonts w:ascii="標楷體" w:eastAsia="標楷體" w:hAnsi="標楷體"/>
                                <w:sz w:val="20"/>
                                <w:szCs w:val="16"/>
                              </w:rPr>
                              <w:br/>
                            </w:r>
                            <w:r w:rsidRPr="006556BA">
                              <w:rPr>
                                <w:rFonts w:ascii="標楷體" w:eastAsia="標楷體" w:hAnsi="標楷體" w:hint="eastAsia"/>
                                <w:sz w:val="20"/>
                                <w:szCs w:val="16"/>
                              </w:rPr>
                              <w:t>(D/B×100)</w:t>
                            </w:r>
                          </w:p>
                        </w:tc>
                      </w:tr>
                      <w:tr w:rsidR="008921B7" w:rsidRPr="001504F6" w14:paraId="5E004358" w14:textId="77777777" w:rsidTr="00692EC7">
                        <w:trPr>
                          <w:trHeight w:val="454"/>
                        </w:trPr>
                        <w:tc>
                          <w:tcPr>
                            <w:tcW w:w="480" w:type="dxa"/>
                            <w:shd w:val="clear" w:color="auto" w:fill="auto"/>
                            <w:noWrap/>
                            <w:vAlign w:val="center"/>
                            <w:hideMark/>
                          </w:tcPr>
                          <w:p w14:paraId="18CF1216" w14:textId="77777777" w:rsidR="008921B7" w:rsidRPr="001504F6" w:rsidRDefault="008921B7" w:rsidP="006556BA">
                            <w:pPr>
                              <w:spacing w:line="280" w:lineRule="exact"/>
                              <w:jc w:val="center"/>
                              <w:rPr>
                                <w:rFonts w:ascii="標楷體" w:eastAsia="標楷體" w:hAnsi="標楷體"/>
                                <w:sz w:val="20"/>
                                <w:szCs w:val="16"/>
                              </w:rPr>
                            </w:pPr>
                            <w:r w:rsidRPr="001504F6">
                              <w:rPr>
                                <w:rFonts w:ascii="標楷體" w:eastAsia="標楷體" w:hAnsi="標楷體" w:hint="eastAsia"/>
                                <w:sz w:val="20"/>
                                <w:szCs w:val="16"/>
                              </w:rPr>
                              <w:t>113</w:t>
                            </w:r>
                          </w:p>
                        </w:tc>
                        <w:tc>
                          <w:tcPr>
                            <w:tcW w:w="960" w:type="dxa"/>
                            <w:shd w:val="clear" w:color="auto" w:fill="auto"/>
                            <w:noWrap/>
                            <w:vAlign w:val="center"/>
                            <w:hideMark/>
                          </w:tcPr>
                          <w:p w14:paraId="5AF5A33E"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5,417</w:t>
                            </w:r>
                          </w:p>
                        </w:tc>
                        <w:tc>
                          <w:tcPr>
                            <w:tcW w:w="1080" w:type="dxa"/>
                            <w:shd w:val="clear" w:color="auto" w:fill="auto"/>
                            <w:noWrap/>
                            <w:vAlign w:val="center"/>
                            <w:hideMark/>
                          </w:tcPr>
                          <w:p w14:paraId="1C8465C8"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3,161</w:t>
                            </w:r>
                          </w:p>
                        </w:tc>
                        <w:tc>
                          <w:tcPr>
                            <w:tcW w:w="960" w:type="dxa"/>
                            <w:shd w:val="clear" w:color="auto" w:fill="auto"/>
                            <w:noWrap/>
                            <w:vAlign w:val="center"/>
                            <w:hideMark/>
                          </w:tcPr>
                          <w:p w14:paraId="1E415E7C"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58.36</w:t>
                            </w:r>
                          </w:p>
                        </w:tc>
                        <w:tc>
                          <w:tcPr>
                            <w:tcW w:w="960" w:type="dxa"/>
                            <w:shd w:val="clear" w:color="auto" w:fill="auto"/>
                            <w:noWrap/>
                            <w:vAlign w:val="center"/>
                            <w:hideMark/>
                          </w:tcPr>
                          <w:p w14:paraId="4CD270B2"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1,500</w:t>
                            </w:r>
                          </w:p>
                        </w:tc>
                        <w:tc>
                          <w:tcPr>
                            <w:tcW w:w="960" w:type="dxa"/>
                            <w:shd w:val="clear" w:color="auto" w:fill="auto"/>
                            <w:noWrap/>
                            <w:vAlign w:val="center"/>
                            <w:hideMark/>
                          </w:tcPr>
                          <w:p w14:paraId="403A389A"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47.47</w:t>
                            </w:r>
                          </w:p>
                        </w:tc>
                        <w:tc>
                          <w:tcPr>
                            <w:tcW w:w="1080" w:type="dxa"/>
                            <w:shd w:val="clear" w:color="auto" w:fill="auto"/>
                            <w:vAlign w:val="center"/>
                            <w:hideMark/>
                          </w:tcPr>
                          <w:p w14:paraId="149A40EB"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2,569</w:t>
                            </w:r>
                          </w:p>
                        </w:tc>
                        <w:tc>
                          <w:tcPr>
                            <w:tcW w:w="960" w:type="dxa"/>
                            <w:shd w:val="clear" w:color="auto" w:fill="auto"/>
                            <w:vAlign w:val="center"/>
                            <w:hideMark/>
                          </w:tcPr>
                          <w:p w14:paraId="7CB92A18"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1,698</w:t>
                            </w:r>
                          </w:p>
                        </w:tc>
                        <w:tc>
                          <w:tcPr>
                            <w:tcW w:w="1080" w:type="dxa"/>
                            <w:shd w:val="clear" w:color="auto" w:fill="auto"/>
                            <w:vAlign w:val="center"/>
                            <w:hideMark/>
                          </w:tcPr>
                          <w:p w14:paraId="6690D9CC"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53.72</w:t>
                            </w:r>
                          </w:p>
                        </w:tc>
                      </w:tr>
                      <w:tr w:rsidR="008921B7" w:rsidRPr="001504F6" w14:paraId="576407E7" w14:textId="77777777" w:rsidTr="00692EC7">
                        <w:trPr>
                          <w:trHeight w:val="454"/>
                        </w:trPr>
                        <w:tc>
                          <w:tcPr>
                            <w:tcW w:w="480" w:type="dxa"/>
                            <w:shd w:val="clear" w:color="auto" w:fill="auto"/>
                            <w:noWrap/>
                            <w:vAlign w:val="center"/>
                            <w:hideMark/>
                          </w:tcPr>
                          <w:p w14:paraId="4B2477CF" w14:textId="77777777" w:rsidR="008921B7" w:rsidRPr="001504F6" w:rsidRDefault="008921B7" w:rsidP="006556BA">
                            <w:pPr>
                              <w:spacing w:line="280" w:lineRule="exact"/>
                              <w:jc w:val="center"/>
                              <w:rPr>
                                <w:rFonts w:ascii="標楷體" w:eastAsia="標楷體" w:hAnsi="標楷體"/>
                                <w:sz w:val="20"/>
                                <w:szCs w:val="16"/>
                              </w:rPr>
                            </w:pPr>
                            <w:r w:rsidRPr="001504F6">
                              <w:rPr>
                                <w:rFonts w:ascii="標楷體" w:eastAsia="標楷體" w:hAnsi="標楷體"/>
                                <w:sz w:val="20"/>
                                <w:szCs w:val="16"/>
                              </w:rPr>
                              <w:t>114</w:t>
                            </w:r>
                          </w:p>
                        </w:tc>
                        <w:tc>
                          <w:tcPr>
                            <w:tcW w:w="960" w:type="dxa"/>
                            <w:shd w:val="clear" w:color="auto" w:fill="auto"/>
                            <w:vAlign w:val="center"/>
                            <w:hideMark/>
                          </w:tcPr>
                          <w:p w14:paraId="51152F2B"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5,300</w:t>
                            </w:r>
                          </w:p>
                        </w:tc>
                        <w:tc>
                          <w:tcPr>
                            <w:tcW w:w="1080" w:type="dxa"/>
                            <w:shd w:val="clear" w:color="auto" w:fill="auto"/>
                            <w:vAlign w:val="center"/>
                            <w:hideMark/>
                          </w:tcPr>
                          <w:p w14:paraId="34BF5ED6"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3,217</w:t>
                            </w:r>
                          </w:p>
                        </w:tc>
                        <w:tc>
                          <w:tcPr>
                            <w:tcW w:w="960" w:type="dxa"/>
                            <w:shd w:val="clear" w:color="auto" w:fill="auto"/>
                            <w:vAlign w:val="center"/>
                            <w:hideMark/>
                          </w:tcPr>
                          <w:p w14:paraId="2CA605E5"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shd w:val="pct15" w:color="auto" w:fill="FFFFFF"/>
                              </w:rPr>
                              <w:t>60.70</w:t>
                            </w:r>
                          </w:p>
                        </w:tc>
                        <w:tc>
                          <w:tcPr>
                            <w:tcW w:w="960" w:type="dxa"/>
                            <w:shd w:val="clear" w:color="auto" w:fill="auto"/>
                            <w:vAlign w:val="center"/>
                            <w:hideMark/>
                          </w:tcPr>
                          <w:p w14:paraId="783CE6F9"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1,607</w:t>
                            </w:r>
                          </w:p>
                        </w:tc>
                        <w:tc>
                          <w:tcPr>
                            <w:tcW w:w="960" w:type="dxa"/>
                            <w:shd w:val="clear" w:color="auto" w:fill="auto"/>
                            <w:vAlign w:val="center"/>
                            <w:hideMark/>
                          </w:tcPr>
                          <w:p w14:paraId="5375D4EB"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rPr>
                              <w:t>49.97</w:t>
                            </w:r>
                          </w:p>
                        </w:tc>
                        <w:tc>
                          <w:tcPr>
                            <w:tcW w:w="1080" w:type="dxa"/>
                            <w:shd w:val="clear" w:color="auto" w:fill="auto"/>
                            <w:noWrap/>
                            <w:vAlign w:val="center"/>
                            <w:hideMark/>
                          </w:tcPr>
                          <w:p w14:paraId="6A761BF4"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2,639</w:t>
                            </w:r>
                          </w:p>
                        </w:tc>
                        <w:tc>
                          <w:tcPr>
                            <w:tcW w:w="960" w:type="dxa"/>
                            <w:shd w:val="clear" w:color="auto" w:fill="auto"/>
                            <w:noWrap/>
                            <w:vAlign w:val="center"/>
                            <w:hideMark/>
                          </w:tcPr>
                          <w:p w14:paraId="501B3EA6" w14:textId="77777777" w:rsidR="008921B7" w:rsidRPr="006556BA" w:rsidRDefault="008921B7" w:rsidP="008921B7">
                            <w:pPr>
                              <w:spacing w:line="280" w:lineRule="exact"/>
                              <w:jc w:val="right"/>
                              <w:rPr>
                                <w:rFonts w:ascii="標楷體" w:eastAsia="標楷體" w:hAnsi="標楷體"/>
                                <w:sz w:val="20"/>
                                <w:szCs w:val="20"/>
                              </w:rPr>
                            </w:pPr>
                            <w:r w:rsidRPr="006556BA">
                              <w:rPr>
                                <w:rFonts w:ascii="標楷體" w:eastAsia="標楷體" w:hAnsi="標楷體"/>
                                <w:sz w:val="20"/>
                                <w:szCs w:val="20"/>
                              </w:rPr>
                              <w:t>1,737</w:t>
                            </w:r>
                          </w:p>
                        </w:tc>
                        <w:tc>
                          <w:tcPr>
                            <w:tcW w:w="1080" w:type="dxa"/>
                            <w:shd w:val="clear" w:color="auto" w:fill="auto"/>
                            <w:noWrap/>
                            <w:vAlign w:val="center"/>
                            <w:hideMark/>
                          </w:tcPr>
                          <w:p w14:paraId="403F4C6F" w14:textId="77777777" w:rsidR="008921B7" w:rsidRPr="006556BA" w:rsidRDefault="008921B7" w:rsidP="008921B7">
                            <w:pPr>
                              <w:spacing w:line="280" w:lineRule="exact"/>
                              <w:jc w:val="right"/>
                              <w:rPr>
                                <w:rFonts w:ascii="標楷體" w:eastAsia="標楷體" w:hAnsi="標楷體"/>
                                <w:sz w:val="20"/>
                                <w:szCs w:val="16"/>
                              </w:rPr>
                            </w:pPr>
                            <w:r w:rsidRPr="006556BA">
                              <w:rPr>
                                <w:rFonts w:ascii="標楷體" w:eastAsia="標楷體" w:hAnsi="標楷體"/>
                                <w:sz w:val="20"/>
                                <w:szCs w:val="16"/>
                                <w:shd w:val="pct15" w:color="auto" w:fill="FFFFFF"/>
                              </w:rPr>
                              <w:t>53.99</w:t>
                            </w:r>
                          </w:p>
                        </w:tc>
                      </w:tr>
                    </w:tbl>
                    <w:p w14:paraId="339010FF" w14:textId="77777777" w:rsidR="008921B7" w:rsidRDefault="008921B7" w:rsidP="00760E8B">
                      <w:pPr>
                        <w:spacing w:line="240" w:lineRule="exact"/>
                        <w:ind w:left="490" w:rightChars="34" w:right="82" w:hangingChars="272" w:hanging="490"/>
                        <w:jc w:val="both"/>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以灰底標註未達114年度目標值者。</w:t>
                      </w:r>
                    </w:p>
                    <w:p w14:paraId="38E8C594" w14:textId="75E08C4B" w:rsidR="008921B7" w:rsidRDefault="008921B7" w:rsidP="00760E8B">
                      <w:pPr>
                        <w:spacing w:line="240" w:lineRule="exact"/>
                        <w:ind w:rightChars="34" w:right="82" w:firstLineChars="200" w:firstLine="360"/>
                        <w:jc w:val="both"/>
                      </w:pPr>
                      <w:r>
                        <w:rPr>
                          <w:rFonts w:ascii="標楷體" w:eastAsia="標楷體" w:hAnsi="標楷體" w:hint="eastAsia"/>
                          <w:sz w:val="18"/>
                          <w:szCs w:val="18"/>
                        </w:rPr>
                        <w:t>2</w:t>
                      </w:r>
                      <w:r>
                        <w:rPr>
                          <w:rFonts w:ascii="標楷體" w:eastAsia="標楷體" w:hAnsi="標楷體"/>
                          <w:sz w:val="18"/>
                          <w:szCs w:val="18"/>
                        </w:rPr>
                        <w:t>.</w:t>
                      </w:r>
                      <w:r w:rsidRPr="00A633D0">
                        <w:rPr>
                          <w:rFonts w:ascii="標楷體" w:eastAsia="標楷體" w:hAnsi="標楷體" w:hint="eastAsia"/>
                          <w:sz w:val="18"/>
                          <w:szCs w:val="18"/>
                        </w:rPr>
                        <w:t>資料來源：整理自健保署提供資料</w:t>
                      </w:r>
                      <w:r w:rsidR="000437BC">
                        <w:rPr>
                          <w:rFonts w:ascii="標楷體" w:eastAsia="標楷體" w:hAnsi="標楷體" w:hint="eastAsia"/>
                          <w:sz w:val="18"/>
                          <w:szCs w:val="18"/>
                        </w:rPr>
                        <w:t>。</w:t>
                      </w:r>
                    </w:p>
                  </w:txbxContent>
                </v:textbox>
                <w10:wrap type="square"/>
              </v:shape>
            </w:pict>
          </mc:Fallback>
        </mc:AlternateContent>
      </w:r>
      <w:r w:rsidR="005E6E9F" w:rsidRPr="00651CCA">
        <w:rPr>
          <w:rFonts w:ascii="標楷體" w:hAnsi="標楷體" w:hint="eastAsia"/>
          <w:sz w:val="24"/>
          <w:szCs w:val="24"/>
        </w:rPr>
        <w:t xml:space="preserve">B.　</w:t>
      </w:r>
      <w:r w:rsidR="003C1E25" w:rsidRPr="006F51FE">
        <w:rPr>
          <w:rFonts w:ascii="標楷體" w:hAnsi="標楷體" w:hint="eastAsia"/>
          <w:sz w:val="24"/>
          <w:szCs w:val="24"/>
        </w:rPr>
        <w:t>為</w:t>
      </w:r>
      <w:r w:rsidR="005D221D" w:rsidRPr="006F51FE">
        <w:rPr>
          <w:rFonts w:ascii="標楷體" w:hAnsi="標楷體" w:hint="eastAsia"/>
          <w:sz w:val="24"/>
          <w:szCs w:val="24"/>
        </w:rPr>
        <w:t>協助民眾</w:t>
      </w:r>
      <w:r w:rsidR="007C126E" w:rsidRPr="006F51FE">
        <w:rPr>
          <w:rFonts w:ascii="標楷體" w:hAnsi="標楷體" w:hint="eastAsia"/>
          <w:sz w:val="24"/>
          <w:szCs w:val="24"/>
        </w:rPr>
        <w:t>管理</w:t>
      </w:r>
      <w:r w:rsidR="005D221D" w:rsidRPr="006F51FE">
        <w:rPr>
          <w:rFonts w:ascii="標楷體" w:hAnsi="標楷體" w:hint="eastAsia"/>
          <w:sz w:val="24"/>
          <w:szCs w:val="24"/>
        </w:rPr>
        <w:t>三高疾病</w:t>
      </w:r>
      <w:r w:rsidR="00EA3F8A" w:rsidRPr="006F51FE">
        <w:rPr>
          <w:rFonts w:ascii="標楷體" w:hAnsi="標楷體" w:hint="eastAsia"/>
          <w:sz w:val="24"/>
          <w:szCs w:val="24"/>
        </w:rPr>
        <w:t>並</w:t>
      </w:r>
      <w:r w:rsidR="007C126E" w:rsidRPr="006F51FE">
        <w:rPr>
          <w:rFonts w:ascii="標楷體" w:hAnsi="標楷體" w:hint="eastAsia"/>
          <w:sz w:val="24"/>
          <w:szCs w:val="24"/>
        </w:rPr>
        <w:t>延緩</w:t>
      </w:r>
      <w:r w:rsidR="00EA3F8A" w:rsidRPr="006F51FE">
        <w:rPr>
          <w:rFonts w:ascii="標楷體" w:hAnsi="標楷體" w:hint="eastAsia"/>
          <w:sz w:val="24"/>
          <w:szCs w:val="24"/>
        </w:rPr>
        <w:t>疾病</w:t>
      </w:r>
      <w:r w:rsidR="005D221D" w:rsidRPr="006F51FE">
        <w:rPr>
          <w:rFonts w:ascii="標楷體" w:hAnsi="標楷體" w:hint="eastAsia"/>
          <w:sz w:val="24"/>
          <w:szCs w:val="24"/>
        </w:rPr>
        <w:t>惡化，</w:t>
      </w:r>
      <w:r w:rsidR="003C1E25" w:rsidRPr="006F51FE">
        <w:rPr>
          <w:rFonts w:ascii="標楷體" w:hAnsi="標楷體" w:hint="eastAsia"/>
          <w:sz w:val="24"/>
          <w:szCs w:val="24"/>
        </w:rPr>
        <w:t>推動</w:t>
      </w:r>
      <w:r w:rsidR="00EE5030" w:rsidRPr="006F51FE">
        <w:rPr>
          <w:rFonts w:ascii="標楷體" w:hAnsi="標楷體" w:hint="eastAsia"/>
          <w:sz w:val="24"/>
          <w:szCs w:val="24"/>
        </w:rPr>
        <w:t>三高防治888計畫</w:t>
      </w:r>
      <w:r w:rsidR="002F6C42" w:rsidRPr="006F51FE">
        <w:rPr>
          <w:rFonts w:ascii="標楷體" w:hAnsi="標楷體" w:hint="eastAsia"/>
          <w:sz w:val="24"/>
          <w:szCs w:val="24"/>
        </w:rPr>
        <w:t>，</w:t>
      </w:r>
      <w:r w:rsidR="003C1E25" w:rsidRPr="006F51FE">
        <w:rPr>
          <w:rFonts w:ascii="標楷體" w:hAnsi="標楷體" w:hint="eastAsia"/>
          <w:sz w:val="24"/>
          <w:szCs w:val="24"/>
        </w:rPr>
        <w:t>惟</w:t>
      </w:r>
      <w:r w:rsidR="002F6C42" w:rsidRPr="006F51FE">
        <w:rPr>
          <w:rFonts w:ascii="標楷體" w:hAnsi="標楷體" w:hint="eastAsia"/>
          <w:sz w:val="24"/>
          <w:szCs w:val="24"/>
        </w:rPr>
        <w:t>三高病人加入照護網</w:t>
      </w:r>
      <w:r w:rsidR="00075904" w:rsidRPr="006F51FE">
        <w:rPr>
          <w:rFonts w:ascii="標楷體" w:hAnsi="標楷體" w:hint="eastAsia"/>
          <w:sz w:val="24"/>
          <w:szCs w:val="24"/>
        </w:rPr>
        <w:t>比率、</w:t>
      </w:r>
      <w:r w:rsidR="003C1E25" w:rsidRPr="006F51FE">
        <w:rPr>
          <w:rFonts w:ascii="標楷體" w:hAnsi="標楷體" w:hint="eastAsia"/>
          <w:sz w:val="24"/>
          <w:szCs w:val="24"/>
        </w:rPr>
        <w:t>疾病</w:t>
      </w:r>
      <w:r w:rsidR="00075904" w:rsidRPr="006F51FE">
        <w:rPr>
          <w:rFonts w:ascii="標楷體" w:hAnsi="標楷體" w:hint="eastAsia"/>
          <w:sz w:val="24"/>
          <w:szCs w:val="24"/>
        </w:rPr>
        <w:t>控制率</w:t>
      </w:r>
      <w:r w:rsidR="005E6E9F" w:rsidRPr="006F51FE">
        <w:rPr>
          <w:rFonts w:ascii="標楷體" w:hAnsi="標楷體" w:hint="eastAsia"/>
          <w:sz w:val="24"/>
          <w:szCs w:val="24"/>
        </w:rPr>
        <w:t>未</w:t>
      </w:r>
      <w:r w:rsidR="00491888" w:rsidRPr="006F51FE">
        <w:rPr>
          <w:rFonts w:ascii="標楷體" w:hAnsi="標楷體" w:hint="eastAsia"/>
          <w:sz w:val="24"/>
          <w:szCs w:val="24"/>
        </w:rPr>
        <w:t>能達成114年度目標值</w:t>
      </w:r>
      <w:r w:rsidR="005E6E9F" w:rsidRPr="006F51FE">
        <w:rPr>
          <w:rFonts w:ascii="標楷體" w:hAnsi="標楷體" w:hint="eastAsia"/>
          <w:sz w:val="24"/>
          <w:szCs w:val="24"/>
        </w:rPr>
        <w:t>，又部分目標族群尚未納</w:t>
      </w:r>
      <w:r w:rsidR="000437BC" w:rsidRPr="006F51FE">
        <w:rPr>
          <w:rFonts w:ascii="標楷體" w:hAnsi="標楷體" w:hint="eastAsia"/>
          <w:sz w:val="24"/>
          <w:szCs w:val="24"/>
        </w:rPr>
        <w:t>入</w:t>
      </w:r>
      <w:r w:rsidR="005E6E9F" w:rsidRPr="006F51FE">
        <w:rPr>
          <w:rFonts w:ascii="標楷體" w:hAnsi="標楷體" w:hint="eastAsia"/>
          <w:sz w:val="24"/>
          <w:szCs w:val="24"/>
        </w:rPr>
        <w:t>計畫照護，不利掌握三高相關疾病之照護成效：</w:t>
      </w:r>
      <w:r w:rsidR="00491888" w:rsidRPr="006F51FE">
        <w:rPr>
          <w:rFonts w:ascii="標楷體" w:hAnsi="標楷體" w:hint="eastAsia"/>
          <w:b w:val="0"/>
          <w:bCs w:val="0"/>
          <w:sz w:val="24"/>
          <w:szCs w:val="24"/>
        </w:rPr>
        <w:t>三高防治888計畫之政策目標，係使80％三高病人加入照護網，80％收案病人接受生活習慣諮商及80％收案病人達到疾病控制</w:t>
      </w:r>
      <w:r w:rsidR="003C1E25" w:rsidRPr="006F51FE">
        <w:rPr>
          <w:rFonts w:ascii="標楷體" w:hAnsi="標楷體" w:hint="eastAsia"/>
          <w:b w:val="0"/>
          <w:bCs w:val="0"/>
          <w:sz w:val="24"/>
          <w:szCs w:val="24"/>
        </w:rPr>
        <w:t>，以達成</w:t>
      </w:r>
      <w:r w:rsidR="005D221D" w:rsidRPr="006F51FE">
        <w:rPr>
          <w:rFonts w:ascii="標楷體" w:hAnsi="標楷體" w:hint="eastAsia"/>
          <w:b w:val="0"/>
          <w:sz w:val="24"/>
          <w:szCs w:val="24"/>
        </w:rPr>
        <w:t>2030年降低三高相關慢性病標準化死亡率三分之一之目標</w:t>
      </w:r>
      <w:r w:rsidR="00491888" w:rsidRPr="006F51FE">
        <w:rPr>
          <w:rFonts w:ascii="標楷體" w:hAnsi="標楷體" w:hint="eastAsia"/>
          <w:b w:val="0"/>
          <w:bCs w:val="0"/>
          <w:sz w:val="24"/>
          <w:szCs w:val="24"/>
        </w:rPr>
        <w:t>。</w:t>
      </w:r>
      <w:r w:rsidR="005E6E9F" w:rsidRPr="006F51FE">
        <w:rPr>
          <w:rFonts w:ascii="標楷體" w:hAnsi="標楷體" w:hint="eastAsia"/>
          <w:b w:val="0"/>
          <w:bCs w:val="0"/>
          <w:sz w:val="24"/>
          <w:szCs w:val="24"/>
        </w:rPr>
        <w:t>健保署為</w:t>
      </w:r>
      <w:r w:rsidR="00523AD3" w:rsidRPr="006F51FE">
        <w:rPr>
          <w:rFonts w:ascii="標楷體" w:hAnsi="標楷體" w:hint="eastAsia"/>
          <w:b w:val="0"/>
          <w:bCs w:val="0"/>
          <w:sz w:val="24"/>
          <w:szCs w:val="24"/>
        </w:rPr>
        <w:t>達成</w:t>
      </w:r>
      <w:r w:rsidR="003C1E25" w:rsidRPr="006F51FE">
        <w:rPr>
          <w:rFonts w:ascii="標楷體" w:hAnsi="標楷體" w:hint="eastAsia"/>
          <w:b w:val="0"/>
          <w:sz w:val="24"/>
          <w:szCs w:val="24"/>
        </w:rPr>
        <w:t>前述</w:t>
      </w:r>
      <w:r w:rsidR="00523AD3" w:rsidRPr="006F51FE">
        <w:rPr>
          <w:rFonts w:ascii="標楷體" w:hAnsi="標楷體" w:hint="eastAsia"/>
          <w:b w:val="0"/>
          <w:sz w:val="24"/>
          <w:szCs w:val="24"/>
        </w:rPr>
        <w:t>政策</w:t>
      </w:r>
      <w:r w:rsidR="00491888" w:rsidRPr="006F51FE">
        <w:rPr>
          <w:rFonts w:ascii="標楷體" w:hAnsi="標楷體" w:hint="eastAsia"/>
          <w:b w:val="0"/>
          <w:sz w:val="24"/>
          <w:szCs w:val="24"/>
        </w:rPr>
        <w:t>目標</w:t>
      </w:r>
      <w:r w:rsidR="00523AD3" w:rsidRPr="006F51FE">
        <w:rPr>
          <w:rFonts w:ascii="標楷體" w:hAnsi="標楷體" w:hint="eastAsia"/>
          <w:b w:val="0"/>
          <w:sz w:val="24"/>
          <w:szCs w:val="24"/>
        </w:rPr>
        <w:t>，</w:t>
      </w:r>
      <w:r w:rsidR="005E6E9F" w:rsidRPr="006F51FE">
        <w:rPr>
          <w:rFonts w:ascii="標楷體" w:hAnsi="標楷體" w:hint="eastAsia"/>
          <w:b w:val="0"/>
          <w:bCs w:val="0"/>
          <w:sz w:val="24"/>
          <w:szCs w:val="24"/>
        </w:rPr>
        <w:t>自113年起透過大家醫計畫、健保醫療給付改善方案等多項</w:t>
      </w:r>
      <w:r w:rsidR="00EE5030" w:rsidRPr="006F51FE">
        <w:rPr>
          <w:rFonts w:ascii="標楷體" w:hAnsi="標楷體" w:hint="eastAsia"/>
          <w:b w:val="0"/>
          <w:bCs w:val="0"/>
          <w:sz w:val="24"/>
          <w:szCs w:val="24"/>
        </w:rPr>
        <w:t>措施</w:t>
      </w:r>
      <w:r w:rsidR="005E6E9F" w:rsidRPr="006F51FE">
        <w:rPr>
          <w:rFonts w:ascii="標楷體" w:hAnsi="標楷體" w:hint="eastAsia"/>
          <w:b w:val="0"/>
          <w:bCs w:val="0"/>
          <w:sz w:val="24"/>
          <w:szCs w:val="24"/>
        </w:rPr>
        <w:t>，將三高病人納入慢性病相關照護網，以早期檢查、健康促進及醫療介入等方式，減緩疾病惡化。</w:t>
      </w:r>
      <w:r w:rsidR="00F73293" w:rsidRPr="006F51FE">
        <w:rPr>
          <w:rFonts w:ascii="標楷體" w:hAnsi="標楷體" w:hint="eastAsia"/>
          <w:b w:val="0"/>
          <w:bCs w:val="0"/>
          <w:sz w:val="24"/>
          <w:szCs w:val="24"/>
        </w:rPr>
        <w:t>據該署統計，納入慢性病照護網個案疾病控制成效優於未經收案照護者。</w:t>
      </w:r>
      <w:r w:rsidR="00491888" w:rsidRPr="006F51FE">
        <w:rPr>
          <w:rFonts w:ascii="標楷體" w:hAnsi="標楷體" w:hint="eastAsia"/>
          <w:b w:val="0"/>
          <w:bCs w:val="0"/>
          <w:sz w:val="24"/>
          <w:szCs w:val="24"/>
        </w:rPr>
        <w:t>查三高防治888計畫</w:t>
      </w:r>
      <w:r w:rsidR="005E6E9F" w:rsidRPr="006F51FE">
        <w:rPr>
          <w:rFonts w:ascii="標楷體" w:hAnsi="標楷體" w:hint="eastAsia"/>
          <w:b w:val="0"/>
          <w:bCs w:val="0"/>
          <w:sz w:val="24"/>
          <w:szCs w:val="24"/>
        </w:rPr>
        <w:t>所訂三高病</w:t>
      </w:r>
      <w:bookmarkStart w:id="3" w:name="_Hlk233193576"/>
      <w:r w:rsidR="00F3231C" w:rsidRPr="006F51FE">
        <w:rPr>
          <w:rFonts w:ascii="標楷體" w:hAnsi="標楷體" w:hint="eastAsia"/>
          <w:b w:val="0"/>
          <w:bCs w:val="0"/>
          <w:sz w:val="24"/>
          <w:szCs w:val="24"/>
        </w:rPr>
        <w:t>人</w:t>
      </w:r>
      <w:r w:rsidR="005E6E9F" w:rsidRPr="006F51FE">
        <w:rPr>
          <w:rFonts w:ascii="標楷體" w:hAnsi="標楷體" w:hint="eastAsia"/>
          <w:b w:val="0"/>
          <w:bCs w:val="0"/>
          <w:sz w:val="24"/>
          <w:szCs w:val="24"/>
        </w:rPr>
        <w:t>加入照護網比率(下稱照護率)</w:t>
      </w:r>
      <w:bookmarkEnd w:id="3"/>
      <w:r w:rsidR="005E6E9F" w:rsidRPr="006F51FE">
        <w:rPr>
          <w:rFonts w:ascii="標楷體" w:hAnsi="標楷體" w:hint="eastAsia"/>
          <w:b w:val="0"/>
          <w:bCs w:val="0"/>
          <w:sz w:val="24"/>
          <w:szCs w:val="24"/>
        </w:rPr>
        <w:t>、生活習慣諮商率及三高控制率</w:t>
      </w:r>
      <w:r w:rsidR="00541329" w:rsidRPr="006F51FE">
        <w:rPr>
          <w:rFonts w:ascii="標楷體" w:hAnsi="標楷體" w:hint="eastAsia"/>
          <w:b w:val="0"/>
          <w:bCs w:val="0"/>
          <w:sz w:val="24"/>
          <w:szCs w:val="24"/>
        </w:rPr>
        <w:t>等3項</w:t>
      </w:r>
      <w:r w:rsidR="00491888" w:rsidRPr="006F51FE">
        <w:rPr>
          <w:rFonts w:ascii="標楷體" w:hAnsi="標楷體" w:hint="eastAsia"/>
          <w:b w:val="0"/>
          <w:bCs w:val="0"/>
          <w:sz w:val="24"/>
          <w:szCs w:val="24"/>
        </w:rPr>
        <w:t>比率之114年度</w:t>
      </w:r>
      <w:r w:rsidR="00C3239C" w:rsidRPr="006F51FE">
        <w:rPr>
          <w:rFonts w:ascii="標楷體" w:hAnsi="標楷體" w:hint="eastAsia"/>
          <w:b w:val="0"/>
          <w:bCs w:val="0"/>
          <w:sz w:val="24"/>
          <w:szCs w:val="24"/>
        </w:rPr>
        <w:t>目標</w:t>
      </w:r>
      <w:r w:rsidR="005E6E9F" w:rsidRPr="006F51FE">
        <w:rPr>
          <w:rFonts w:ascii="標楷體" w:hAnsi="標楷體" w:hint="eastAsia"/>
          <w:b w:val="0"/>
          <w:bCs w:val="0"/>
          <w:sz w:val="24"/>
          <w:szCs w:val="24"/>
        </w:rPr>
        <w:t>值分別為70％、40％、65％</w:t>
      </w:r>
      <w:r w:rsidR="003C1E25" w:rsidRPr="006F51FE">
        <w:rPr>
          <w:rFonts w:ascii="標楷體" w:hAnsi="標楷體" w:hint="eastAsia"/>
          <w:b w:val="0"/>
          <w:bCs w:val="0"/>
          <w:sz w:val="24"/>
          <w:szCs w:val="24"/>
        </w:rPr>
        <w:t>，</w:t>
      </w:r>
      <w:r w:rsidR="005E6E9F" w:rsidRPr="006F51FE">
        <w:rPr>
          <w:rFonts w:ascii="標楷體" w:hAnsi="標楷體" w:hint="eastAsia"/>
          <w:b w:val="0"/>
          <w:bCs w:val="0"/>
          <w:sz w:val="24"/>
          <w:szCs w:val="24"/>
        </w:rPr>
        <w:t>執行結果，</w:t>
      </w:r>
      <w:r w:rsidR="00541329" w:rsidRPr="006F51FE">
        <w:rPr>
          <w:rFonts w:ascii="標楷體" w:hAnsi="標楷體" w:hint="eastAsia"/>
          <w:b w:val="0"/>
          <w:bCs w:val="0"/>
          <w:sz w:val="24"/>
          <w:szCs w:val="24"/>
        </w:rPr>
        <w:t>其中照護率、三高控制率等2項</w:t>
      </w:r>
      <w:r w:rsidR="00491888" w:rsidRPr="006F51FE">
        <w:rPr>
          <w:rFonts w:ascii="標楷體" w:hAnsi="標楷體" w:hint="eastAsia"/>
          <w:b w:val="0"/>
          <w:bCs w:val="0"/>
          <w:sz w:val="24"/>
          <w:szCs w:val="24"/>
        </w:rPr>
        <w:t>比率</w:t>
      </w:r>
      <w:r w:rsidR="005913C3" w:rsidRPr="006F51FE">
        <w:rPr>
          <w:rFonts w:ascii="標楷體" w:hAnsi="標楷體" w:hint="eastAsia"/>
          <w:b w:val="0"/>
          <w:bCs w:val="0"/>
          <w:sz w:val="24"/>
          <w:szCs w:val="24"/>
        </w:rPr>
        <w:t>分別為</w:t>
      </w:r>
      <w:r w:rsidR="005913C3" w:rsidRPr="006F51FE">
        <w:rPr>
          <w:rFonts w:ascii="標楷體" w:hAnsi="標楷體"/>
          <w:b w:val="0"/>
          <w:bCs w:val="0"/>
          <w:sz w:val="24"/>
          <w:szCs w:val="24"/>
        </w:rPr>
        <w:t>60.70</w:t>
      </w:r>
      <w:r w:rsidR="005913C3" w:rsidRPr="006F51FE">
        <w:rPr>
          <w:rFonts w:ascii="標楷體" w:hAnsi="標楷體" w:hint="eastAsia"/>
          <w:b w:val="0"/>
          <w:bCs w:val="0"/>
          <w:sz w:val="24"/>
          <w:szCs w:val="24"/>
        </w:rPr>
        <w:t>％</w:t>
      </w:r>
      <w:r w:rsidR="00EF6C27" w:rsidRPr="006F51FE">
        <w:rPr>
          <w:rFonts w:ascii="標楷體" w:hAnsi="標楷體" w:hint="eastAsia"/>
          <w:b w:val="0"/>
          <w:bCs w:val="0"/>
          <w:sz w:val="24"/>
          <w:szCs w:val="24"/>
        </w:rPr>
        <w:t>及</w:t>
      </w:r>
      <w:r w:rsidR="005913C3" w:rsidRPr="006F51FE">
        <w:rPr>
          <w:rFonts w:ascii="標楷體" w:hAnsi="標楷體"/>
          <w:b w:val="0"/>
          <w:bCs w:val="0"/>
          <w:sz w:val="24"/>
          <w:szCs w:val="24"/>
        </w:rPr>
        <w:t>53.99</w:t>
      </w:r>
      <w:r w:rsidR="005913C3" w:rsidRPr="006F51FE">
        <w:rPr>
          <w:rFonts w:ascii="標楷體" w:hAnsi="標楷體" w:hint="eastAsia"/>
          <w:b w:val="0"/>
          <w:bCs w:val="0"/>
          <w:sz w:val="24"/>
          <w:szCs w:val="24"/>
        </w:rPr>
        <w:t>％</w:t>
      </w:r>
      <w:r w:rsidR="00541329" w:rsidRPr="006F51FE">
        <w:rPr>
          <w:rFonts w:ascii="標楷體" w:hAnsi="標楷體" w:hint="eastAsia"/>
          <w:b w:val="0"/>
          <w:bCs w:val="0"/>
          <w:sz w:val="24"/>
          <w:szCs w:val="24"/>
        </w:rPr>
        <w:t>，</w:t>
      </w:r>
      <w:r w:rsidR="005913C3" w:rsidRPr="006F51FE">
        <w:rPr>
          <w:rFonts w:ascii="標楷體" w:hAnsi="標楷體" w:hint="eastAsia"/>
          <w:b w:val="0"/>
          <w:bCs w:val="0"/>
          <w:sz w:val="24"/>
          <w:szCs w:val="24"/>
        </w:rPr>
        <w:t>據說明係</w:t>
      </w:r>
      <w:r w:rsidR="005E6E9F" w:rsidRPr="006F51FE">
        <w:rPr>
          <w:rFonts w:ascii="標楷體" w:hAnsi="標楷體" w:hint="eastAsia"/>
          <w:b w:val="0"/>
          <w:bCs w:val="0"/>
          <w:sz w:val="24"/>
          <w:szCs w:val="24"/>
        </w:rPr>
        <w:t>受民眾就醫及規律用藥</w:t>
      </w:r>
      <w:r w:rsidR="003C1E25" w:rsidRPr="006F51FE">
        <w:rPr>
          <w:rFonts w:ascii="標楷體" w:hAnsi="標楷體" w:hint="eastAsia"/>
          <w:b w:val="0"/>
          <w:bCs w:val="0"/>
          <w:sz w:val="24"/>
          <w:szCs w:val="24"/>
        </w:rPr>
        <w:t>持續性、</w:t>
      </w:r>
      <w:r w:rsidR="005E6E9F" w:rsidRPr="006F51FE">
        <w:rPr>
          <w:rFonts w:ascii="標楷體" w:hAnsi="標楷體" w:hint="eastAsia"/>
          <w:b w:val="0"/>
          <w:bCs w:val="0"/>
          <w:sz w:val="24"/>
          <w:szCs w:val="24"/>
        </w:rPr>
        <w:t>院所人力與資源</w:t>
      </w:r>
      <w:r w:rsidR="00EA3F8A" w:rsidRPr="006F51FE">
        <w:rPr>
          <w:rFonts w:ascii="標楷體" w:hAnsi="標楷體" w:hint="eastAsia"/>
          <w:b w:val="0"/>
          <w:bCs w:val="0"/>
          <w:sz w:val="24"/>
          <w:szCs w:val="24"/>
        </w:rPr>
        <w:t>量能</w:t>
      </w:r>
      <w:r w:rsidR="005E6E9F" w:rsidRPr="006F51FE">
        <w:rPr>
          <w:rFonts w:ascii="標楷體" w:hAnsi="標楷體" w:hint="eastAsia"/>
          <w:b w:val="0"/>
          <w:bCs w:val="0"/>
          <w:sz w:val="24"/>
          <w:szCs w:val="24"/>
        </w:rPr>
        <w:t>等因素影響，</w:t>
      </w:r>
      <w:r w:rsidR="002A7E53" w:rsidRPr="006F51FE">
        <w:rPr>
          <w:rFonts w:ascii="標楷體" w:hAnsi="標楷體" w:hint="eastAsia"/>
          <w:b w:val="0"/>
          <w:bCs w:val="0"/>
          <w:sz w:val="24"/>
          <w:szCs w:val="24"/>
        </w:rPr>
        <w:t>而</w:t>
      </w:r>
      <w:r w:rsidR="005E6E9F" w:rsidRPr="006F51FE">
        <w:rPr>
          <w:rFonts w:ascii="標楷體" w:hAnsi="標楷體" w:hint="eastAsia"/>
          <w:b w:val="0"/>
          <w:bCs w:val="0"/>
          <w:sz w:val="24"/>
          <w:szCs w:val="24"/>
        </w:rPr>
        <w:t>未達預期目標（表5）。另查</w:t>
      </w:r>
      <w:r w:rsidR="00310460" w:rsidRPr="006F51FE">
        <w:rPr>
          <w:rFonts w:ascii="標楷體" w:hAnsi="標楷體" w:hint="eastAsia"/>
          <w:b w:val="0"/>
          <w:bCs w:val="0"/>
          <w:sz w:val="24"/>
          <w:szCs w:val="24"/>
        </w:rPr>
        <w:t>，現行</w:t>
      </w:r>
      <w:r w:rsidR="005E6E9F" w:rsidRPr="006F51FE">
        <w:rPr>
          <w:rFonts w:ascii="標楷體" w:hAnsi="標楷體" w:hint="eastAsia"/>
          <w:b w:val="0"/>
          <w:bCs w:val="0"/>
          <w:sz w:val="24"/>
          <w:szCs w:val="24"/>
        </w:rPr>
        <w:t>三高防治888計畫照護對象之設定，僅限「具診斷三高且已接受三高相關藥物治療」者，惟據</w:t>
      </w:r>
      <w:r w:rsidR="00310460" w:rsidRPr="006F51FE">
        <w:rPr>
          <w:rFonts w:ascii="標楷體" w:hAnsi="標楷體" w:hint="eastAsia"/>
          <w:b w:val="0"/>
          <w:bCs w:val="0"/>
          <w:sz w:val="24"/>
          <w:szCs w:val="24"/>
        </w:rPr>
        <w:t>健保</w:t>
      </w:r>
      <w:r w:rsidR="005E6E9F" w:rsidRPr="006F51FE">
        <w:rPr>
          <w:rFonts w:ascii="標楷體" w:hAnsi="標楷體" w:hint="eastAsia"/>
          <w:b w:val="0"/>
          <w:bCs w:val="0"/>
          <w:sz w:val="24"/>
          <w:szCs w:val="24"/>
        </w:rPr>
        <w:t>署提供資料，114年度經診斷為三高之</w:t>
      </w:r>
      <w:r w:rsidR="00310460" w:rsidRPr="006F51FE">
        <w:rPr>
          <w:rFonts w:ascii="標楷體" w:hAnsi="標楷體" w:hint="eastAsia"/>
          <w:b w:val="0"/>
          <w:bCs w:val="0"/>
          <w:sz w:val="24"/>
          <w:szCs w:val="24"/>
        </w:rPr>
        <w:t>患者</w:t>
      </w:r>
      <w:r w:rsidR="005E6E9F" w:rsidRPr="006F51FE">
        <w:rPr>
          <w:rFonts w:ascii="標楷體" w:hAnsi="標楷體" w:hint="eastAsia"/>
          <w:b w:val="0"/>
          <w:bCs w:val="0"/>
          <w:sz w:val="24"/>
          <w:szCs w:val="24"/>
        </w:rPr>
        <w:t>人數為750萬餘人，其中應納入照護網者530萬餘人，兩者尚有220萬餘人之落差。復據衛福部公告之113年度國人十大死因，與三高慢性疾病相關者，包括心臟疾病、腦血管疾病、腎臟病、糖尿病及高血壓性疾病等，其中心臟、腦血管疾病死亡之人數分別為最高及次高</w:t>
      </w:r>
      <w:r w:rsidR="000437BC" w:rsidRPr="006F51FE">
        <w:rPr>
          <w:rFonts w:ascii="標楷體" w:hAnsi="標楷體" w:hint="eastAsia"/>
          <w:b w:val="0"/>
          <w:bCs w:val="0"/>
          <w:sz w:val="24"/>
          <w:szCs w:val="24"/>
        </w:rPr>
        <w:t>，惟</w:t>
      </w:r>
      <w:r w:rsidR="00310460" w:rsidRPr="006F51FE">
        <w:rPr>
          <w:rFonts w:ascii="標楷體" w:hAnsi="標楷體" w:hint="eastAsia"/>
          <w:b w:val="0"/>
          <w:bCs w:val="0"/>
          <w:sz w:val="24"/>
          <w:szCs w:val="24"/>
        </w:rPr>
        <w:t>前揭三高慢性疾病中，僅糖尿病及高血壓性疾病之患者納入三高防治888計畫</w:t>
      </w:r>
      <w:r w:rsidR="000437BC" w:rsidRPr="006F51FE">
        <w:rPr>
          <w:rFonts w:ascii="標楷體" w:hAnsi="標楷體" w:hint="eastAsia"/>
          <w:b w:val="0"/>
          <w:bCs w:val="0"/>
          <w:sz w:val="24"/>
          <w:szCs w:val="24"/>
        </w:rPr>
        <w:t>；</w:t>
      </w:r>
      <w:r w:rsidR="00310460" w:rsidRPr="006F51FE">
        <w:rPr>
          <w:rFonts w:ascii="標楷體" w:hAnsi="標楷體" w:hint="eastAsia"/>
          <w:b w:val="0"/>
          <w:bCs w:val="0"/>
          <w:sz w:val="24"/>
          <w:szCs w:val="24"/>
        </w:rPr>
        <w:t>又</w:t>
      </w:r>
      <w:r w:rsidR="005E6E9F" w:rsidRPr="006F51FE">
        <w:rPr>
          <w:rFonts w:ascii="標楷體" w:hAnsi="標楷體" w:hint="eastAsia"/>
          <w:b w:val="0"/>
          <w:bCs w:val="0"/>
          <w:sz w:val="24"/>
          <w:szCs w:val="24"/>
        </w:rPr>
        <w:t>依臺灣永續發展目標</w:t>
      </w:r>
      <w:r w:rsidR="00FA22D3" w:rsidRPr="006F51FE">
        <w:rPr>
          <w:rFonts w:ascii="標楷體" w:hAnsi="標楷體" w:hint="eastAsia"/>
          <w:b w:val="0"/>
          <w:bCs w:val="0"/>
          <w:sz w:val="24"/>
          <w:szCs w:val="24"/>
        </w:rPr>
        <w:t>之核心目標</w:t>
      </w:r>
      <w:r w:rsidR="005E6E9F" w:rsidRPr="006F51FE">
        <w:rPr>
          <w:rFonts w:ascii="標楷體" w:hAnsi="標楷體" w:hint="eastAsia"/>
          <w:b w:val="0"/>
          <w:bCs w:val="0"/>
          <w:sz w:val="24"/>
          <w:szCs w:val="24"/>
        </w:rPr>
        <w:t>3之對應指標3.4.3「30至70歲人口心血管疾病死亡機率」，其2030年目標值為死亡率降至3.09％，惟實際值由109年之3.48％，上升至113年之3.8％，顯</w:t>
      </w:r>
      <w:r w:rsidR="000437BC" w:rsidRPr="006F51FE">
        <w:rPr>
          <w:rFonts w:ascii="標楷體" w:hAnsi="標楷體" w:hint="eastAsia"/>
          <w:b w:val="0"/>
          <w:bCs w:val="0"/>
          <w:sz w:val="24"/>
          <w:szCs w:val="24"/>
        </w:rPr>
        <w:t>示</w:t>
      </w:r>
      <w:r w:rsidR="005E6E9F" w:rsidRPr="006F51FE">
        <w:rPr>
          <w:rFonts w:ascii="標楷體" w:hAnsi="標楷體" w:hint="eastAsia"/>
          <w:b w:val="0"/>
          <w:bCs w:val="0"/>
          <w:sz w:val="24"/>
          <w:szCs w:val="24"/>
        </w:rPr>
        <w:t>心臟疾病、腦血</w:t>
      </w:r>
      <w:r w:rsidR="005E6E9F" w:rsidRPr="006F51FE">
        <w:rPr>
          <w:rFonts w:ascii="標楷體" w:hAnsi="標楷體" w:hint="eastAsia"/>
          <w:b w:val="0"/>
          <w:bCs w:val="0"/>
          <w:sz w:val="24"/>
          <w:szCs w:val="24"/>
        </w:rPr>
        <w:lastRenderedPageBreak/>
        <w:t>管疾病、腎臟病之防治成效仍有待強化。</w:t>
      </w:r>
      <w:r w:rsidR="000437BC" w:rsidRPr="006F51FE">
        <w:rPr>
          <w:rFonts w:ascii="標楷體" w:hAnsi="標楷體" w:hint="eastAsia"/>
          <w:b w:val="0"/>
          <w:bCs w:val="0"/>
          <w:sz w:val="24"/>
          <w:szCs w:val="24"/>
        </w:rPr>
        <w:t>現行</w:t>
      </w:r>
      <w:r w:rsidR="00310460" w:rsidRPr="006F51FE">
        <w:rPr>
          <w:rFonts w:ascii="標楷體" w:hAnsi="標楷體" w:hint="eastAsia"/>
          <w:b w:val="0"/>
          <w:bCs w:val="0"/>
          <w:sz w:val="24"/>
          <w:szCs w:val="24"/>
        </w:rPr>
        <w:t>三高防治888計畫照護對象僅納入「具診斷三高且已接受三高相關藥物治療」者，</w:t>
      </w:r>
      <w:r w:rsidR="005E6E9F" w:rsidRPr="006F51FE">
        <w:rPr>
          <w:rFonts w:ascii="標楷體" w:hAnsi="標楷體" w:hint="eastAsia"/>
          <w:b w:val="0"/>
          <w:bCs w:val="0"/>
          <w:sz w:val="24"/>
          <w:szCs w:val="24"/>
        </w:rPr>
        <w:t>至於經診斷為三高惟尚未接受相關藥物治療者，或未具三高診斷但屬心腦血管疾病或慢性腎臟病之高風險慢性病族群等，均尚未納入照護範圍，不利掌握三高相關疾病族群之照護情形。經函請健保署研謀策進，健全慢性病共同照護網絡</w:t>
      </w:r>
      <w:r w:rsidR="00FA22D3" w:rsidRPr="006F51FE">
        <w:rPr>
          <w:rFonts w:ascii="標楷體" w:hAnsi="標楷體" w:hint="eastAsia"/>
          <w:b w:val="0"/>
          <w:bCs w:val="0"/>
          <w:sz w:val="24"/>
          <w:szCs w:val="24"/>
        </w:rPr>
        <w:t>（下稱共照網）</w:t>
      </w:r>
      <w:r w:rsidR="005E6E9F" w:rsidRPr="006F51FE">
        <w:rPr>
          <w:rFonts w:ascii="標楷體" w:hAnsi="標楷體" w:hint="eastAsia"/>
          <w:b w:val="0"/>
          <w:bCs w:val="0"/>
          <w:sz w:val="24"/>
          <w:szCs w:val="24"/>
        </w:rPr>
        <w:t>，提升照護品質，俾利達成2030年健康臺灣政策目標。</w:t>
      </w:r>
      <w:r w:rsidR="005E6E9F" w:rsidRPr="006F51FE">
        <w:rPr>
          <w:rFonts w:ascii="標楷體" w:hAnsi="標楷體" w:hint="eastAsia"/>
          <w:b w:val="0"/>
          <w:sz w:val="24"/>
          <w:szCs w:val="24"/>
        </w:rPr>
        <w:t>據復：</w:t>
      </w:r>
      <w:r w:rsidR="00160C5E" w:rsidRPr="006F51FE">
        <w:rPr>
          <w:rFonts w:ascii="標楷體" w:hAnsi="標楷體" w:hint="eastAsia"/>
          <w:b w:val="0"/>
          <w:sz w:val="24"/>
          <w:szCs w:val="24"/>
        </w:rPr>
        <w:t>三高防治888計畫係以疾病前期及早期介入為核心，依疾病不同階段提供適切之整合性醫療照護，以提升照護品質及資源運用效益；另於115年推動高血脂</w:t>
      </w:r>
      <w:r w:rsidR="00962C75" w:rsidRPr="006F51FE">
        <w:rPr>
          <w:rFonts w:ascii="標楷體" w:hAnsi="標楷體" w:hint="eastAsia"/>
          <w:b w:val="0"/>
          <w:sz w:val="24"/>
          <w:szCs w:val="24"/>
        </w:rPr>
        <w:t>醫療給付改善方案</w:t>
      </w:r>
      <w:r w:rsidR="00160C5E" w:rsidRPr="006F51FE">
        <w:rPr>
          <w:rFonts w:ascii="標楷體" w:hAnsi="標楷體" w:hint="eastAsia"/>
          <w:b w:val="0"/>
          <w:sz w:val="24"/>
          <w:szCs w:val="24"/>
        </w:rPr>
        <w:t>及中醫三高病人加強照護方案，並規劃導入數位化工具追蹤病人健康數據，及透過健康幣</w:t>
      </w:r>
      <w:r w:rsidR="00962C75" w:rsidRPr="006F51FE">
        <w:rPr>
          <w:rFonts w:ascii="標楷體" w:hAnsi="標楷體" w:hint="eastAsia"/>
          <w:b w:val="0"/>
          <w:sz w:val="24"/>
          <w:szCs w:val="24"/>
        </w:rPr>
        <w:t>與</w:t>
      </w:r>
      <w:r w:rsidR="00160C5E" w:rsidRPr="006F51FE">
        <w:rPr>
          <w:rFonts w:ascii="標楷體" w:hAnsi="標楷體" w:hint="eastAsia"/>
          <w:b w:val="0"/>
          <w:sz w:val="24"/>
          <w:szCs w:val="24"/>
        </w:rPr>
        <w:t>個案管理費加成等獎勵機制，強化個案管理與定期追蹤，俾提升共照網病人照護涵蓋率及控制成效</w:t>
      </w:r>
      <w:r w:rsidR="00F12886" w:rsidRPr="006F51FE">
        <w:rPr>
          <w:rFonts w:ascii="標楷體" w:hAnsi="標楷體" w:hint="eastAsia"/>
          <w:b w:val="0"/>
          <w:sz w:val="24"/>
          <w:szCs w:val="24"/>
        </w:rPr>
        <w:t>。</w:t>
      </w:r>
    </w:p>
    <w:p w14:paraId="18BA345B" w14:textId="5C2A0B7F" w:rsidR="005E6E9F" w:rsidRPr="0085471A" w:rsidRDefault="005E6E9F" w:rsidP="006F51FE">
      <w:pPr>
        <w:pStyle w:val="af9"/>
        <w:tabs>
          <w:tab w:val="left" w:pos="4800"/>
          <w:tab w:val="left" w:pos="6720"/>
        </w:tabs>
        <w:overflowPunct w:val="0"/>
        <w:spacing w:beforeLines="0" w:before="0" w:afterLines="0" w:after="0" w:line="580" w:lineRule="exact"/>
        <w:ind w:firstLineChars="450" w:firstLine="1261"/>
        <w:rPr>
          <w:rFonts w:ascii="標楷體" w:hAnsi="標楷體"/>
        </w:rPr>
      </w:pPr>
      <w:r w:rsidRPr="0085471A">
        <w:rPr>
          <w:rFonts w:ascii="標楷體" w:hAnsi="標楷體" w:hint="eastAsia"/>
          <w:bCs w:val="0"/>
          <w:kern w:val="0"/>
        </w:rPr>
        <w:t xml:space="preserve">（3）　</w:t>
      </w:r>
      <w:r w:rsidRPr="0085471A">
        <w:rPr>
          <w:rFonts w:ascii="標楷體" w:hAnsi="標楷體" w:hint="eastAsia"/>
          <w:spacing w:val="6"/>
        </w:rPr>
        <w:t>健保署為管控整體藥費支出及提升藥品供應韌性</w:t>
      </w:r>
      <w:r w:rsidRPr="0085471A">
        <w:rPr>
          <w:rFonts w:ascii="標楷體" w:hAnsi="標楷體"/>
          <w:spacing w:val="6"/>
        </w:rPr>
        <w:t>，</w:t>
      </w:r>
      <w:r w:rsidRPr="0085471A">
        <w:rPr>
          <w:rFonts w:ascii="標楷體" w:hAnsi="標楷體" w:hint="eastAsia"/>
          <w:spacing w:val="6"/>
        </w:rPr>
        <w:t>推動藥品費用支出目標制、</w:t>
      </w:r>
      <w:r w:rsidR="00310460" w:rsidRPr="0085471A">
        <w:rPr>
          <w:rFonts w:ascii="標楷體" w:hAnsi="標楷體" w:hint="eastAsia"/>
          <w:spacing w:val="6"/>
        </w:rPr>
        <w:t>強化</w:t>
      </w:r>
      <w:r w:rsidRPr="0085471A">
        <w:rPr>
          <w:rFonts w:ascii="標楷體" w:hAnsi="標楷體" w:hint="eastAsia"/>
          <w:spacing w:val="6"/>
        </w:rPr>
        <w:t>重複用藥管理，</w:t>
      </w:r>
      <w:r w:rsidR="00310460" w:rsidRPr="0085471A">
        <w:rPr>
          <w:rFonts w:ascii="標楷體" w:hAnsi="標楷體" w:hint="eastAsia"/>
          <w:spacing w:val="6"/>
        </w:rPr>
        <w:t>及</w:t>
      </w:r>
      <w:r w:rsidRPr="0085471A">
        <w:rPr>
          <w:rFonts w:ascii="標楷體" w:hAnsi="標楷體" w:hint="eastAsia"/>
          <w:spacing w:val="6"/>
        </w:rPr>
        <w:t>鼓勵醫療院所使用生物相似性藥品</w:t>
      </w:r>
      <w:r w:rsidR="005913C3" w:rsidRPr="0085471A">
        <w:rPr>
          <w:rFonts w:ascii="標楷體" w:hAnsi="標楷體" w:hint="eastAsia"/>
          <w:spacing w:val="6"/>
        </w:rPr>
        <w:t>與</w:t>
      </w:r>
      <w:r w:rsidRPr="0085471A">
        <w:rPr>
          <w:rFonts w:ascii="標楷體" w:hAnsi="標楷體" w:hint="eastAsia"/>
          <w:spacing w:val="6"/>
        </w:rPr>
        <w:t>學名藥等</w:t>
      </w:r>
      <w:r w:rsidR="00310460" w:rsidRPr="0085471A">
        <w:rPr>
          <w:rFonts w:ascii="標楷體" w:hAnsi="標楷體" w:hint="eastAsia"/>
          <w:spacing w:val="6"/>
        </w:rPr>
        <w:t>措施</w:t>
      </w:r>
      <w:r w:rsidRPr="0085471A">
        <w:rPr>
          <w:rFonts w:ascii="標楷體" w:hAnsi="標楷體" w:hint="eastAsia"/>
          <w:spacing w:val="6"/>
        </w:rPr>
        <w:t>，惟</w:t>
      </w:r>
      <w:r w:rsidR="00310460" w:rsidRPr="0085471A">
        <w:rPr>
          <w:rFonts w:ascii="標楷體" w:hAnsi="標楷體" w:hint="eastAsia"/>
          <w:spacing w:val="6"/>
        </w:rPr>
        <w:t>藥品費用分配比率目標制尚待精進</w:t>
      </w:r>
      <w:r w:rsidRPr="0085471A">
        <w:rPr>
          <w:rFonts w:ascii="標楷體" w:hAnsi="標楷體" w:hint="eastAsia"/>
          <w:spacing w:val="6"/>
        </w:rPr>
        <w:t>，</w:t>
      </w:r>
      <w:r w:rsidR="00310460" w:rsidRPr="0085471A">
        <w:rPr>
          <w:rFonts w:ascii="標楷體" w:hAnsi="標楷體" w:hint="eastAsia"/>
          <w:spacing w:val="6"/>
        </w:rPr>
        <w:t>又</w:t>
      </w:r>
      <w:r w:rsidRPr="0085471A">
        <w:rPr>
          <w:rFonts w:ascii="標楷體" w:hAnsi="標楷體" w:hint="eastAsia"/>
          <w:spacing w:val="6"/>
        </w:rPr>
        <w:t>重複用藥管控、生物相似性藥品及學名藥</w:t>
      </w:r>
      <w:r w:rsidR="00310460" w:rsidRPr="0085471A">
        <w:rPr>
          <w:rFonts w:ascii="標楷體" w:hAnsi="標楷體" w:hint="eastAsia"/>
          <w:spacing w:val="6"/>
        </w:rPr>
        <w:t>推廣</w:t>
      </w:r>
      <w:r w:rsidRPr="0085471A">
        <w:rPr>
          <w:rFonts w:ascii="標楷體" w:hAnsi="標楷體" w:hint="eastAsia"/>
          <w:spacing w:val="6"/>
        </w:rPr>
        <w:t>情形未達預期目標，允宜研謀改善，以減省藥品支出及強化國家供藥韌性。</w:t>
      </w:r>
    </w:p>
    <w:p w14:paraId="3A774FE4" w14:textId="4CBE7DC8" w:rsidR="005E6E9F" w:rsidRPr="006F51FE" w:rsidRDefault="005E6E9F" w:rsidP="006F51FE">
      <w:pPr>
        <w:pStyle w:val="af9"/>
        <w:overflowPunct w:val="0"/>
        <w:spacing w:beforeLines="0" w:before="0" w:afterLines="0" w:after="0" w:line="580" w:lineRule="exact"/>
        <w:ind w:firstLine="480"/>
        <w:rPr>
          <w:rFonts w:ascii="標楷體" w:hAnsi="標楷體"/>
          <w:b w:val="0"/>
          <w:sz w:val="24"/>
          <w:szCs w:val="24"/>
        </w:rPr>
      </w:pPr>
      <w:r w:rsidRPr="006F51FE">
        <w:rPr>
          <w:rFonts w:ascii="標楷體" w:hAnsi="標楷體" w:hint="eastAsia"/>
          <w:b w:val="0"/>
          <w:sz w:val="24"/>
          <w:szCs w:val="24"/>
        </w:rPr>
        <w:t>隨人口老化、慢性病醫療需求增加，又受新藥、新醫療科技陸續納入</w:t>
      </w:r>
      <w:r w:rsidR="006F51FE" w:rsidRPr="006F51FE">
        <w:rPr>
          <w:rFonts w:ascii="標楷體" w:hAnsi="標楷體" w:hint="eastAsia"/>
          <w:b w:val="0"/>
          <w:sz w:val="24"/>
          <w:szCs w:val="24"/>
        </w:rPr>
        <w:t>全民健康保險</w:t>
      </w:r>
      <w:r w:rsidR="006F51FE">
        <w:rPr>
          <w:rFonts w:ascii="標楷體" w:hAnsi="標楷體" w:hint="eastAsia"/>
          <w:b w:val="0"/>
          <w:sz w:val="24"/>
          <w:szCs w:val="24"/>
        </w:rPr>
        <w:t>（</w:t>
      </w:r>
      <w:r w:rsidR="006F51FE" w:rsidRPr="006F51FE">
        <w:rPr>
          <w:rFonts w:ascii="標楷體" w:hAnsi="標楷體" w:hint="eastAsia"/>
          <w:b w:val="0"/>
          <w:sz w:val="24"/>
          <w:szCs w:val="24"/>
        </w:rPr>
        <w:t>下稱</w:t>
      </w:r>
      <w:r w:rsidRPr="006F51FE">
        <w:rPr>
          <w:rFonts w:ascii="標楷體" w:hAnsi="標楷體" w:hint="eastAsia"/>
          <w:b w:val="0"/>
          <w:sz w:val="24"/>
          <w:szCs w:val="24"/>
        </w:rPr>
        <w:t>健保</w:t>
      </w:r>
      <w:r w:rsidR="006F51FE">
        <w:rPr>
          <w:rFonts w:ascii="標楷體" w:hAnsi="標楷體" w:hint="eastAsia"/>
          <w:b w:val="0"/>
          <w:sz w:val="24"/>
          <w:szCs w:val="24"/>
        </w:rPr>
        <w:t>）</w:t>
      </w:r>
      <w:r w:rsidRPr="006F51FE">
        <w:rPr>
          <w:rFonts w:ascii="標楷體" w:hAnsi="標楷體" w:hint="eastAsia"/>
          <w:b w:val="0"/>
          <w:sz w:val="24"/>
          <w:szCs w:val="24"/>
        </w:rPr>
        <w:t>給付等影響，健保醫療費用由110年度7,842億餘點，逐步成長至114年度9,379億餘點，同期間藥費申報點數占醫療費用之比率介於27.32％至28.64％間，其中112、114年度藥費申報點數成長率甚超逾健保總額成長率，藥費支出占比龐鉅，壓縮其他醫療服務項目配</w:t>
      </w:r>
      <w:r w:rsidR="00310460" w:rsidRPr="006F51FE">
        <w:rPr>
          <w:rFonts w:ascii="標楷體" w:hAnsi="標楷體" w:hint="eastAsia"/>
          <w:b w:val="0"/>
          <w:sz w:val="24"/>
          <w:szCs w:val="24"/>
        </w:rPr>
        <w:t>置</w:t>
      </w:r>
      <w:r w:rsidRPr="006F51FE">
        <w:rPr>
          <w:rFonts w:ascii="標楷體" w:hAnsi="標楷體" w:hint="eastAsia"/>
          <w:b w:val="0"/>
          <w:sz w:val="24"/>
          <w:szCs w:val="24"/>
        </w:rPr>
        <w:t>之預算資源。中央健康保險署（下稱健保署）為管控整體藥費支出，推動健保藥品費用分配比率目標制（Drug Expenditure Target, DET）</w:t>
      </w:r>
      <w:r w:rsidRPr="006F51FE">
        <w:rPr>
          <w:rFonts w:ascii="標楷體" w:hAnsi="標楷體" w:hint="eastAsia"/>
          <w:b w:val="0"/>
          <w:bCs w:val="0"/>
          <w:sz w:val="24"/>
          <w:szCs w:val="24"/>
        </w:rPr>
        <w:t>試辦方案</w:t>
      </w:r>
      <w:r w:rsidRPr="006F51FE">
        <w:rPr>
          <w:rFonts w:ascii="標楷體" w:hAnsi="標楷體" w:hint="eastAsia"/>
          <w:b w:val="0"/>
          <w:sz w:val="24"/>
          <w:szCs w:val="24"/>
        </w:rPr>
        <w:t>及門診特定藥品重複用藥費用管理方案。復為優化藥費支出結構並提升藥品供應韌性，推動使用生物相似性藥品及學名藥之鼓勵試辦計畫</w:t>
      </w:r>
      <w:r w:rsidR="00310460" w:rsidRPr="006F51FE">
        <w:rPr>
          <w:rFonts w:ascii="標楷體" w:hAnsi="標楷體" w:hint="eastAsia"/>
          <w:b w:val="0"/>
          <w:sz w:val="24"/>
          <w:szCs w:val="24"/>
        </w:rPr>
        <w:t>。</w:t>
      </w:r>
      <w:r w:rsidRPr="006F51FE">
        <w:rPr>
          <w:rFonts w:ascii="標楷體" w:hAnsi="標楷體" w:hint="eastAsia"/>
          <w:b w:val="0"/>
          <w:sz w:val="24"/>
          <w:szCs w:val="24"/>
        </w:rPr>
        <w:t>經查相關計畫執行情形，核有下列事項：</w:t>
      </w:r>
    </w:p>
    <w:p w14:paraId="6F080BEF" w14:textId="77777777" w:rsidR="00692EC7" w:rsidRDefault="005E6E9F" w:rsidP="001E2E5C">
      <w:pPr>
        <w:pStyle w:val="af9"/>
        <w:overflowPunct w:val="0"/>
        <w:spacing w:beforeLines="0" w:before="0" w:afterLines="0" w:after="0" w:line="600" w:lineRule="exact"/>
        <w:ind w:firstLineChars="700" w:firstLine="1682"/>
        <w:rPr>
          <w:rFonts w:hAnsi="標楷體"/>
          <w:noProof/>
          <w:color w:val="000000" w:themeColor="text1"/>
          <w:sz w:val="24"/>
          <w:szCs w:val="24"/>
          <w:lang w:val="zh-TW"/>
        </w:rPr>
      </w:pPr>
      <w:r>
        <w:rPr>
          <w:rFonts w:ascii="標楷體" w:hAnsi="標楷體" w:hint="eastAsia"/>
          <w:sz w:val="24"/>
          <w:szCs w:val="24"/>
        </w:rPr>
        <w:t xml:space="preserve">A.　</w:t>
      </w:r>
      <w:r w:rsidRPr="008F37E7">
        <w:rPr>
          <w:rFonts w:hAnsi="標楷體" w:hint="eastAsia"/>
          <w:noProof/>
          <w:color w:val="000000" w:themeColor="text1"/>
          <w:sz w:val="24"/>
          <w:szCs w:val="24"/>
          <w:lang w:val="zh-TW"/>
        </w:rPr>
        <w:t>健保藥品費用分配比率目標制</w:t>
      </w:r>
      <w:r w:rsidR="005913C3">
        <w:rPr>
          <w:rFonts w:hAnsi="標楷體" w:hint="eastAsia"/>
          <w:noProof/>
          <w:color w:val="000000" w:themeColor="text1"/>
          <w:sz w:val="24"/>
          <w:szCs w:val="24"/>
          <w:lang w:val="zh-TW"/>
        </w:rPr>
        <w:t>推行</w:t>
      </w:r>
      <w:r w:rsidRPr="008F37E7">
        <w:rPr>
          <w:rFonts w:hAnsi="標楷體" w:hint="eastAsia"/>
          <w:noProof/>
          <w:color w:val="000000" w:themeColor="text1"/>
          <w:sz w:val="24"/>
          <w:szCs w:val="24"/>
          <w:lang w:val="zh-TW"/>
        </w:rPr>
        <w:t>多年，增進藥價調整之可預測性，惟年度藥品費用支出目標值未隨實際藥費支出情形適時調整，與實際藥費支出長期存有落差，又囿於藥價調</w:t>
      </w:r>
    </w:p>
    <w:p w14:paraId="0E40A696" w14:textId="71E7E762" w:rsidR="005E6E9F" w:rsidRPr="0085471A" w:rsidRDefault="00692EC7" w:rsidP="00692EC7">
      <w:pPr>
        <w:pStyle w:val="af9"/>
        <w:overflowPunct w:val="0"/>
        <w:spacing w:beforeLines="0" w:before="0" w:afterLines="0" w:after="0" w:line="636" w:lineRule="exact"/>
        <w:ind w:firstLineChars="0" w:firstLine="0"/>
        <w:rPr>
          <w:rFonts w:ascii="標楷體" w:hAnsi="標楷體"/>
          <w:b w:val="0"/>
          <w:sz w:val="24"/>
          <w:szCs w:val="24"/>
        </w:rPr>
      </w:pPr>
      <w:r w:rsidRPr="00DB3660">
        <w:rPr>
          <w:rFonts w:ascii="標楷體" w:hAnsi="標楷體" w:cs="標楷體"/>
          <w:noProof/>
          <w:szCs w:val="32"/>
          <w:shd w:val="pct15" w:color="auto" w:fill="FFFFFF"/>
        </w:rPr>
        <w:lastRenderedPageBreak/>
        <mc:AlternateContent>
          <mc:Choice Requires="wps">
            <w:drawing>
              <wp:anchor distT="0" distB="0" distL="144145" distR="71755" simplePos="0" relativeHeight="251678720" behindDoc="1" locked="0" layoutInCell="1" allowOverlap="1" wp14:anchorId="5B75F4B9" wp14:editId="44A8CD69">
                <wp:simplePos x="0" y="0"/>
                <wp:positionH relativeFrom="column">
                  <wp:posOffset>3248776</wp:posOffset>
                </wp:positionH>
                <wp:positionV relativeFrom="paragraph">
                  <wp:posOffset>2562514</wp:posOffset>
                </wp:positionV>
                <wp:extent cx="3275965" cy="5451475"/>
                <wp:effectExtent l="0" t="0" r="635"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5965" cy="5451475"/>
                        </a:xfrm>
                        <a:prstGeom prst="rect">
                          <a:avLst/>
                        </a:prstGeom>
                        <a:noFill/>
                        <a:ln w="9525">
                          <a:noFill/>
                          <a:miter lim="800000"/>
                          <a:headEnd/>
                          <a:tailEnd/>
                        </a:ln>
                      </wps:spPr>
                      <wps:txbx>
                        <w:txbxContent>
                          <w:p w14:paraId="38323F42" w14:textId="77777777" w:rsidR="00692EC7" w:rsidRPr="00E259F6" w:rsidRDefault="00692EC7" w:rsidP="00692EC7">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6</w:t>
                            </w:r>
                            <w:r w:rsidRPr="0083054F">
                              <w:rPr>
                                <w:rFonts w:ascii="標楷體" w:eastAsia="標楷體" w:hAnsi="標楷體"/>
                                <w:b/>
                                <w:szCs w:val="28"/>
                              </w:rPr>
                              <w:t xml:space="preserve">　</w:t>
                            </w:r>
                            <w:r w:rsidRPr="00251157">
                              <w:rPr>
                                <w:rFonts w:ascii="標楷體" w:eastAsia="標楷體" w:hAnsi="標楷體" w:hint="eastAsia"/>
                                <w:b/>
                                <w:spacing w:val="-6"/>
                                <w:szCs w:val="28"/>
                              </w:rPr>
                              <w:t>DET試辦方案藥價調整情形</w:t>
                            </w:r>
                          </w:p>
                          <w:p w14:paraId="7AB19F64" w14:textId="77777777" w:rsidR="00692EC7" w:rsidRDefault="00692EC7" w:rsidP="00692EC7">
                            <w:pPr>
                              <w:spacing w:beforeLines="20" w:before="72" w:line="200" w:lineRule="exact"/>
                              <w:ind w:rightChars="46" w:right="110"/>
                              <w:jc w:val="right"/>
                              <w:rPr>
                                <w:rFonts w:ascii="標楷體" w:eastAsia="標楷體" w:hAnsi="標楷體"/>
                                <w:sz w:val="20"/>
                                <w:szCs w:val="20"/>
                              </w:rPr>
                            </w:pPr>
                            <w:r w:rsidRPr="0034726D">
                              <w:rPr>
                                <w:rFonts w:ascii="標楷體" w:eastAsia="標楷體" w:hAnsi="標楷體" w:hint="eastAsia"/>
                                <w:sz w:val="20"/>
                                <w:szCs w:val="20"/>
                              </w:rPr>
                              <w:t>單位：</w:t>
                            </w:r>
                            <w:r w:rsidRPr="00251157">
                              <w:rPr>
                                <w:rFonts w:ascii="標楷體" w:eastAsia="標楷體" w:hAnsi="標楷體" w:hint="eastAsia"/>
                                <w:sz w:val="20"/>
                                <w:szCs w:val="20"/>
                              </w:rPr>
                              <w:t>新臺幣億元</w:t>
                            </w:r>
                          </w:p>
                          <w:tbl>
                            <w:tblPr>
                              <w:tblW w:w="5040" w:type="dxa"/>
                              <w:tblInd w:w="-5" w:type="dxa"/>
                              <w:tblCellMar>
                                <w:left w:w="28" w:type="dxa"/>
                                <w:right w:w="28" w:type="dxa"/>
                              </w:tblCellMar>
                              <w:tblLook w:val="04A0" w:firstRow="1" w:lastRow="0" w:firstColumn="1" w:lastColumn="0" w:noHBand="0" w:noVBand="1"/>
                            </w:tblPr>
                            <w:tblGrid>
                              <w:gridCol w:w="659"/>
                              <w:gridCol w:w="901"/>
                              <w:gridCol w:w="960"/>
                              <w:gridCol w:w="1080"/>
                              <w:gridCol w:w="1440"/>
                            </w:tblGrid>
                            <w:tr w:rsidR="00692EC7" w:rsidRPr="00E05EC1" w14:paraId="52DF4AEB" w14:textId="77777777" w:rsidTr="006F51FE">
                              <w:trPr>
                                <w:trHeight w:val="794"/>
                              </w:trPr>
                              <w:tc>
                                <w:tcPr>
                                  <w:tcW w:w="659" w:type="dxa"/>
                                  <w:vMerge w:val="restart"/>
                                  <w:tcBorders>
                                    <w:top w:val="single" w:sz="4" w:space="0" w:color="auto"/>
                                    <w:left w:val="single" w:sz="4" w:space="0" w:color="auto"/>
                                    <w:right w:val="single" w:sz="4" w:space="0" w:color="auto"/>
                                  </w:tcBorders>
                                  <w:vAlign w:val="center"/>
                                  <w:hideMark/>
                                </w:tcPr>
                                <w:p w14:paraId="0B3CA60F"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bookmarkStart w:id="4" w:name="_Hlk233100406"/>
                                  <w:r w:rsidRPr="00E05EC1">
                                    <w:rPr>
                                      <w:rFonts w:ascii="標楷體" w:eastAsia="標楷體" w:hAnsi="標楷體" w:cs="新細明體" w:hint="eastAsia"/>
                                      <w:sz w:val="20"/>
                                      <w:szCs w:val="20"/>
                                    </w:rPr>
                                    <w:t>年度</w:t>
                                  </w:r>
                                </w:p>
                              </w:tc>
                              <w:tc>
                                <w:tcPr>
                                  <w:tcW w:w="901" w:type="dxa"/>
                                  <w:vMerge w:val="restart"/>
                                  <w:tcBorders>
                                    <w:top w:val="single" w:sz="4" w:space="0" w:color="auto"/>
                                    <w:left w:val="nil"/>
                                    <w:right w:val="single" w:sz="4" w:space="0" w:color="auto"/>
                                  </w:tcBorders>
                                  <w:vAlign w:val="center"/>
                                </w:tcPr>
                                <w:p w14:paraId="30BB4220"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目標值</w:t>
                                  </w:r>
                                </w:p>
                              </w:tc>
                              <w:tc>
                                <w:tcPr>
                                  <w:tcW w:w="960" w:type="dxa"/>
                                  <w:vMerge w:val="restart"/>
                                  <w:tcBorders>
                                    <w:top w:val="single" w:sz="4" w:space="0" w:color="auto"/>
                                    <w:left w:val="nil"/>
                                    <w:right w:val="double" w:sz="4" w:space="0" w:color="auto"/>
                                  </w:tcBorders>
                                  <w:vAlign w:val="center"/>
                                  <w:hideMark/>
                                </w:tcPr>
                                <w:p w14:paraId="1AE493B4"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藥品費用核付金額</w:t>
                                  </w:r>
                                </w:p>
                              </w:tc>
                              <w:tc>
                                <w:tcPr>
                                  <w:tcW w:w="1080" w:type="dxa"/>
                                  <w:vMerge w:val="restart"/>
                                  <w:tcBorders>
                                    <w:top w:val="single" w:sz="4" w:space="0" w:color="auto"/>
                                    <w:left w:val="nil"/>
                                    <w:right w:val="single" w:sz="4" w:space="0" w:color="auto"/>
                                  </w:tcBorders>
                                  <w:vAlign w:val="center"/>
                                  <w:hideMark/>
                                </w:tcPr>
                                <w:p w14:paraId="4E031E35" w14:textId="77777777" w:rsidR="00692EC7"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超出目標值之額度</w:t>
                                  </w:r>
                                </w:p>
                                <w:p w14:paraId="68AAAB79"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Pr>
                                      <w:rFonts w:ascii="標楷體" w:eastAsia="標楷體" w:hAnsi="標楷體" w:cs="新細明體" w:hint="eastAsia"/>
                                      <w:sz w:val="20"/>
                                      <w:szCs w:val="20"/>
                                    </w:rPr>
                                    <w:t>（註1）</w:t>
                                  </w:r>
                                </w:p>
                              </w:tc>
                              <w:tc>
                                <w:tcPr>
                                  <w:tcW w:w="1440" w:type="dxa"/>
                                  <w:vMerge w:val="restart"/>
                                  <w:tcBorders>
                                    <w:top w:val="single" w:sz="4" w:space="0" w:color="auto"/>
                                    <w:left w:val="nil"/>
                                    <w:right w:val="single" w:sz="4" w:space="0" w:color="auto"/>
                                  </w:tcBorders>
                                  <w:vAlign w:val="center"/>
                                  <w:hideMark/>
                                </w:tcPr>
                                <w:p w14:paraId="76812116"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目標值低於前一年度藥品費用核付金額之差額</w:t>
                                  </w:r>
                                </w:p>
                              </w:tc>
                            </w:tr>
                            <w:tr w:rsidR="00692EC7" w:rsidRPr="00E05EC1" w14:paraId="2DBD977F" w14:textId="77777777" w:rsidTr="00310460">
                              <w:trPr>
                                <w:trHeight w:val="260"/>
                              </w:trPr>
                              <w:tc>
                                <w:tcPr>
                                  <w:tcW w:w="659" w:type="dxa"/>
                                  <w:vMerge/>
                                  <w:tcBorders>
                                    <w:left w:val="single" w:sz="4" w:space="0" w:color="auto"/>
                                    <w:bottom w:val="single" w:sz="4" w:space="0" w:color="auto"/>
                                    <w:right w:val="single" w:sz="4" w:space="0" w:color="auto"/>
                                  </w:tcBorders>
                                  <w:vAlign w:val="center"/>
                                </w:tcPr>
                                <w:p w14:paraId="5B49F203"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901" w:type="dxa"/>
                                  <w:vMerge/>
                                  <w:tcBorders>
                                    <w:left w:val="nil"/>
                                    <w:bottom w:val="single" w:sz="4" w:space="0" w:color="auto"/>
                                    <w:right w:val="single" w:sz="4" w:space="0" w:color="auto"/>
                                  </w:tcBorders>
                                  <w:vAlign w:val="center"/>
                                </w:tcPr>
                                <w:p w14:paraId="3ED6325C"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960" w:type="dxa"/>
                                  <w:vMerge/>
                                  <w:tcBorders>
                                    <w:left w:val="nil"/>
                                    <w:bottom w:val="single" w:sz="4" w:space="0" w:color="auto"/>
                                    <w:right w:val="double" w:sz="4" w:space="0" w:color="auto"/>
                                  </w:tcBorders>
                                  <w:vAlign w:val="center"/>
                                </w:tcPr>
                                <w:p w14:paraId="3A56C206"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1080" w:type="dxa"/>
                                  <w:vMerge/>
                                  <w:tcBorders>
                                    <w:left w:val="nil"/>
                                    <w:bottom w:val="single" w:sz="4" w:space="0" w:color="auto"/>
                                    <w:right w:val="single" w:sz="4" w:space="0" w:color="auto"/>
                                  </w:tcBorders>
                                  <w:vAlign w:val="center"/>
                                </w:tcPr>
                                <w:p w14:paraId="2D5E2869"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1440" w:type="dxa"/>
                                  <w:vMerge/>
                                  <w:tcBorders>
                                    <w:left w:val="nil"/>
                                    <w:bottom w:val="single" w:sz="4" w:space="0" w:color="auto"/>
                                    <w:right w:val="single" w:sz="4" w:space="0" w:color="auto"/>
                                  </w:tcBorders>
                                  <w:vAlign w:val="center"/>
                                </w:tcPr>
                                <w:p w14:paraId="104121E2" w14:textId="77777777" w:rsidR="00692EC7" w:rsidRPr="00E05EC1" w:rsidRDefault="00692EC7" w:rsidP="00251157">
                                  <w:pPr>
                                    <w:widowControl/>
                                    <w:ind w:rightChars="10" w:right="24"/>
                                    <w:jc w:val="center"/>
                                    <w:rPr>
                                      <w:rFonts w:ascii="標楷體" w:eastAsia="標楷體" w:hAnsi="標楷體" w:cs="新細明體"/>
                                      <w:sz w:val="20"/>
                                      <w:szCs w:val="20"/>
                                    </w:rPr>
                                  </w:pPr>
                                </w:p>
                              </w:tc>
                            </w:tr>
                            <w:tr w:rsidR="00692EC7" w:rsidRPr="00E05EC1" w14:paraId="60B78714"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5D69A60C"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102</w:t>
                                  </w:r>
                                </w:p>
                              </w:tc>
                              <w:tc>
                                <w:tcPr>
                                  <w:tcW w:w="901" w:type="dxa"/>
                                  <w:tcBorders>
                                    <w:top w:val="nil"/>
                                    <w:left w:val="nil"/>
                                    <w:bottom w:val="single" w:sz="4" w:space="0" w:color="auto"/>
                                    <w:right w:val="single" w:sz="4" w:space="0" w:color="auto"/>
                                  </w:tcBorders>
                                  <w:vAlign w:val="center"/>
                                </w:tcPr>
                                <w:p w14:paraId="3913FC1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1,380.0</w:t>
                                  </w:r>
                                </w:p>
                              </w:tc>
                              <w:tc>
                                <w:tcPr>
                                  <w:tcW w:w="960" w:type="dxa"/>
                                  <w:tcBorders>
                                    <w:top w:val="nil"/>
                                    <w:left w:val="nil"/>
                                    <w:bottom w:val="single" w:sz="4" w:space="0" w:color="auto"/>
                                    <w:right w:val="double" w:sz="4" w:space="0" w:color="auto"/>
                                  </w:tcBorders>
                                  <w:noWrap/>
                                  <w:vAlign w:val="center"/>
                                  <w:hideMark/>
                                </w:tcPr>
                                <w:p w14:paraId="4EB9EC9F"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1,436.7</w:t>
                                  </w:r>
                                </w:p>
                              </w:tc>
                              <w:tc>
                                <w:tcPr>
                                  <w:tcW w:w="1080" w:type="dxa"/>
                                  <w:tcBorders>
                                    <w:top w:val="nil"/>
                                    <w:left w:val="nil"/>
                                    <w:bottom w:val="single" w:sz="4" w:space="0" w:color="auto"/>
                                    <w:right w:val="single" w:sz="4" w:space="0" w:color="auto"/>
                                  </w:tcBorders>
                                  <w:noWrap/>
                                  <w:vAlign w:val="center"/>
                                  <w:hideMark/>
                                </w:tcPr>
                                <w:p w14:paraId="4DB75E7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56.7</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0EAEBDE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p>
                              </w:tc>
                            </w:tr>
                            <w:tr w:rsidR="00692EC7" w:rsidRPr="00E05EC1" w14:paraId="32D568B2"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7BC5ED64"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103</w:t>
                                  </w:r>
                                </w:p>
                              </w:tc>
                              <w:tc>
                                <w:tcPr>
                                  <w:tcW w:w="901" w:type="dxa"/>
                                  <w:tcBorders>
                                    <w:top w:val="nil"/>
                                    <w:left w:val="nil"/>
                                    <w:bottom w:val="single" w:sz="4" w:space="0" w:color="auto"/>
                                    <w:right w:val="single" w:sz="4" w:space="0" w:color="auto"/>
                                  </w:tcBorders>
                                  <w:vAlign w:val="center"/>
                                </w:tcPr>
                                <w:p w14:paraId="7331217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1,425.6</w:t>
                                  </w:r>
                                </w:p>
                              </w:tc>
                              <w:tc>
                                <w:tcPr>
                                  <w:tcW w:w="960" w:type="dxa"/>
                                  <w:tcBorders>
                                    <w:top w:val="nil"/>
                                    <w:left w:val="nil"/>
                                    <w:bottom w:val="single" w:sz="4" w:space="0" w:color="auto"/>
                                    <w:right w:val="double" w:sz="4" w:space="0" w:color="auto"/>
                                  </w:tcBorders>
                                  <w:noWrap/>
                                  <w:vAlign w:val="center"/>
                                  <w:hideMark/>
                                </w:tcPr>
                                <w:p w14:paraId="3EDCDFAA"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1,507.7</w:t>
                                  </w:r>
                                </w:p>
                              </w:tc>
                              <w:tc>
                                <w:tcPr>
                                  <w:tcW w:w="1080" w:type="dxa"/>
                                  <w:tcBorders>
                                    <w:top w:val="nil"/>
                                    <w:left w:val="nil"/>
                                    <w:bottom w:val="single" w:sz="4" w:space="0" w:color="auto"/>
                                    <w:right w:val="single" w:sz="4" w:space="0" w:color="auto"/>
                                  </w:tcBorders>
                                  <w:noWrap/>
                                  <w:vAlign w:val="center"/>
                                  <w:hideMark/>
                                </w:tcPr>
                                <w:p w14:paraId="3A7D6116"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82.1</w:t>
                                  </w:r>
                                </w:p>
                              </w:tc>
                              <w:tc>
                                <w:tcPr>
                                  <w:tcW w:w="1440" w:type="dxa"/>
                                  <w:tcBorders>
                                    <w:top w:val="nil"/>
                                    <w:left w:val="nil"/>
                                    <w:bottom w:val="single" w:sz="4" w:space="0" w:color="auto"/>
                                    <w:right w:val="single" w:sz="4" w:space="0" w:color="auto"/>
                                  </w:tcBorders>
                                  <w:noWrap/>
                                  <w:vAlign w:val="center"/>
                                  <w:hideMark/>
                                </w:tcPr>
                                <w:p w14:paraId="77026B25"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11.1</w:t>
                                  </w:r>
                                </w:p>
                              </w:tc>
                            </w:tr>
                            <w:tr w:rsidR="00692EC7" w:rsidRPr="00E05EC1" w14:paraId="35544153"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401E510D"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104</w:t>
                                  </w:r>
                                </w:p>
                              </w:tc>
                              <w:tc>
                                <w:tcPr>
                                  <w:tcW w:w="901" w:type="dxa"/>
                                  <w:tcBorders>
                                    <w:top w:val="nil"/>
                                    <w:left w:val="nil"/>
                                    <w:bottom w:val="single" w:sz="4" w:space="0" w:color="auto"/>
                                    <w:right w:val="single" w:sz="4" w:space="0" w:color="auto"/>
                                  </w:tcBorders>
                                  <w:vAlign w:val="center"/>
                                </w:tcPr>
                                <w:p w14:paraId="66183823"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1,475.2</w:t>
                                  </w:r>
                                </w:p>
                              </w:tc>
                              <w:tc>
                                <w:tcPr>
                                  <w:tcW w:w="960" w:type="dxa"/>
                                  <w:tcBorders>
                                    <w:top w:val="nil"/>
                                    <w:left w:val="nil"/>
                                    <w:bottom w:val="single" w:sz="4" w:space="0" w:color="auto"/>
                                    <w:right w:val="double" w:sz="4" w:space="0" w:color="auto"/>
                                  </w:tcBorders>
                                  <w:noWrap/>
                                  <w:vAlign w:val="center"/>
                                  <w:hideMark/>
                                </w:tcPr>
                                <w:p w14:paraId="4A2E7D7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1,507.0</w:t>
                                  </w:r>
                                </w:p>
                              </w:tc>
                              <w:tc>
                                <w:tcPr>
                                  <w:tcW w:w="1080" w:type="dxa"/>
                                  <w:tcBorders>
                                    <w:top w:val="nil"/>
                                    <w:left w:val="nil"/>
                                    <w:bottom w:val="single" w:sz="4" w:space="0" w:color="auto"/>
                                    <w:right w:val="single" w:sz="4" w:space="0" w:color="auto"/>
                                  </w:tcBorders>
                                  <w:noWrap/>
                                  <w:vAlign w:val="center"/>
                                  <w:hideMark/>
                                </w:tcPr>
                                <w:p w14:paraId="748F3303"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31.8</w:t>
                                  </w:r>
                                </w:p>
                              </w:tc>
                              <w:tc>
                                <w:tcPr>
                                  <w:tcW w:w="1440" w:type="dxa"/>
                                  <w:tcBorders>
                                    <w:top w:val="nil"/>
                                    <w:left w:val="nil"/>
                                    <w:bottom w:val="single" w:sz="4" w:space="0" w:color="auto"/>
                                    <w:right w:val="single" w:sz="4" w:space="0" w:color="auto"/>
                                  </w:tcBorders>
                                  <w:noWrap/>
                                  <w:vAlign w:val="center"/>
                                  <w:hideMark/>
                                </w:tcPr>
                                <w:p w14:paraId="34A4E79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32.5</w:t>
                                  </w:r>
                                </w:p>
                              </w:tc>
                            </w:tr>
                            <w:tr w:rsidR="00692EC7" w:rsidRPr="00E05EC1" w14:paraId="6E4DCBE1"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7C5AE7F6"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105</w:t>
                                  </w:r>
                                </w:p>
                              </w:tc>
                              <w:tc>
                                <w:tcPr>
                                  <w:tcW w:w="901" w:type="dxa"/>
                                  <w:tcBorders>
                                    <w:top w:val="nil"/>
                                    <w:left w:val="nil"/>
                                    <w:bottom w:val="single" w:sz="4" w:space="0" w:color="auto"/>
                                    <w:right w:val="single" w:sz="4" w:space="0" w:color="auto"/>
                                  </w:tcBorders>
                                  <w:vAlign w:val="center"/>
                                </w:tcPr>
                                <w:p w14:paraId="4681CE4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1,548.2</w:t>
                                  </w:r>
                                </w:p>
                              </w:tc>
                              <w:tc>
                                <w:tcPr>
                                  <w:tcW w:w="960" w:type="dxa"/>
                                  <w:tcBorders>
                                    <w:top w:val="nil"/>
                                    <w:left w:val="nil"/>
                                    <w:bottom w:val="single" w:sz="4" w:space="0" w:color="auto"/>
                                    <w:right w:val="double" w:sz="4" w:space="0" w:color="auto"/>
                                  </w:tcBorders>
                                  <w:noWrap/>
                                  <w:vAlign w:val="center"/>
                                  <w:hideMark/>
                                </w:tcPr>
                                <w:p w14:paraId="7CD2D0F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1,605.3</w:t>
                                  </w:r>
                                </w:p>
                              </w:tc>
                              <w:tc>
                                <w:tcPr>
                                  <w:tcW w:w="1080" w:type="dxa"/>
                                  <w:tcBorders>
                                    <w:top w:val="nil"/>
                                    <w:left w:val="nil"/>
                                    <w:bottom w:val="single" w:sz="4" w:space="0" w:color="auto"/>
                                    <w:right w:val="single" w:sz="4" w:space="0" w:color="auto"/>
                                  </w:tcBorders>
                                  <w:noWrap/>
                                  <w:vAlign w:val="center"/>
                                  <w:hideMark/>
                                </w:tcPr>
                                <w:p w14:paraId="3EA7211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57.1</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2CAC6FE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w:t>
                                  </w:r>
                                </w:p>
                              </w:tc>
                            </w:tr>
                            <w:tr w:rsidR="00692EC7" w:rsidRPr="00E05EC1" w14:paraId="51CB8EE0"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9936436"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106</w:t>
                                  </w:r>
                                </w:p>
                              </w:tc>
                              <w:tc>
                                <w:tcPr>
                                  <w:tcW w:w="901" w:type="dxa"/>
                                  <w:tcBorders>
                                    <w:top w:val="nil"/>
                                    <w:left w:val="nil"/>
                                    <w:bottom w:val="single" w:sz="4" w:space="0" w:color="auto"/>
                                    <w:right w:val="single" w:sz="4" w:space="0" w:color="auto"/>
                                  </w:tcBorders>
                                  <w:vAlign w:val="center"/>
                                </w:tcPr>
                                <w:p w14:paraId="66782DA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1,511.0</w:t>
                                  </w:r>
                                </w:p>
                              </w:tc>
                              <w:tc>
                                <w:tcPr>
                                  <w:tcW w:w="960" w:type="dxa"/>
                                  <w:tcBorders>
                                    <w:top w:val="nil"/>
                                    <w:left w:val="nil"/>
                                    <w:bottom w:val="single" w:sz="4" w:space="0" w:color="auto"/>
                                    <w:right w:val="double" w:sz="4" w:space="0" w:color="auto"/>
                                  </w:tcBorders>
                                  <w:noWrap/>
                                  <w:vAlign w:val="center"/>
                                  <w:hideMark/>
                                </w:tcPr>
                                <w:p w14:paraId="2B7B544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1,594.4</w:t>
                                  </w:r>
                                </w:p>
                              </w:tc>
                              <w:tc>
                                <w:tcPr>
                                  <w:tcW w:w="1080" w:type="dxa"/>
                                  <w:tcBorders>
                                    <w:top w:val="nil"/>
                                    <w:left w:val="nil"/>
                                    <w:bottom w:val="single" w:sz="4" w:space="0" w:color="auto"/>
                                    <w:right w:val="single" w:sz="4" w:space="0" w:color="auto"/>
                                  </w:tcBorders>
                                  <w:noWrap/>
                                  <w:vAlign w:val="center"/>
                                  <w:hideMark/>
                                </w:tcPr>
                                <w:p w14:paraId="355DED82"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73.8</w:t>
                                  </w:r>
                                </w:p>
                              </w:tc>
                              <w:tc>
                                <w:tcPr>
                                  <w:tcW w:w="1440" w:type="dxa"/>
                                  <w:tcBorders>
                                    <w:top w:val="nil"/>
                                    <w:left w:val="nil"/>
                                    <w:bottom w:val="single" w:sz="4" w:space="0" w:color="auto"/>
                                    <w:right w:val="single" w:sz="4" w:space="0" w:color="auto"/>
                                  </w:tcBorders>
                                  <w:noWrap/>
                                  <w:vAlign w:val="center"/>
                                  <w:hideMark/>
                                </w:tcPr>
                                <w:p w14:paraId="6F6D5E6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94.3</w:t>
                                  </w:r>
                                </w:p>
                              </w:tc>
                            </w:tr>
                            <w:tr w:rsidR="00692EC7" w:rsidRPr="00E05EC1" w14:paraId="04FB89DB"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09351227"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107</w:t>
                                  </w:r>
                                </w:p>
                              </w:tc>
                              <w:tc>
                                <w:tcPr>
                                  <w:tcW w:w="901" w:type="dxa"/>
                                  <w:tcBorders>
                                    <w:top w:val="nil"/>
                                    <w:left w:val="nil"/>
                                    <w:bottom w:val="single" w:sz="4" w:space="0" w:color="auto"/>
                                    <w:right w:val="single" w:sz="4" w:space="0" w:color="auto"/>
                                  </w:tcBorders>
                                  <w:vAlign w:val="center"/>
                                </w:tcPr>
                                <w:p w14:paraId="54060F6C"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1,559.5</w:t>
                                  </w:r>
                                </w:p>
                              </w:tc>
                              <w:tc>
                                <w:tcPr>
                                  <w:tcW w:w="960" w:type="dxa"/>
                                  <w:tcBorders>
                                    <w:top w:val="nil"/>
                                    <w:left w:val="nil"/>
                                    <w:bottom w:val="single" w:sz="4" w:space="0" w:color="auto"/>
                                    <w:right w:val="double" w:sz="4" w:space="0" w:color="auto"/>
                                  </w:tcBorders>
                                  <w:noWrap/>
                                  <w:vAlign w:val="center"/>
                                  <w:hideMark/>
                                </w:tcPr>
                                <w:p w14:paraId="078A975A"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1,631.9</w:t>
                                  </w:r>
                                </w:p>
                              </w:tc>
                              <w:tc>
                                <w:tcPr>
                                  <w:tcW w:w="1080" w:type="dxa"/>
                                  <w:tcBorders>
                                    <w:top w:val="nil"/>
                                    <w:left w:val="nil"/>
                                    <w:bottom w:val="single" w:sz="4" w:space="0" w:color="auto"/>
                                    <w:right w:val="single" w:sz="4" w:space="0" w:color="auto"/>
                                  </w:tcBorders>
                                  <w:noWrap/>
                                  <w:vAlign w:val="center"/>
                                  <w:hideMark/>
                                </w:tcPr>
                                <w:p w14:paraId="6ADD077F"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58.3</w:t>
                                  </w:r>
                                </w:p>
                              </w:tc>
                              <w:tc>
                                <w:tcPr>
                                  <w:tcW w:w="1440" w:type="dxa"/>
                                  <w:tcBorders>
                                    <w:top w:val="nil"/>
                                    <w:left w:val="nil"/>
                                    <w:bottom w:val="single" w:sz="4" w:space="0" w:color="auto"/>
                                    <w:right w:val="single" w:sz="4" w:space="0" w:color="auto"/>
                                  </w:tcBorders>
                                  <w:noWrap/>
                                  <w:vAlign w:val="center"/>
                                  <w:hideMark/>
                                </w:tcPr>
                                <w:p w14:paraId="3C758EF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34.9</w:t>
                                  </w:r>
                                </w:p>
                              </w:tc>
                            </w:tr>
                            <w:tr w:rsidR="00692EC7" w:rsidRPr="00E05EC1" w14:paraId="2C14AF29"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40E45965"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108</w:t>
                                  </w:r>
                                </w:p>
                              </w:tc>
                              <w:tc>
                                <w:tcPr>
                                  <w:tcW w:w="901" w:type="dxa"/>
                                  <w:tcBorders>
                                    <w:top w:val="nil"/>
                                    <w:left w:val="nil"/>
                                    <w:bottom w:val="single" w:sz="4" w:space="0" w:color="auto"/>
                                    <w:right w:val="single" w:sz="4" w:space="0" w:color="auto"/>
                                  </w:tcBorders>
                                  <w:vAlign w:val="center"/>
                                </w:tcPr>
                                <w:p w14:paraId="1346526F"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1,623.1</w:t>
                                  </w:r>
                                </w:p>
                              </w:tc>
                              <w:tc>
                                <w:tcPr>
                                  <w:tcW w:w="960" w:type="dxa"/>
                                  <w:tcBorders>
                                    <w:top w:val="nil"/>
                                    <w:left w:val="nil"/>
                                    <w:bottom w:val="single" w:sz="4" w:space="0" w:color="auto"/>
                                    <w:right w:val="double" w:sz="4" w:space="0" w:color="auto"/>
                                  </w:tcBorders>
                                  <w:noWrap/>
                                  <w:vAlign w:val="center"/>
                                  <w:hideMark/>
                                </w:tcPr>
                                <w:p w14:paraId="0BD51E88"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1,678.3</w:t>
                                  </w:r>
                                </w:p>
                              </w:tc>
                              <w:tc>
                                <w:tcPr>
                                  <w:tcW w:w="1080" w:type="dxa"/>
                                  <w:tcBorders>
                                    <w:top w:val="nil"/>
                                    <w:left w:val="nil"/>
                                    <w:bottom w:val="single" w:sz="4" w:space="0" w:color="auto"/>
                                    <w:right w:val="single" w:sz="4" w:space="0" w:color="auto"/>
                                  </w:tcBorders>
                                  <w:noWrap/>
                                  <w:vAlign w:val="center"/>
                                  <w:hideMark/>
                                </w:tcPr>
                                <w:p w14:paraId="0A00EF59"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40.4</w:t>
                                  </w:r>
                                </w:p>
                              </w:tc>
                              <w:tc>
                                <w:tcPr>
                                  <w:tcW w:w="1440" w:type="dxa"/>
                                  <w:tcBorders>
                                    <w:top w:val="nil"/>
                                    <w:left w:val="nil"/>
                                    <w:bottom w:val="single" w:sz="4" w:space="0" w:color="auto"/>
                                    <w:right w:val="single" w:sz="4" w:space="0" w:color="auto"/>
                                  </w:tcBorders>
                                  <w:noWrap/>
                                  <w:vAlign w:val="center"/>
                                  <w:hideMark/>
                                </w:tcPr>
                                <w:p w14:paraId="60EAD5B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8.8</w:t>
                                  </w:r>
                                </w:p>
                              </w:tc>
                            </w:tr>
                            <w:tr w:rsidR="00692EC7" w:rsidRPr="00E05EC1" w14:paraId="7B06FFB0"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09072CA"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109</w:t>
                                  </w:r>
                                </w:p>
                              </w:tc>
                              <w:tc>
                                <w:tcPr>
                                  <w:tcW w:w="901" w:type="dxa"/>
                                  <w:tcBorders>
                                    <w:top w:val="nil"/>
                                    <w:left w:val="nil"/>
                                    <w:bottom w:val="single" w:sz="4" w:space="0" w:color="auto"/>
                                    <w:right w:val="single" w:sz="4" w:space="0" w:color="auto"/>
                                  </w:tcBorders>
                                  <w:vAlign w:val="center"/>
                                </w:tcPr>
                                <w:p w14:paraId="30908062"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1,702.3</w:t>
                                  </w:r>
                                </w:p>
                              </w:tc>
                              <w:tc>
                                <w:tcPr>
                                  <w:tcW w:w="960" w:type="dxa"/>
                                  <w:tcBorders>
                                    <w:top w:val="nil"/>
                                    <w:left w:val="nil"/>
                                    <w:bottom w:val="single" w:sz="4" w:space="0" w:color="auto"/>
                                    <w:right w:val="double" w:sz="4" w:space="0" w:color="auto"/>
                                  </w:tcBorders>
                                  <w:noWrap/>
                                  <w:vAlign w:val="center"/>
                                  <w:hideMark/>
                                </w:tcPr>
                                <w:p w14:paraId="3299F0A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1,803.6</w:t>
                                  </w:r>
                                </w:p>
                              </w:tc>
                              <w:tc>
                                <w:tcPr>
                                  <w:tcW w:w="1080" w:type="dxa"/>
                                  <w:tcBorders>
                                    <w:top w:val="nil"/>
                                    <w:left w:val="nil"/>
                                    <w:bottom w:val="single" w:sz="4" w:space="0" w:color="auto"/>
                                    <w:right w:val="single" w:sz="4" w:space="0" w:color="auto"/>
                                  </w:tcBorders>
                                  <w:noWrap/>
                                  <w:vAlign w:val="center"/>
                                  <w:hideMark/>
                                </w:tcPr>
                                <w:p w14:paraId="56B1908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74.6</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750279C9"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w:t>
                                  </w:r>
                                </w:p>
                              </w:tc>
                            </w:tr>
                            <w:tr w:rsidR="00692EC7" w:rsidRPr="00E05EC1" w14:paraId="4E68D382"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568C03E3"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110</w:t>
                                  </w:r>
                                </w:p>
                              </w:tc>
                              <w:tc>
                                <w:tcPr>
                                  <w:tcW w:w="901" w:type="dxa"/>
                                  <w:tcBorders>
                                    <w:top w:val="nil"/>
                                    <w:left w:val="nil"/>
                                    <w:bottom w:val="single" w:sz="4" w:space="0" w:color="auto"/>
                                    <w:right w:val="single" w:sz="4" w:space="0" w:color="auto"/>
                                  </w:tcBorders>
                                  <w:vAlign w:val="center"/>
                                </w:tcPr>
                                <w:p w14:paraId="547E0C88"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1,779.3</w:t>
                                  </w:r>
                                </w:p>
                              </w:tc>
                              <w:tc>
                                <w:tcPr>
                                  <w:tcW w:w="960" w:type="dxa"/>
                                  <w:tcBorders>
                                    <w:top w:val="nil"/>
                                    <w:left w:val="nil"/>
                                    <w:bottom w:val="single" w:sz="4" w:space="0" w:color="auto"/>
                                    <w:right w:val="double" w:sz="4" w:space="0" w:color="auto"/>
                                  </w:tcBorders>
                                  <w:noWrap/>
                                  <w:vAlign w:val="center"/>
                                  <w:hideMark/>
                                </w:tcPr>
                                <w:p w14:paraId="02B39AEC"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1,897.8</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3F4AF739"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81.8</w:t>
                                  </w:r>
                                </w:p>
                                <w:p w14:paraId="39FB14FC"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（註</w:t>
                                  </w:r>
                                  <w:r>
                                    <w:rPr>
                                      <w:rFonts w:ascii="標楷體" w:eastAsia="標楷體" w:hAnsi="標楷體" w:cs="新細明體"/>
                                      <w:sz w:val="20"/>
                                    </w:rPr>
                                    <w:t>2</w:t>
                                  </w:r>
                                  <w:r w:rsidRPr="00E05EC1">
                                    <w:rPr>
                                      <w:rFonts w:ascii="標楷體" w:eastAsia="標楷體" w:hAnsi="標楷體" w:cs="新細明體" w:hint="eastAsia"/>
                                      <w:sz w:val="20"/>
                                      <w:szCs w:val="20"/>
                                    </w:rPr>
                                    <w:t>）</w:t>
                                  </w:r>
                                </w:p>
                              </w:tc>
                              <w:tc>
                                <w:tcPr>
                                  <w:tcW w:w="1440" w:type="dxa"/>
                                  <w:tcBorders>
                                    <w:top w:val="nil"/>
                                    <w:left w:val="nil"/>
                                    <w:bottom w:val="single" w:sz="4" w:space="0" w:color="auto"/>
                                    <w:right w:val="single" w:sz="4" w:space="0" w:color="auto"/>
                                  </w:tcBorders>
                                  <w:noWrap/>
                                  <w:vAlign w:val="center"/>
                                  <w:hideMark/>
                                </w:tcPr>
                                <w:p w14:paraId="7060D8C4" w14:textId="77777777" w:rsidR="00692EC7" w:rsidRPr="00E05EC1" w:rsidRDefault="00692EC7" w:rsidP="00251157">
                                  <w:pPr>
                                    <w:spacing w:line="320" w:lineRule="exact"/>
                                    <w:ind w:left="720" w:rightChars="10" w:right="24"/>
                                    <w:jc w:val="right"/>
                                    <w:rPr>
                                      <w:rFonts w:ascii="標楷體" w:eastAsia="標楷體" w:hAnsi="標楷體"/>
                                      <w:sz w:val="20"/>
                                      <w:szCs w:val="20"/>
                                    </w:rPr>
                                  </w:pPr>
                                  <w:r w:rsidRPr="00E05EC1">
                                    <w:rPr>
                                      <w:rFonts w:ascii="標楷體" w:eastAsia="標楷體" w:hAnsi="標楷體" w:hint="eastAsia"/>
                                      <w:sz w:val="20"/>
                                      <w:szCs w:val="20"/>
                                    </w:rPr>
                                    <w:t>24.3</w:t>
                                  </w:r>
                                </w:p>
                              </w:tc>
                            </w:tr>
                            <w:tr w:rsidR="00692EC7" w:rsidRPr="00E05EC1" w14:paraId="144BCC48"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26870941"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111</w:t>
                                  </w:r>
                                </w:p>
                              </w:tc>
                              <w:tc>
                                <w:tcPr>
                                  <w:tcW w:w="901" w:type="dxa"/>
                                  <w:tcBorders>
                                    <w:top w:val="nil"/>
                                    <w:left w:val="nil"/>
                                    <w:bottom w:val="single" w:sz="4" w:space="0" w:color="auto"/>
                                    <w:right w:val="single" w:sz="4" w:space="0" w:color="auto"/>
                                  </w:tcBorders>
                                  <w:vAlign w:val="center"/>
                                </w:tcPr>
                                <w:p w14:paraId="257AD31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1,835.5</w:t>
                                  </w:r>
                                </w:p>
                              </w:tc>
                              <w:tc>
                                <w:tcPr>
                                  <w:tcW w:w="960" w:type="dxa"/>
                                  <w:tcBorders>
                                    <w:top w:val="nil"/>
                                    <w:left w:val="nil"/>
                                    <w:bottom w:val="single" w:sz="4" w:space="0" w:color="auto"/>
                                    <w:right w:val="double" w:sz="4" w:space="0" w:color="auto"/>
                                  </w:tcBorders>
                                  <w:noWrap/>
                                  <w:vAlign w:val="center"/>
                                  <w:hideMark/>
                                </w:tcPr>
                                <w:p w14:paraId="7400CFFA"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1,921.9</w:t>
                                  </w:r>
                                </w:p>
                              </w:tc>
                              <w:tc>
                                <w:tcPr>
                                  <w:tcW w:w="1080" w:type="dxa"/>
                                  <w:vMerge/>
                                  <w:tcBorders>
                                    <w:top w:val="nil"/>
                                    <w:left w:val="single" w:sz="4" w:space="0" w:color="auto"/>
                                    <w:bottom w:val="single" w:sz="4" w:space="0" w:color="000000"/>
                                    <w:right w:val="single" w:sz="4" w:space="0" w:color="auto"/>
                                  </w:tcBorders>
                                  <w:vAlign w:val="center"/>
                                  <w:hideMark/>
                                </w:tcPr>
                                <w:p w14:paraId="5E37939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p>
                              </w:tc>
                              <w:tc>
                                <w:tcPr>
                                  <w:tcW w:w="1440" w:type="dxa"/>
                                  <w:tcBorders>
                                    <w:top w:val="nil"/>
                                    <w:left w:val="nil"/>
                                    <w:bottom w:val="single" w:sz="4" w:space="0" w:color="auto"/>
                                    <w:right w:val="single" w:sz="4" w:space="0" w:color="auto"/>
                                  </w:tcBorders>
                                  <w:noWrap/>
                                  <w:vAlign w:val="center"/>
                                  <w:hideMark/>
                                </w:tcPr>
                                <w:p w14:paraId="15270086" w14:textId="77777777" w:rsidR="00692EC7" w:rsidRPr="00E05EC1" w:rsidRDefault="00692EC7" w:rsidP="00251157">
                                  <w:pPr>
                                    <w:spacing w:line="320" w:lineRule="exact"/>
                                    <w:ind w:left="360" w:rightChars="10" w:right="24"/>
                                    <w:jc w:val="right"/>
                                    <w:rPr>
                                      <w:rFonts w:ascii="標楷體" w:eastAsia="標楷體" w:hAnsi="標楷體"/>
                                      <w:sz w:val="20"/>
                                      <w:szCs w:val="20"/>
                                    </w:rPr>
                                  </w:pPr>
                                  <w:r w:rsidRPr="00E05EC1">
                                    <w:rPr>
                                      <w:rFonts w:ascii="標楷體" w:eastAsia="標楷體" w:hAnsi="標楷體" w:hint="eastAsia"/>
                                      <w:sz w:val="20"/>
                                      <w:szCs w:val="20"/>
                                    </w:rPr>
                                    <w:t>62.3</w:t>
                                  </w:r>
                                </w:p>
                              </w:tc>
                            </w:tr>
                            <w:tr w:rsidR="00692EC7" w:rsidRPr="00E05EC1" w14:paraId="081D1C78"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AE89117"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112</w:t>
                                  </w:r>
                                </w:p>
                              </w:tc>
                              <w:tc>
                                <w:tcPr>
                                  <w:tcW w:w="901" w:type="dxa"/>
                                  <w:tcBorders>
                                    <w:top w:val="nil"/>
                                    <w:left w:val="nil"/>
                                    <w:bottom w:val="single" w:sz="4" w:space="0" w:color="auto"/>
                                    <w:right w:val="single" w:sz="4" w:space="0" w:color="auto"/>
                                  </w:tcBorders>
                                  <w:vAlign w:val="center"/>
                                </w:tcPr>
                                <w:p w14:paraId="0712FC45"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1,886.1</w:t>
                                  </w:r>
                                </w:p>
                              </w:tc>
                              <w:tc>
                                <w:tcPr>
                                  <w:tcW w:w="960" w:type="dxa"/>
                                  <w:tcBorders>
                                    <w:top w:val="nil"/>
                                    <w:left w:val="nil"/>
                                    <w:bottom w:val="single" w:sz="4" w:space="0" w:color="auto"/>
                                    <w:right w:val="double" w:sz="4" w:space="0" w:color="auto"/>
                                  </w:tcBorders>
                                  <w:noWrap/>
                                  <w:vAlign w:val="center"/>
                                  <w:hideMark/>
                                </w:tcPr>
                                <w:p w14:paraId="7E649F88"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1,990.4</w:t>
                                  </w:r>
                                </w:p>
                              </w:tc>
                              <w:tc>
                                <w:tcPr>
                                  <w:tcW w:w="1080" w:type="dxa"/>
                                  <w:tcBorders>
                                    <w:top w:val="nil"/>
                                    <w:left w:val="nil"/>
                                    <w:bottom w:val="single" w:sz="4" w:space="0" w:color="auto"/>
                                    <w:right w:val="single" w:sz="4" w:space="0" w:color="auto"/>
                                  </w:tcBorders>
                                  <w:noWrap/>
                                  <w:vAlign w:val="center"/>
                                  <w:hideMark/>
                                </w:tcPr>
                                <w:p w14:paraId="754914A5"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55.3</w:t>
                                  </w:r>
                                </w:p>
                              </w:tc>
                              <w:tc>
                                <w:tcPr>
                                  <w:tcW w:w="1440" w:type="dxa"/>
                                  <w:tcBorders>
                                    <w:top w:val="nil"/>
                                    <w:left w:val="nil"/>
                                    <w:bottom w:val="single" w:sz="4" w:space="0" w:color="auto"/>
                                    <w:right w:val="single" w:sz="4" w:space="0" w:color="auto"/>
                                  </w:tcBorders>
                                  <w:noWrap/>
                                  <w:vAlign w:val="center"/>
                                  <w:hideMark/>
                                </w:tcPr>
                                <w:p w14:paraId="0FAA020B"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35.8</w:t>
                                  </w:r>
                                </w:p>
                              </w:tc>
                            </w:tr>
                            <w:tr w:rsidR="00692EC7" w:rsidRPr="00E05EC1" w14:paraId="52163177"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5FD9CB1C"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113</w:t>
                                  </w:r>
                                </w:p>
                              </w:tc>
                              <w:tc>
                                <w:tcPr>
                                  <w:tcW w:w="901" w:type="dxa"/>
                                  <w:tcBorders>
                                    <w:top w:val="nil"/>
                                    <w:left w:val="nil"/>
                                    <w:bottom w:val="single" w:sz="4" w:space="0" w:color="auto"/>
                                    <w:right w:val="single" w:sz="4" w:space="0" w:color="auto"/>
                                  </w:tcBorders>
                                  <w:vAlign w:val="center"/>
                                </w:tcPr>
                                <w:p w14:paraId="4151CEC2"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1,983.8</w:t>
                                  </w:r>
                                </w:p>
                              </w:tc>
                              <w:tc>
                                <w:tcPr>
                                  <w:tcW w:w="960" w:type="dxa"/>
                                  <w:tcBorders>
                                    <w:top w:val="nil"/>
                                    <w:left w:val="nil"/>
                                    <w:bottom w:val="single" w:sz="4" w:space="0" w:color="auto"/>
                                    <w:right w:val="double" w:sz="4" w:space="0" w:color="auto"/>
                                  </w:tcBorders>
                                  <w:vAlign w:val="center"/>
                                  <w:hideMark/>
                                </w:tcPr>
                                <w:p w14:paraId="7A75BD4B"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2,069.1</w:t>
                                  </w:r>
                                </w:p>
                              </w:tc>
                              <w:tc>
                                <w:tcPr>
                                  <w:tcW w:w="1080" w:type="dxa"/>
                                  <w:tcBorders>
                                    <w:top w:val="nil"/>
                                    <w:left w:val="nil"/>
                                    <w:bottom w:val="single" w:sz="4" w:space="0" w:color="auto"/>
                                    <w:right w:val="single" w:sz="4" w:space="0" w:color="auto"/>
                                  </w:tcBorders>
                                  <w:noWrap/>
                                  <w:vAlign w:val="center"/>
                                  <w:hideMark/>
                                </w:tcPr>
                                <w:p w14:paraId="11EBD7C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48.5</w:t>
                                  </w:r>
                                </w:p>
                              </w:tc>
                              <w:tc>
                                <w:tcPr>
                                  <w:tcW w:w="1440" w:type="dxa"/>
                                  <w:tcBorders>
                                    <w:top w:val="nil"/>
                                    <w:left w:val="nil"/>
                                    <w:bottom w:val="single" w:sz="4" w:space="0" w:color="auto"/>
                                    <w:right w:val="single" w:sz="4" w:space="0" w:color="auto"/>
                                  </w:tcBorders>
                                  <w:noWrap/>
                                  <w:vAlign w:val="center"/>
                                  <w:hideMark/>
                                </w:tcPr>
                                <w:p w14:paraId="1FC134E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6.6</w:t>
                                  </w:r>
                                </w:p>
                              </w:tc>
                            </w:tr>
                            <w:tr w:rsidR="00692EC7" w:rsidRPr="00E05EC1" w14:paraId="5B08E130"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87495FF"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114</w:t>
                                  </w:r>
                                </w:p>
                              </w:tc>
                              <w:tc>
                                <w:tcPr>
                                  <w:tcW w:w="901" w:type="dxa"/>
                                  <w:tcBorders>
                                    <w:top w:val="nil"/>
                                    <w:left w:val="nil"/>
                                    <w:bottom w:val="single" w:sz="4" w:space="0" w:color="auto"/>
                                    <w:right w:val="single" w:sz="4" w:space="0" w:color="auto"/>
                                  </w:tcBorders>
                                  <w:vAlign w:val="center"/>
                                </w:tcPr>
                                <w:p w14:paraId="6BAB2376"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2,088.7</w:t>
                                  </w:r>
                                </w:p>
                              </w:tc>
                              <w:tc>
                                <w:tcPr>
                                  <w:tcW w:w="960" w:type="dxa"/>
                                  <w:tcBorders>
                                    <w:top w:val="nil"/>
                                    <w:left w:val="nil"/>
                                    <w:bottom w:val="single" w:sz="4" w:space="0" w:color="auto"/>
                                    <w:right w:val="double" w:sz="4" w:space="0" w:color="auto"/>
                                  </w:tcBorders>
                                  <w:vAlign w:val="center"/>
                                  <w:hideMark/>
                                </w:tcPr>
                                <w:p w14:paraId="1F7C5F2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2,186.1</w:t>
                                  </w:r>
                                </w:p>
                              </w:tc>
                              <w:tc>
                                <w:tcPr>
                                  <w:tcW w:w="1080" w:type="dxa"/>
                                  <w:tcBorders>
                                    <w:top w:val="nil"/>
                                    <w:left w:val="nil"/>
                                    <w:bottom w:val="single" w:sz="4" w:space="0" w:color="auto"/>
                                    <w:right w:val="single" w:sz="4" w:space="0" w:color="auto"/>
                                  </w:tcBorders>
                                  <w:noWrap/>
                                  <w:vAlign w:val="center"/>
                                  <w:hideMark/>
                                </w:tcPr>
                                <w:p w14:paraId="015C1E3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36.2</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45FECCF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w:t>
                                  </w:r>
                                </w:p>
                              </w:tc>
                            </w:tr>
                          </w:tbl>
                          <w:bookmarkEnd w:id="4"/>
                          <w:p w14:paraId="7EB3D71C" w14:textId="77777777" w:rsidR="00692EC7" w:rsidRDefault="00692EC7" w:rsidP="006F51FE">
                            <w:pPr>
                              <w:spacing w:line="240" w:lineRule="exact"/>
                              <w:ind w:left="531" w:rightChars="48" w:right="115" w:hangingChars="295" w:hanging="531"/>
                              <w:jc w:val="both"/>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sidRPr="00AA01EB">
                              <w:rPr>
                                <w:rFonts w:ascii="標楷體" w:eastAsia="標楷體" w:hAnsi="標楷體" w:hint="eastAsia"/>
                                <w:sz w:val="18"/>
                              </w:rPr>
                              <w:t>自106年度起，超出目標值之額度，係以藥品費用核付金額扣除目標值後，再扣除當年度藥品</w:t>
                            </w:r>
                            <w:r>
                              <w:rPr>
                                <w:rFonts w:ascii="標楷體" w:eastAsia="標楷體" w:hAnsi="標楷體" w:hint="eastAsia"/>
                                <w:sz w:val="18"/>
                              </w:rPr>
                              <w:t>給付</w:t>
                            </w:r>
                            <w:r w:rsidRPr="00AA01EB">
                              <w:rPr>
                                <w:rFonts w:ascii="標楷體" w:eastAsia="標楷體" w:hAnsi="標楷體" w:hint="eastAsia"/>
                                <w:sz w:val="18"/>
                              </w:rPr>
                              <w:t>協議回收金額。</w:t>
                            </w:r>
                          </w:p>
                          <w:p w14:paraId="545043DB" w14:textId="77777777" w:rsidR="00692EC7" w:rsidRPr="00A633D0" w:rsidRDefault="00692EC7" w:rsidP="006F51FE">
                            <w:pPr>
                              <w:spacing w:line="240" w:lineRule="exact"/>
                              <w:ind w:leftChars="2" w:left="545" w:rightChars="48" w:right="115" w:hangingChars="300" w:hanging="540"/>
                              <w:jc w:val="both"/>
                              <w:rPr>
                                <w:rFonts w:ascii="標楷體" w:eastAsia="標楷體" w:hAnsi="標楷體"/>
                                <w:sz w:val="18"/>
                                <w:szCs w:val="18"/>
                              </w:rPr>
                            </w:pPr>
                            <w:r w:rsidRPr="00A633D0">
                              <w:rPr>
                                <w:rFonts w:ascii="標楷體" w:eastAsia="標楷體" w:hAnsi="標楷體" w:hint="eastAsia"/>
                                <w:sz w:val="18"/>
                                <w:szCs w:val="18"/>
                              </w:rPr>
                              <w:t xml:space="preserve">　　</w:t>
                            </w:r>
                            <w:r>
                              <w:rPr>
                                <w:rFonts w:ascii="標楷體" w:eastAsia="標楷體" w:hAnsi="標楷體" w:hint="eastAsia"/>
                                <w:sz w:val="18"/>
                              </w:rPr>
                              <w:t>2</w:t>
                            </w:r>
                            <w:r>
                              <w:rPr>
                                <w:rFonts w:ascii="標楷體" w:eastAsia="標楷體" w:hAnsi="標楷體"/>
                                <w:sz w:val="18"/>
                              </w:rPr>
                              <w:t>.</w:t>
                            </w:r>
                            <w:r w:rsidRPr="00251157">
                              <w:rPr>
                                <w:rFonts w:ascii="標楷體" w:eastAsia="標楷體" w:hAnsi="標楷體" w:hint="eastAsia"/>
                                <w:sz w:val="18"/>
                                <w:szCs w:val="18"/>
                              </w:rPr>
                              <w:t>受新型冠狀病毒肺炎（COVID－19）疫情影響，合併檢討110至111年度藥價。</w:t>
                            </w:r>
                          </w:p>
                          <w:p w14:paraId="26481DF9" w14:textId="77777777" w:rsidR="00692EC7" w:rsidRDefault="00692EC7" w:rsidP="006F51FE">
                            <w:pPr>
                              <w:spacing w:line="240" w:lineRule="exact"/>
                              <w:ind w:leftChars="5" w:left="502" w:rightChars="20" w:right="48" w:hangingChars="272" w:hanging="490"/>
                              <w:jc w:val="both"/>
                            </w:pPr>
                            <w:r w:rsidRPr="00A633D0">
                              <w:rPr>
                                <w:rFonts w:ascii="標楷體" w:eastAsia="標楷體" w:hAnsi="標楷體" w:hint="eastAsia"/>
                                <w:sz w:val="18"/>
                                <w:szCs w:val="18"/>
                              </w:rPr>
                              <w:t xml:space="preserve">　　</w:t>
                            </w:r>
                            <w:r>
                              <w:rPr>
                                <w:rFonts w:ascii="標楷體" w:eastAsia="標楷體" w:hAnsi="標楷體"/>
                                <w:sz w:val="18"/>
                                <w:szCs w:val="18"/>
                              </w:rPr>
                              <w:t>3</w:t>
                            </w:r>
                            <w:r w:rsidRPr="00A633D0">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B75F4B9" id="_x0000_s1031" type="#_x0000_t202" style="position:absolute;left:0;text-align:left;margin-left:255.8pt;margin-top:201.75pt;width:257.95pt;height:429.25pt;z-index:-251637760;visibility:visible;mso-wrap-style:square;mso-width-percent:0;mso-height-percent:0;mso-wrap-distance-left:11.3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" filled="f" stroked="f">
                <v:textbox inset="0,0,0,0">
                  <w:txbxContent>
                    <w:p w14:paraId="38323F42" w14:textId="77777777" w:rsidR="00692EC7" w:rsidRPr="00E259F6" w:rsidRDefault="00692EC7" w:rsidP="00692EC7">
                      <w:pPr>
                        <w:spacing w:line="260" w:lineRule="exact"/>
                        <w:ind w:left="658" w:hangingChars="274" w:hanging="658"/>
                        <w:jc w:val="center"/>
                        <w:rPr>
                          <w:rFonts w:ascii="標楷體" w:eastAsia="標楷體" w:hAnsi="標楷體"/>
                          <w:b/>
                          <w:spacing w:val="-6"/>
                          <w:szCs w:val="28"/>
                        </w:rPr>
                      </w:pPr>
                      <w:r w:rsidRPr="0083054F">
                        <w:rPr>
                          <w:rFonts w:ascii="標楷體" w:eastAsia="標楷體" w:hAnsi="標楷體" w:hint="eastAsia"/>
                          <w:b/>
                          <w:szCs w:val="28"/>
                        </w:rPr>
                        <w:t>表</w:t>
                      </w:r>
                      <w:r>
                        <w:rPr>
                          <w:rFonts w:ascii="標楷體" w:eastAsia="標楷體" w:hAnsi="標楷體" w:hint="eastAsia"/>
                          <w:b/>
                          <w:szCs w:val="28"/>
                        </w:rPr>
                        <w:t>6</w:t>
                      </w:r>
                      <w:r w:rsidRPr="0083054F">
                        <w:rPr>
                          <w:rFonts w:ascii="標楷體" w:eastAsia="標楷體" w:hAnsi="標楷體"/>
                          <w:b/>
                          <w:szCs w:val="28"/>
                        </w:rPr>
                        <w:t xml:space="preserve">　</w:t>
                      </w:r>
                      <w:r w:rsidRPr="00251157">
                        <w:rPr>
                          <w:rFonts w:ascii="標楷體" w:eastAsia="標楷體" w:hAnsi="標楷體" w:hint="eastAsia"/>
                          <w:b/>
                          <w:spacing w:val="-6"/>
                          <w:szCs w:val="28"/>
                        </w:rPr>
                        <w:t>DET試辦方案藥價調整情形</w:t>
                      </w:r>
                    </w:p>
                    <w:p w14:paraId="7AB19F64" w14:textId="77777777" w:rsidR="00692EC7" w:rsidRDefault="00692EC7" w:rsidP="00692EC7">
                      <w:pPr>
                        <w:spacing w:beforeLines="20" w:before="72" w:line="200" w:lineRule="exact"/>
                        <w:ind w:rightChars="46" w:right="110"/>
                        <w:jc w:val="right"/>
                        <w:rPr>
                          <w:rFonts w:ascii="標楷體" w:eastAsia="標楷體" w:hAnsi="標楷體"/>
                          <w:sz w:val="20"/>
                          <w:szCs w:val="20"/>
                        </w:rPr>
                      </w:pPr>
                      <w:r w:rsidRPr="0034726D">
                        <w:rPr>
                          <w:rFonts w:ascii="標楷體" w:eastAsia="標楷體" w:hAnsi="標楷體" w:hint="eastAsia"/>
                          <w:sz w:val="20"/>
                          <w:szCs w:val="20"/>
                        </w:rPr>
                        <w:t>單位：</w:t>
                      </w:r>
                      <w:r w:rsidRPr="00251157">
                        <w:rPr>
                          <w:rFonts w:ascii="標楷體" w:eastAsia="標楷體" w:hAnsi="標楷體" w:hint="eastAsia"/>
                          <w:sz w:val="20"/>
                          <w:szCs w:val="20"/>
                        </w:rPr>
                        <w:t>新臺幣億元</w:t>
                      </w:r>
                    </w:p>
                    <w:tbl>
                      <w:tblPr>
                        <w:tblW w:w="5040" w:type="dxa"/>
                        <w:tblInd w:w="-5" w:type="dxa"/>
                        <w:tblCellMar>
                          <w:left w:w="28" w:type="dxa"/>
                          <w:right w:w="28" w:type="dxa"/>
                        </w:tblCellMar>
                        <w:tblLook w:val="04A0" w:firstRow="1" w:lastRow="0" w:firstColumn="1" w:lastColumn="0" w:noHBand="0" w:noVBand="1"/>
                      </w:tblPr>
                      <w:tblGrid>
                        <w:gridCol w:w="659"/>
                        <w:gridCol w:w="901"/>
                        <w:gridCol w:w="960"/>
                        <w:gridCol w:w="1080"/>
                        <w:gridCol w:w="1440"/>
                      </w:tblGrid>
                      <w:tr w:rsidR="00692EC7" w:rsidRPr="00E05EC1" w14:paraId="52DF4AEB" w14:textId="77777777" w:rsidTr="006F51FE">
                        <w:trPr>
                          <w:trHeight w:val="794"/>
                        </w:trPr>
                        <w:tc>
                          <w:tcPr>
                            <w:tcW w:w="659" w:type="dxa"/>
                            <w:vMerge w:val="restart"/>
                            <w:tcBorders>
                              <w:top w:val="single" w:sz="4" w:space="0" w:color="auto"/>
                              <w:left w:val="single" w:sz="4" w:space="0" w:color="auto"/>
                              <w:right w:val="single" w:sz="4" w:space="0" w:color="auto"/>
                            </w:tcBorders>
                            <w:vAlign w:val="center"/>
                            <w:hideMark/>
                          </w:tcPr>
                          <w:p w14:paraId="0B3CA60F"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bookmarkStart w:id="5" w:name="_Hlk233100406"/>
                            <w:r w:rsidRPr="00E05EC1">
                              <w:rPr>
                                <w:rFonts w:ascii="標楷體" w:eastAsia="標楷體" w:hAnsi="標楷體" w:cs="新細明體" w:hint="eastAsia"/>
                                <w:sz w:val="20"/>
                                <w:szCs w:val="20"/>
                              </w:rPr>
                              <w:t>年度</w:t>
                            </w:r>
                          </w:p>
                        </w:tc>
                        <w:tc>
                          <w:tcPr>
                            <w:tcW w:w="901" w:type="dxa"/>
                            <w:vMerge w:val="restart"/>
                            <w:tcBorders>
                              <w:top w:val="single" w:sz="4" w:space="0" w:color="auto"/>
                              <w:left w:val="nil"/>
                              <w:right w:val="single" w:sz="4" w:space="0" w:color="auto"/>
                            </w:tcBorders>
                            <w:vAlign w:val="center"/>
                          </w:tcPr>
                          <w:p w14:paraId="30BB4220"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目標值</w:t>
                            </w:r>
                          </w:p>
                        </w:tc>
                        <w:tc>
                          <w:tcPr>
                            <w:tcW w:w="960" w:type="dxa"/>
                            <w:vMerge w:val="restart"/>
                            <w:tcBorders>
                              <w:top w:val="single" w:sz="4" w:space="0" w:color="auto"/>
                              <w:left w:val="nil"/>
                              <w:right w:val="double" w:sz="4" w:space="0" w:color="auto"/>
                            </w:tcBorders>
                            <w:vAlign w:val="center"/>
                            <w:hideMark/>
                          </w:tcPr>
                          <w:p w14:paraId="1AE493B4"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藥品費用核付金額</w:t>
                            </w:r>
                          </w:p>
                        </w:tc>
                        <w:tc>
                          <w:tcPr>
                            <w:tcW w:w="1080" w:type="dxa"/>
                            <w:vMerge w:val="restart"/>
                            <w:tcBorders>
                              <w:top w:val="single" w:sz="4" w:space="0" w:color="auto"/>
                              <w:left w:val="nil"/>
                              <w:right w:val="single" w:sz="4" w:space="0" w:color="auto"/>
                            </w:tcBorders>
                            <w:vAlign w:val="center"/>
                            <w:hideMark/>
                          </w:tcPr>
                          <w:p w14:paraId="4E031E35" w14:textId="77777777" w:rsidR="00692EC7"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超出目標值之額度</w:t>
                            </w:r>
                          </w:p>
                          <w:p w14:paraId="68AAAB79"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Pr>
                                <w:rFonts w:ascii="標楷體" w:eastAsia="標楷體" w:hAnsi="標楷體" w:cs="新細明體" w:hint="eastAsia"/>
                                <w:sz w:val="20"/>
                                <w:szCs w:val="20"/>
                              </w:rPr>
                              <w:t>（註1）</w:t>
                            </w:r>
                          </w:p>
                        </w:tc>
                        <w:tc>
                          <w:tcPr>
                            <w:tcW w:w="1440" w:type="dxa"/>
                            <w:vMerge w:val="restart"/>
                            <w:tcBorders>
                              <w:top w:val="single" w:sz="4" w:space="0" w:color="auto"/>
                              <w:left w:val="nil"/>
                              <w:right w:val="single" w:sz="4" w:space="0" w:color="auto"/>
                            </w:tcBorders>
                            <w:vAlign w:val="center"/>
                            <w:hideMark/>
                          </w:tcPr>
                          <w:p w14:paraId="76812116" w14:textId="77777777" w:rsidR="00692EC7" w:rsidRPr="00E05EC1" w:rsidRDefault="00692EC7" w:rsidP="006F51FE">
                            <w:pPr>
                              <w:widowControl/>
                              <w:spacing w:line="24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目標值低於前一年度藥品費用核付金額之差額</w:t>
                            </w:r>
                          </w:p>
                        </w:tc>
                      </w:tr>
                      <w:tr w:rsidR="00692EC7" w:rsidRPr="00E05EC1" w14:paraId="2DBD977F" w14:textId="77777777" w:rsidTr="00310460">
                        <w:trPr>
                          <w:trHeight w:val="260"/>
                        </w:trPr>
                        <w:tc>
                          <w:tcPr>
                            <w:tcW w:w="659" w:type="dxa"/>
                            <w:vMerge/>
                            <w:tcBorders>
                              <w:left w:val="single" w:sz="4" w:space="0" w:color="auto"/>
                              <w:bottom w:val="single" w:sz="4" w:space="0" w:color="auto"/>
                              <w:right w:val="single" w:sz="4" w:space="0" w:color="auto"/>
                            </w:tcBorders>
                            <w:vAlign w:val="center"/>
                          </w:tcPr>
                          <w:p w14:paraId="5B49F203"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901" w:type="dxa"/>
                            <w:vMerge/>
                            <w:tcBorders>
                              <w:left w:val="nil"/>
                              <w:bottom w:val="single" w:sz="4" w:space="0" w:color="auto"/>
                              <w:right w:val="single" w:sz="4" w:space="0" w:color="auto"/>
                            </w:tcBorders>
                            <w:vAlign w:val="center"/>
                          </w:tcPr>
                          <w:p w14:paraId="3ED6325C"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960" w:type="dxa"/>
                            <w:vMerge/>
                            <w:tcBorders>
                              <w:left w:val="nil"/>
                              <w:bottom w:val="single" w:sz="4" w:space="0" w:color="auto"/>
                              <w:right w:val="double" w:sz="4" w:space="0" w:color="auto"/>
                            </w:tcBorders>
                            <w:vAlign w:val="center"/>
                          </w:tcPr>
                          <w:p w14:paraId="3A56C206"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1080" w:type="dxa"/>
                            <w:vMerge/>
                            <w:tcBorders>
                              <w:left w:val="nil"/>
                              <w:bottom w:val="single" w:sz="4" w:space="0" w:color="auto"/>
                              <w:right w:val="single" w:sz="4" w:space="0" w:color="auto"/>
                            </w:tcBorders>
                            <w:vAlign w:val="center"/>
                          </w:tcPr>
                          <w:p w14:paraId="2D5E2869" w14:textId="77777777" w:rsidR="00692EC7" w:rsidRPr="00E05EC1" w:rsidRDefault="00692EC7" w:rsidP="00251157">
                            <w:pPr>
                              <w:widowControl/>
                              <w:ind w:rightChars="10" w:right="24"/>
                              <w:jc w:val="center"/>
                              <w:rPr>
                                <w:rFonts w:ascii="標楷體" w:eastAsia="標楷體" w:hAnsi="標楷體" w:cs="新細明體"/>
                                <w:sz w:val="20"/>
                                <w:szCs w:val="20"/>
                              </w:rPr>
                            </w:pPr>
                          </w:p>
                        </w:tc>
                        <w:tc>
                          <w:tcPr>
                            <w:tcW w:w="1440" w:type="dxa"/>
                            <w:vMerge/>
                            <w:tcBorders>
                              <w:left w:val="nil"/>
                              <w:bottom w:val="single" w:sz="4" w:space="0" w:color="auto"/>
                              <w:right w:val="single" w:sz="4" w:space="0" w:color="auto"/>
                            </w:tcBorders>
                            <w:vAlign w:val="center"/>
                          </w:tcPr>
                          <w:p w14:paraId="104121E2" w14:textId="77777777" w:rsidR="00692EC7" w:rsidRPr="00E05EC1" w:rsidRDefault="00692EC7" w:rsidP="00251157">
                            <w:pPr>
                              <w:widowControl/>
                              <w:ind w:rightChars="10" w:right="24"/>
                              <w:jc w:val="center"/>
                              <w:rPr>
                                <w:rFonts w:ascii="標楷體" w:eastAsia="標楷體" w:hAnsi="標楷體" w:cs="新細明體"/>
                                <w:sz w:val="20"/>
                                <w:szCs w:val="20"/>
                              </w:rPr>
                            </w:pPr>
                          </w:p>
                        </w:tc>
                      </w:tr>
                      <w:tr w:rsidR="00692EC7" w:rsidRPr="00E05EC1" w14:paraId="60B78714"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5D69A60C"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102</w:t>
                            </w:r>
                          </w:p>
                        </w:tc>
                        <w:tc>
                          <w:tcPr>
                            <w:tcW w:w="901" w:type="dxa"/>
                            <w:tcBorders>
                              <w:top w:val="nil"/>
                              <w:left w:val="nil"/>
                              <w:bottom w:val="single" w:sz="4" w:space="0" w:color="auto"/>
                              <w:right w:val="single" w:sz="4" w:space="0" w:color="auto"/>
                            </w:tcBorders>
                            <w:vAlign w:val="center"/>
                          </w:tcPr>
                          <w:p w14:paraId="3913FC1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1,380.0</w:t>
                            </w:r>
                          </w:p>
                        </w:tc>
                        <w:tc>
                          <w:tcPr>
                            <w:tcW w:w="960" w:type="dxa"/>
                            <w:tcBorders>
                              <w:top w:val="nil"/>
                              <w:left w:val="nil"/>
                              <w:bottom w:val="single" w:sz="4" w:space="0" w:color="auto"/>
                              <w:right w:val="double" w:sz="4" w:space="0" w:color="auto"/>
                            </w:tcBorders>
                            <w:noWrap/>
                            <w:vAlign w:val="center"/>
                            <w:hideMark/>
                          </w:tcPr>
                          <w:p w14:paraId="4EB9EC9F"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1,436.7</w:t>
                            </w:r>
                          </w:p>
                        </w:tc>
                        <w:tc>
                          <w:tcPr>
                            <w:tcW w:w="1080" w:type="dxa"/>
                            <w:tcBorders>
                              <w:top w:val="nil"/>
                              <w:left w:val="nil"/>
                              <w:bottom w:val="single" w:sz="4" w:space="0" w:color="auto"/>
                              <w:right w:val="single" w:sz="4" w:space="0" w:color="auto"/>
                            </w:tcBorders>
                            <w:noWrap/>
                            <w:vAlign w:val="center"/>
                            <w:hideMark/>
                          </w:tcPr>
                          <w:p w14:paraId="4DB75E7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56.7</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0EAEBDE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p>
                        </w:tc>
                      </w:tr>
                      <w:tr w:rsidR="00692EC7" w:rsidRPr="00E05EC1" w14:paraId="32D568B2"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7BC5ED64"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103</w:t>
                            </w:r>
                          </w:p>
                        </w:tc>
                        <w:tc>
                          <w:tcPr>
                            <w:tcW w:w="901" w:type="dxa"/>
                            <w:tcBorders>
                              <w:top w:val="nil"/>
                              <w:left w:val="nil"/>
                              <w:bottom w:val="single" w:sz="4" w:space="0" w:color="auto"/>
                              <w:right w:val="single" w:sz="4" w:space="0" w:color="auto"/>
                            </w:tcBorders>
                            <w:vAlign w:val="center"/>
                          </w:tcPr>
                          <w:p w14:paraId="7331217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1,425.6</w:t>
                            </w:r>
                          </w:p>
                        </w:tc>
                        <w:tc>
                          <w:tcPr>
                            <w:tcW w:w="960" w:type="dxa"/>
                            <w:tcBorders>
                              <w:top w:val="nil"/>
                              <w:left w:val="nil"/>
                              <w:bottom w:val="single" w:sz="4" w:space="0" w:color="auto"/>
                              <w:right w:val="double" w:sz="4" w:space="0" w:color="auto"/>
                            </w:tcBorders>
                            <w:noWrap/>
                            <w:vAlign w:val="center"/>
                            <w:hideMark/>
                          </w:tcPr>
                          <w:p w14:paraId="3EDCDFAA"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1,507.7</w:t>
                            </w:r>
                          </w:p>
                        </w:tc>
                        <w:tc>
                          <w:tcPr>
                            <w:tcW w:w="1080" w:type="dxa"/>
                            <w:tcBorders>
                              <w:top w:val="nil"/>
                              <w:left w:val="nil"/>
                              <w:bottom w:val="single" w:sz="4" w:space="0" w:color="auto"/>
                              <w:right w:val="single" w:sz="4" w:space="0" w:color="auto"/>
                            </w:tcBorders>
                            <w:noWrap/>
                            <w:vAlign w:val="center"/>
                            <w:hideMark/>
                          </w:tcPr>
                          <w:p w14:paraId="3A7D6116"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82.1</w:t>
                            </w:r>
                          </w:p>
                        </w:tc>
                        <w:tc>
                          <w:tcPr>
                            <w:tcW w:w="1440" w:type="dxa"/>
                            <w:tcBorders>
                              <w:top w:val="nil"/>
                              <w:left w:val="nil"/>
                              <w:bottom w:val="single" w:sz="4" w:space="0" w:color="auto"/>
                              <w:right w:val="single" w:sz="4" w:space="0" w:color="auto"/>
                            </w:tcBorders>
                            <w:noWrap/>
                            <w:vAlign w:val="center"/>
                            <w:hideMark/>
                          </w:tcPr>
                          <w:p w14:paraId="77026B25"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11.1</w:t>
                            </w:r>
                          </w:p>
                        </w:tc>
                      </w:tr>
                      <w:tr w:rsidR="00692EC7" w:rsidRPr="00E05EC1" w14:paraId="35544153"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401E510D"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104</w:t>
                            </w:r>
                          </w:p>
                        </w:tc>
                        <w:tc>
                          <w:tcPr>
                            <w:tcW w:w="901" w:type="dxa"/>
                            <w:tcBorders>
                              <w:top w:val="nil"/>
                              <w:left w:val="nil"/>
                              <w:bottom w:val="single" w:sz="4" w:space="0" w:color="auto"/>
                              <w:right w:val="single" w:sz="4" w:space="0" w:color="auto"/>
                            </w:tcBorders>
                            <w:vAlign w:val="center"/>
                          </w:tcPr>
                          <w:p w14:paraId="66183823"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1,475.2</w:t>
                            </w:r>
                          </w:p>
                        </w:tc>
                        <w:tc>
                          <w:tcPr>
                            <w:tcW w:w="960" w:type="dxa"/>
                            <w:tcBorders>
                              <w:top w:val="nil"/>
                              <w:left w:val="nil"/>
                              <w:bottom w:val="single" w:sz="4" w:space="0" w:color="auto"/>
                              <w:right w:val="double" w:sz="4" w:space="0" w:color="auto"/>
                            </w:tcBorders>
                            <w:noWrap/>
                            <w:vAlign w:val="center"/>
                            <w:hideMark/>
                          </w:tcPr>
                          <w:p w14:paraId="4A2E7D7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1,507.0</w:t>
                            </w:r>
                          </w:p>
                        </w:tc>
                        <w:tc>
                          <w:tcPr>
                            <w:tcW w:w="1080" w:type="dxa"/>
                            <w:tcBorders>
                              <w:top w:val="nil"/>
                              <w:left w:val="nil"/>
                              <w:bottom w:val="single" w:sz="4" w:space="0" w:color="auto"/>
                              <w:right w:val="single" w:sz="4" w:space="0" w:color="auto"/>
                            </w:tcBorders>
                            <w:noWrap/>
                            <w:vAlign w:val="center"/>
                            <w:hideMark/>
                          </w:tcPr>
                          <w:p w14:paraId="748F3303"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31.8</w:t>
                            </w:r>
                          </w:p>
                        </w:tc>
                        <w:tc>
                          <w:tcPr>
                            <w:tcW w:w="1440" w:type="dxa"/>
                            <w:tcBorders>
                              <w:top w:val="nil"/>
                              <w:left w:val="nil"/>
                              <w:bottom w:val="single" w:sz="4" w:space="0" w:color="auto"/>
                              <w:right w:val="single" w:sz="4" w:space="0" w:color="auto"/>
                            </w:tcBorders>
                            <w:noWrap/>
                            <w:vAlign w:val="center"/>
                            <w:hideMark/>
                          </w:tcPr>
                          <w:p w14:paraId="34A4E79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32.5</w:t>
                            </w:r>
                          </w:p>
                        </w:tc>
                      </w:tr>
                      <w:tr w:rsidR="00692EC7" w:rsidRPr="00E05EC1" w14:paraId="6E4DCBE1"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7C5AE7F6"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105</w:t>
                            </w:r>
                          </w:p>
                        </w:tc>
                        <w:tc>
                          <w:tcPr>
                            <w:tcW w:w="901" w:type="dxa"/>
                            <w:tcBorders>
                              <w:top w:val="nil"/>
                              <w:left w:val="nil"/>
                              <w:bottom w:val="single" w:sz="4" w:space="0" w:color="auto"/>
                              <w:right w:val="single" w:sz="4" w:space="0" w:color="auto"/>
                            </w:tcBorders>
                            <w:vAlign w:val="center"/>
                          </w:tcPr>
                          <w:p w14:paraId="4681CE4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1,548.2</w:t>
                            </w:r>
                          </w:p>
                        </w:tc>
                        <w:tc>
                          <w:tcPr>
                            <w:tcW w:w="960" w:type="dxa"/>
                            <w:tcBorders>
                              <w:top w:val="nil"/>
                              <w:left w:val="nil"/>
                              <w:bottom w:val="single" w:sz="4" w:space="0" w:color="auto"/>
                              <w:right w:val="double" w:sz="4" w:space="0" w:color="auto"/>
                            </w:tcBorders>
                            <w:noWrap/>
                            <w:vAlign w:val="center"/>
                            <w:hideMark/>
                          </w:tcPr>
                          <w:p w14:paraId="7CD2D0F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1,605.3</w:t>
                            </w:r>
                          </w:p>
                        </w:tc>
                        <w:tc>
                          <w:tcPr>
                            <w:tcW w:w="1080" w:type="dxa"/>
                            <w:tcBorders>
                              <w:top w:val="nil"/>
                              <w:left w:val="nil"/>
                              <w:bottom w:val="single" w:sz="4" w:space="0" w:color="auto"/>
                              <w:right w:val="single" w:sz="4" w:space="0" w:color="auto"/>
                            </w:tcBorders>
                            <w:noWrap/>
                            <w:vAlign w:val="center"/>
                            <w:hideMark/>
                          </w:tcPr>
                          <w:p w14:paraId="3EA7211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57.1</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2CAC6FE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w:t>
                            </w:r>
                          </w:p>
                        </w:tc>
                      </w:tr>
                      <w:tr w:rsidR="00692EC7" w:rsidRPr="00E05EC1" w14:paraId="51CB8EE0"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9936436"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106</w:t>
                            </w:r>
                          </w:p>
                        </w:tc>
                        <w:tc>
                          <w:tcPr>
                            <w:tcW w:w="901" w:type="dxa"/>
                            <w:tcBorders>
                              <w:top w:val="nil"/>
                              <w:left w:val="nil"/>
                              <w:bottom w:val="single" w:sz="4" w:space="0" w:color="auto"/>
                              <w:right w:val="single" w:sz="4" w:space="0" w:color="auto"/>
                            </w:tcBorders>
                            <w:vAlign w:val="center"/>
                          </w:tcPr>
                          <w:p w14:paraId="66782DA1"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1,511.0</w:t>
                            </w:r>
                          </w:p>
                        </w:tc>
                        <w:tc>
                          <w:tcPr>
                            <w:tcW w:w="960" w:type="dxa"/>
                            <w:tcBorders>
                              <w:top w:val="nil"/>
                              <w:left w:val="nil"/>
                              <w:bottom w:val="single" w:sz="4" w:space="0" w:color="auto"/>
                              <w:right w:val="double" w:sz="4" w:space="0" w:color="auto"/>
                            </w:tcBorders>
                            <w:noWrap/>
                            <w:vAlign w:val="center"/>
                            <w:hideMark/>
                          </w:tcPr>
                          <w:p w14:paraId="2B7B544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1,594.4</w:t>
                            </w:r>
                          </w:p>
                        </w:tc>
                        <w:tc>
                          <w:tcPr>
                            <w:tcW w:w="1080" w:type="dxa"/>
                            <w:tcBorders>
                              <w:top w:val="nil"/>
                              <w:left w:val="nil"/>
                              <w:bottom w:val="single" w:sz="4" w:space="0" w:color="auto"/>
                              <w:right w:val="single" w:sz="4" w:space="0" w:color="auto"/>
                            </w:tcBorders>
                            <w:noWrap/>
                            <w:vAlign w:val="center"/>
                            <w:hideMark/>
                          </w:tcPr>
                          <w:p w14:paraId="355DED82"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73.8</w:t>
                            </w:r>
                          </w:p>
                        </w:tc>
                        <w:tc>
                          <w:tcPr>
                            <w:tcW w:w="1440" w:type="dxa"/>
                            <w:tcBorders>
                              <w:top w:val="nil"/>
                              <w:left w:val="nil"/>
                              <w:bottom w:val="single" w:sz="4" w:space="0" w:color="auto"/>
                              <w:right w:val="single" w:sz="4" w:space="0" w:color="auto"/>
                            </w:tcBorders>
                            <w:noWrap/>
                            <w:vAlign w:val="center"/>
                            <w:hideMark/>
                          </w:tcPr>
                          <w:p w14:paraId="6F6D5E6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94.3</w:t>
                            </w:r>
                          </w:p>
                        </w:tc>
                      </w:tr>
                      <w:tr w:rsidR="00692EC7" w:rsidRPr="00E05EC1" w14:paraId="04FB89DB"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09351227"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107</w:t>
                            </w:r>
                          </w:p>
                        </w:tc>
                        <w:tc>
                          <w:tcPr>
                            <w:tcW w:w="901" w:type="dxa"/>
                            <w:tcBorders>
                              <w:top w:val="nil"/>
                              <w:left w:val="nil"/>
                              <w:bottom w:val="single" w:sz="4" w:space="0" w:color="auto"/>
                              <w:right w:val="single" w:sz="4" w:space="0" w:color="auto"/>
                            </w:tcBorders>
                            <w:vAlign w:val="center"/>
                          </w:tcPr>
                          <w:p w14:paraId="54060F6C"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1,559.5</w:t>
                            </w:r>
                          </w:p>
                        </w:tc>
                        <w:tc>
                          <w:tcPr>
                            <w:tcW w:w="960" w:type="dxa"/>
                            <w:tcBorders>
                              <w:top w:val="nil"/>
                              <w:left w:val="nil"/>
                              <w:bottom w:val="single" w:sz="4" w:space="0" w:color="auto"/>
                              <w:right w:val="double" w:sz="4" w:space="0" w:color="auto"/>
                            </w:tcBorders>
                            <w:noWrap/>
                            <w:vAlign w:val="center"/>
                            <w:hideMark/>
                          </w:tcPr>
                          <w:p w14:paraId="078A975A"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1,631.9</w:t>
                            </w:r>
                          </w:p>
                        </w:tc>
                        <w:tc>
                          <w:tcPr>
                            <w:tcW w:w="1080" w:type="dxa"/>
                            <w:tcBorders>
                              <w:top w:val="nil"/>
                              <w:left w:val="nil"/>
                              <w:bottom w:val="single" w:sz="4" w:space="0" w:color="auto"/>
                              <w:right w:val="single" w:sz="4" w:space="0" w:color="auto"/>
                            </w:tcBorders>
                            <w:noWrap/>
                            <w:vAlign w:val="center"/>
                            <w:hideMark/>
                          </w:tcPr>
                          <w:p w14:paraId="6ADD077F"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58.3</w:t>
                            </w:r>
                          </w:p>
                        </w:tc>
                        <w:tc>
                          <w:tcPr>
                            <w:tcW w:w="1440" w:type="dxa"/>
                            <w:tcBorders>
                              <w:top w:val="nil"/>
                              <w:left w:val="nil"/>
                              <w:bottom w:val="single" w:sz="4" w:space="0" w:color="auto"/>
                              <w:right w:val="single" w:sz="4" w:space="0" w:color="auto"/>
                            </w:tcBorders>
                            <w:noWrap/>
                            <w:vAlign w:val="center"/>
                            <w:hideMark/>
                          </w:tcPr>
                          <w:p w14:paraId="3C758EF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34.9</w:t>
                            </w:r>
                          </w:p>
                        </w:tc>
                      </w:tr>
                      <w:tr w:rsidR="00692EC7" w:rsidRPr="00E05EC1" w14:paraId="2C14AF29"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40E45965"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108</w:t>
                            </w:r>
                          </w:p>
                        </w:tc>
                        <w:tc>
                          <w:tcPr>
                            <w:tcW w:w="901" w:type="dxa"/>
                            <w:tcBorders>
                              <w:top w:val="nil"/>
                              <w:left w:val="nil"/>
                              <w:bottom w:val="single" w:sz="4" w:space="0" w:color="auto"/>
                              <w:right w:val="single" w:sz="4" w:space="0" w:color="auto"/>
                            </w:tcBorders>
                            <w:vAlign w:val="center"/>
                          </w:tcPr>
                          <w:p w14:paraId="1346526F"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1,623.1</w:t>
                            </w:r>
                          </w:p>
                        </w:tc>
                        <w:tc>
                          <w:tcPr>
                            <w:tcW w:w="960" w:type="dxa"/>
                            <w:tcBorders>
                              <w:top w:val="nil"/>
                              <w:left w:val="nil"/>
                              <w:bottom w:val="single" w:sz="4" w:space="0" w:color="auto"/>
                              <w:right w:val="double" w:sz="4" w:space="0" w:color="auto"/>
                            </w:tcBorders>
                            <w:noWrap/>
                            <w:vAlign w:val="center"/>
                            <w:hideMark/>
                          </w:tcPr>
                          <w:p w14:paraId="0BD51E88"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1,678.3</w:t>
                            </w:r>
                          </w:p>
                        </w:tc>
                        <w:tc>
                          <w:tcPr>
                            <w:tcW w:w="1080" w:type="dxa"/>
                            <w:tcBorders>
                              <w:top w:val="nil"/>
                              <w:left w:val="nil"/>
                              <w:bottom w:val="single" w:sz="4" w:space="0" w:color="auto"/>
                              <w:right w:val="single" w:sz="4" w:space="0" w:color="auto"/>
                            </w:tcBorders>
                            <w:noWrap/>
                            <w:vAlign w:val="center"/>
                            <w:hideMark/>
                          </w:tcPr>
                          <w:p w14:paraId="0A00EF59"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40.4</w:t>
                            </w:r>
                          </w:p>
                        </w:tc>
                        <w:tc>
                          <w:tcPr>
                            <w:tcW w:w="1440" w:type="dxa"/>
                            <w:tcBorders>
                              <w:top w:val="nil"/>
                              <w:left w:val="nil"/>
                              <w:bottom w:val="single" w:sz="4" w:space="0" w:color="auto"/>
                              <w:right w:val="single" w:sz="4" w:space="0" w:color="auto"/>
                            </w:tcBorders>
                            <w:noWrap/>
                            <w:vAlign w:val="center"/>
                            <w:hideMark/>
                          </w:tcPr>
                          <w:p w14:paraId="60EAD5B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8.8</w:t>
                            </w:r>
                          </w:p>
                        </w:tc>
                      </w:tr>
                      <w:tr w:rsidR="00692EC7" w:rsidRPr="00E05EC1" w14:paraId="7B06FFB0"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09072CA"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109</w:t>
                            </w:r>
                          </w:p>
                        </w:tc>
                        <w:tc>
                          <w:tcPr>
                            <w:tcW w:w="901" w:type="dxa"/>
                            <w:tcBorders>
                              <w:top w:val="nil"/>
                              <w:left w:val="nil"/>
                              <w:bottom w:val="single" w:sz="4" w:space="0" w:color="auto"/>
                              <w:right w:val="single" w:sz="4" w:space="0" w:color="auto"/>
                            </w:tcBorders>
                            <w:vAlign w:val="center"/>
                          </w:tcPr>
                          <w:p w14:paraId="30908062"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1,702.3</w:t>
                            </w:r>
                          </w:p>
                        </w:tc>
                        <w:tc>
                          <w:tcPr>
                            <w:tcW w:w="960" w:type="dxa"/>
                            <w:tcBorders>
                              <w:top w:val="nil"/>
                              <w:left w:val="nil"/>
                              <w:bottom w:val="single" w:sz="4" w:space="0" w:color="auto"/>
                              <w:right w:val="double" w:sz="4" w:space="0" w:color="auto"/>
                            </w:tcBorders>
                            <w:noWrap/>
                            <w:vAlign w:val="center"/>
                            <w:hideMark/>
                          </w:tcPr>
                          <w:p w14:paraId="3299F0A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1,803.6</w:t>
                            </w:r>
                          </w:p>
                        </w:tc>
                        <w:tc>
                          <w:tcPr>
                            <w:tcW w:w="1080" w:type="dxa"/>
                            <w:tcBorders>
                              <w:top w:val="nil"/>
                              <w:left w:val="nil"/>
                              <w:bottom w:val="single" w:sz="4" w:space="0" w:color="auto"/>
                              <w:right w:val="single" w:sz="4" w:space="0" w:color="auto"/>
                            </w:tcBorders>
                            <w:noWrap/>
                            <w:vAlign w:val="center"/>
                            <w:hideMark/>
                          </w:tcPr>
                          <w:p w14:paraId="56B1908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74.6</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750279C9"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w:t>
                            </w:r>
                          </w:p>
                        </w:tc>
                      </w:tr>
                      <w:tr w:rsidR="00692EC7" w:rsidRPr="00E05EC1" w14:paraId="4E68D382"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568C03E3"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110</w:t>
                            </w:r>
                          </w:p>
                        </w:tc>
                        <w:tc>
                          <w:tcPr>
                            <w:tcW w:w="901" w:type="dxa"/>
                            <w:tcBorders>
                              <w:top w:val="nil"/>
                              <w:left w:val="nil"/>
                              <w:bottom w:val="single" w:sz="4" w:space="0" w:color="auto"/>
                              <w:right w:val="single" w:sz="4" w:space="0" w:color="auto"/>
                            </w:tcBorders>
                            <w:vAlign w:val="center"/>
                          </w:tcPr>
                          <w:p w14:paraId="547E0C88"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1,779.3</w:t>
                            </w:r>
                          </w:p>
                        </w:tc>
                        <w:tc>
                          <w:tcPr>
                            <w:tcW w:w="960" w:type="dxa"/>
                            <w:tcBorders>
                              <w:top w:val="nil"/>
                              <w:left w:val="nil"/>
                              <w:bottom w:val="single" w:sz="4" w:space="0" w:color="auto"/>
                              <w:right w:val="double" w:sz="4" w:space="0" w:color="auto"/>
                            </w:tcBorders>
                            <w:noWrap/>
                            <w:vAlign w:val="center"/>
                            <w:hideMark/>
                          </w:tcPr>
                          <w:p w14:paraId="02B39AEC"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1,897.8</w:t>
                            </w:r>
                          </w:p>
                        </w:tc>
                        <w:tc>
                          <w:tcPr>
                            <w:tcW w:w="1080" w:type="dxa"/>
                            <w:vMerge w:val="restart"/>
                            <w:tcBorders>
                              <w:top w:val="nil"/>
                              <w:left w:val="single" w:sz="4" w:space="0" w:color="auto"/>
                              <w:bottom w:val="single" w:sz="4" w:space="0" w:color="000000"/>
                              <w:right w:val="single" w:sz="4" w:space="0" w:color="auto"/>
                            </w:tcBorders>
                            <w:noWrap/>
                            <w:vAlign w:val="center"/>
                            <w:hideMark/>
                          </w:tcPr>
                          <w:p w14:paraId="3F4AF739"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81.8</w:t>
                            </w:r>
                          </w:p>
                          <w:p w14:paraId="39FB14FC"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（註</w:t>
                            </w:r>
                            <w:r>
                              <w:rPr>
                                <w:rFonts w:ascii="標楷體" w:eastAsia="標楷體" w:hAnsi="標楷體" w:cs="新細明體"/>
                                <w:sz w:val="20"/>
                              </w:rPr>
                              <w:t>2</w:t>
                            </w:r>
                            <w:r w:rsidRPr="00E05EC1">
                              <w:rPr>
                                <w:rFonts w:ascii="標楷體" w:eastAsia="標楷體" w:hAnsi="標楷體" w:cs="新細明體" w:hint="eastAsia"/>
                                <w:sz w:val="20"/>
                                <w:szCs w:val="20"/>
                              </w:rPr>
                              <w:t>）</w:t>
                            </w:r>
                          </w:p>
                        </w:tc>
                        <w:tc>
                          <w:tcPr>
                            <w:tcW w:w="1440" w:type="dxa"/>
                            <w:tcBorders>
                              <w:top w:val="nil"/>
                              <w:left w:val="nil"/>
                              <w:bottom w:val="single" w:sz="4" w:space="0" w:color="auto"/>
                              <w:right w:val="single" w:sz="4" w:space="0" w:color="auto"/>
                            </w:tcBorders>
                            <w:noWrap/>
                            <w:vAlign w:val="center"/>
                            <w:hideMark/>
                          </w:tcPr>
                          <w:p w14:paraId="7060D8C4" w14:textId="77777777" w:rsidR="00692EC7" w:rsidRPr="00E05EC1" w:rsidRDefault="00692EC7" w:rsidP="00251157">
                            <w:pPr>
                              <w:spacing w:line="320" w:lineRule="exact"/>
                              <w:ind w:left="720" w:rightChars="10" w:right="24"/>
                              <w:jc w:val="right"/>
                              <w:rPr>
                                <w:rFonts w:ascii="標楷體" w:eastAsia="標楷體" w:hAnsi="標楷體"/>
                                <w:sz w:val="20"/>
                                <w:szCs w:val="20"/>
                              </w:rPr>
                            </w:pPr>
                            <w:r w:rsidRPr="00E05EC1">
                              <w:rPr>
                                <w:rFonts w:ascii="標楷體" w:eastAsia="標楷體" w:hAnsi="標楷體" w:hint="eastAsia"/>
                                <w:sz w:val="20"/>
                                <w:szCs w:val="20"/>
                              </w:rPr>
                              <w:t>24.3</w:t>
                            </w:r>
                          </w:p>
                        </w:tc>
                      </w:tr>
                      <w:tr w:rsidR="00692EC7" w:rsidRPr="00E05EC1" w14:paraId="144BCC48"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26870941"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111</w:t>
                            </w:r>
                          </w:p>
                        </w:tc>
                        <w:tc>
                          <w:tcPr>
                            <w:tcW w:w="901" w:type="dxa"/>
                            <w:tcBorders>
                              <w:top w:val="nil"/>
                              <w:left w:val="nil"/>
                              <w:bottom w:val="single" w:sz="4" w:space="0" w:color="auto"/>
                              <w:right w:val="single" w:sz="4" w:space="0" w:color="auto"/>
                            </w:tcBorders>
                            <w:vAlign w:val="center"/>
                          </w:tcPr>
                          <w:p w14:paraId="257AD317"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1,835.5</w:t>
                            </w:r>
                          </w:p>
                        </w:tc>
                        <w:tc>
                          <w:tcPr>
                            <w:tcW w:w="960" w:type="dxa"/>
                            <w:tcBorders>
                              <w:top w:val="nil"/>
                              <w:left w:val="nil"/>
                              <w:bottom w:val="single" w:sz="4" w:space="0" w:color="auto"/>
                              <w:right w:val="double" w:sz="4" w:space="0" w:color="auto"/>
                            </w:tcBorders>
                            <w:noWrap/>
                            <w:vAlign w:val="center"/>
                            <w:hideMark/>
                          </w:tcPr>
                          <w:p w14:paraId="7400CFFA"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1,921.9</w:t>
                            </w:r>
                          </w:p>
                        </w:tc>
                        <w:tc>
                          <w:tcPr>
                            <w:tcW w:w="1080" w:type="dxa"/>
                            <w:vMerge/>
                            <w:tcBorders>
                              <w:top w:val="nil"/>
                              <w:left w:val="single" w:sz="4" w:space="0" w:color="auto"/>
                              <w:bottom w:val="single" w:sz="4" w:space="0" w:color="000000"/>
                              <w:right w:val="single" w:sz="4" w:space="0" w:color="auto"/>
                            </w:tcBorders>
                            <w:vAlign w:val="center"/>
                            <w:hideMark/>
                          </w:tcPr>
                          <w:p w14:paraId="5E37939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p>
                        </w:tc>
                        <w:tc>
                          <w:tcPr>
                            <w:tcW w:w="1440" w:type="dxa"/>
                            <w:tcBorders>
                              <w:top w:val="nil"/>
                              <w:left w:val="nil"/>
                              <w:bottom w:val="single" w:sz="4" w:space="0" w:color="auto"/>
                              <w:right w:val="single" w:sz="4" w:space="0" w:color="auto"/>
                            </w:tcBorders>
                            <w:noWrap/>
                            <w:vAlign w:val="center"/>
                            <w:hideMark/>
                          </w:tcPr>
                          <w:p w14:paraId="15270086" w14:textId="77777777" w:rsidR="00692EC7" w:rsidRPr="00E05EC1" w:rsidRDefault="00692EC7" w:rsidP="00251157">
                            <w:pPr>
                              <w:spacing w:line="320" w:lineRule="exact"/>
                              <w:ind w:left="360" w:rightChars="10" w:right="24"/>
                              <w:jc w:val="right"/>
                              <w:rPr>
                                <w:rFonts w:ascii="標楷體" w:eastAsia="標楷體" w:hAnsi="標楷體"/>
                                <w:sz w:val="20"/>
                                <w:szCs w:val="20"/>
                              </w:rPr>
                            </w:pPr>
                            <w:r w:rsidRPr="00E05EC1">
                              <w:rPr>
                                <w:rFonts w:ascii="標楷體" w:eastAsia="標楷體" w:hAnsi="標楷體" w:hint="eastAsia"/>
                                <w:sz w:val="20"/>
                                <w:szCs w:val="20"/>
                              </w:rPr>
                              <w:t>62.3</w:t>
                            </w:r>
                          </w:p>
                        </w:tc>
                      </w:tr>
                      <w:tr w:rsidR="00692EC7" w:rsidRPr="00E05EC1" w14:paraId="081D1C78"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AE89117"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112</w:t>
                            </w:r>
                          </w:p>
                        </w:tc>
                        <w:tc>
                          <w:tcPr>
                            <w:tcW w:w="901" w:type="dxa"/>
                            <w:tcBorders>
                              <w:top w:val="nil"/>
                              <w:left w:val="nil"/>
                              <w:bottom w:val="single" w:sz="4" w:space="0" w:color="auto"/>
                              <w:right w:val="single" w:sz="4" w:space="0" w:color="auto"/>
                            </w:tcBorders>
                            <w:vAlign w:val="center"/>
                          </w:tcPr>
                          <w:p w14:paraId="0712FC45"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1,886.1</w:t>
                            </w:r>
                          </w:p>
                        </w:tc>
                        <w:tc>
                          <w:tcPr>
                            <w:tcW w:w="960" w:type="dxa"/>
                            <w:tcBorders>
                              <w:top w:val="nil"/>
                              <w:left w:val="nil"/>
                              <w:bottom w:val="single" w:sz="4" w:space="0" w:color="auto"/>
                              <w:right w:val="double" w:sz="4" w:space="0" w:color="auto"/>
                            </w:tcBorders>
                            <w:noWrap/>
                            <w:vAlign w:val="center"/>
                            <w:hideMark/>
                          </w:tcPr>
                          <w:p w14:paraId="7E649F88"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1,990.4</w:t>
                            </w:r>
                          </w:p>
                        </w:tc>
                        <w:tc>
                          <w:tcPr>
                            <w:tcW w:w="1080" w:type="dxa"/>
                            <w:tcBorders>
                              <w:top w:val="nil"/>
                              <w:left w:val="nil"/>
                              <w:bottom w:val="single" w:sz="4" w:space="0" w:color="auto"/>
                              <w:right w:val="single" w:sz="4" w:space="0" w:color="auto"/>
                            </w:tcBorders>
                            <w:noWrap/>
                            <w:vAlign w:val="center"/>
                            <w:hideMark/>
                          </w:tcPr>
                          <w:p w14:paraId="754914A5"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55.3</w:t>
                            </w:r>
                          </w:p>
                        </w:tc>
                        <w:tc>
                          <w:tcPr>
                            <w:tcW w:w="1440" w:type="dxa"/>
                            <w:tcBorders>
                              <w:top w:val="nil"/>
                              <w:left w:val="nil"/>
                              <w:bottom w:val="single" w:sz="4" w:space="0" w:color="auto"/>
                              <w:right w:val="single" w:sz="4" w:space="0" w:color="auto"/>
                            </w:tcBorders>
                            <w:noWrap/>
                            <w:vAlign w:val="center"/>
                            <w:hideMark/>
                          </w:tcPr>
                          <w:p w14:paraId="0FAA020B"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35.8</w:t>
                            </w:r>
                          </w:p>
                        </w:tc>
                      </w:tr>
                      <w:tr w:rsidR="00692EC7" w:rsidRPr="00E05EC1" w14:paraId="52163177"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5FD9CB1C"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113</w:t>
                            </w:r>
                          </w:p>
                        </w:tc>
                        <w:tc>
                          <w:tcPr>
                            <w:tcW w:w="901" w:type="dxa"/>
                            <w:tcBorders>
                              <w:top w:val="nil"/>
                              <w:left w:val="nil"/>
                              <w:bottom w:val="single" w:sz="4" w:space="0" w:color="auto"/>
                              <w:right w:val="single" w:sz="4" w:space="0" w:color="auto"/>
                            </w:tcBorders>
                            <w:vAlign w:val="center"/>
                          </w:tcPr>
                          <w:p w14:paraId="4151CEC2"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1,983.8</w:t>
                            </w:r>
                          </w:p>
                        </w:tc>
                        <w:tc>
                          <w:tcPr>
                            <w:tcW w:w="960" w:type="dxa"/>
                            <w:tcBorders>
                              <w:top w:val="nil"/>
                              <w:left w:val="nil"/>
                              <w:bottom w:val="single" w:sz="4" w:space="0" w:color="auto"/>
                              <w:right w:val="double" w:sz="4" w:space="0" w:color="auto"/>
                            </w:tcBorders>
                            <w:vAlign w:val="center"/>
                            <w:hideMark/>
                          </w:tcPr>
                          <w:p w14:paraId="7A75BD4B"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2,069.1</w:t>
                            </w:r>
                          </w:p>
                        </w:tc>
                        <w:tc>
                          <w:tcPr>
                            <w:tcW w:w="1080" w:type="dxa"/>
                            <w:tcBorders>
                              <w:top w:val="nil"/>
                              <w:left w:val="nil"/>
                              <w:bottom w:val="single" w:sz="4" w:space="0" w:color="auto"/>
                              <w:right w:val="single" w:sz="4" w:space="0" w:color="auto"/>
                            </w:tcBorders>
                            <w:noWrap/>
                            <w:vAlign w:val="center"/>
                            <w:hideMark/>
                          </w:tcPr>
                          <w:p w14:paraId="11EBD7C4"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48.5</w:t>
                            </w:r>
                          </w:p>
                        </w:tc>
                        <w:tc>
                          <w:tcPr>
                            <w:tcW w:w="1440" w:type="dxa"/>
                            <w:tcBorders>
                              <w:top w:val="nil"/>
                              <w:left w:val="nil"/>
                              <w:bottom w:val="single" w:sz="4" w:space="0" w:color="auto"/>
                              <w:right w:val="single" w:sz="4" w:space="0" w:color="auto"/>
                            </w:tcBorders>
                            <w:noWrap/>
                            <w:vAlign w:val="center"/>
                            <w:hideMark/>
                          </w:tcPr>
                          <w:p w14:paraId="1FC134E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6.6</w:t>
                            </w:r>
                          </w:p>
                        </w:tc>
                      </w:tr>
                      <w:tr w:rsidR="00692EC7" w:rsidRPr="00E05EC1" w14:paraId="5B08E130" w14:textId="77777777" w:rsidTr="006F51FE">
                        <w:trPr>
                          <w:trHeight w:val="425"/>
                        </w:trPr>
                        <w:tc>
                          <w:tcPr>
                            <w:tcW w:w="659" w:type="dxa"/>
                            <w:tcBorders>
                              <w:top w:val="nil"/>
                              <w:left w:val="single" w:sz="4" w:space="0" w:color="auto"/>
                              <w:bottom w:val="single" w:sz="4" w:space="0" w:color="auto"/>
                              <w:right w:val="single" w:sz="4" w:space="0" w:color="auto"/>
                            </w:tcBorders>
                            <w:noWrap/>
                            <w:vAlign w:val="center"/>
                            <w:hideMark/>
                          </w:tcPr>
                          <w:p w14:paraId="387495FF" w14:textId="77777777" w:rsidR="00692EC7" w:rsidRPr="00E05EC1" w:rsidRDefault="00692EC7" w:rsidP="00251157">
                            <w:pPr>
                              <w:widowControl/>
                              <w:spacing w:line="320" w:lineRule="exact"/>
                              <w:ind w:rightChars="10" w:right="24"/>
                              <w:jc w:val="center"/>
                              <w:rPr>
                                <w:rFonts w:ascii="標楷體" w:eastAsia="標楷體" w:hAnsi="標楷體" w:cs="新細明體"/>
                                <w:sz w:val="20"/>
                                <w:szCs w:val="20"/>
                              </w:rPr>
                            </w:pPr>
                            <w:r w:rsidRPr="00E05EC1">
                              <w:rPr>
                                <w:rFonts w:ascii="標楷體" w:eastAsia="標楷體" w:hAnsi="標楷體" w:cs="新細明體" w:hint="eastAsia"/>
                                <w:sz w:val="20"/>
                                <w:szCs w:val="20"/>
                              </w:rPr>
                              <w:t>114</w:t>
                            </w:r>
                          </w:p>
                        </w:tc>
                        <w:tc>
                          <w:tcPr>
                            <w:tcW w:w="901" w:type="dxa"/>
                            <w:tcBorders>
                              <w:top w:val="nil"/>
                              <w:left w:val="nil"/>
                              <w:bottom w:val="single" w:sz="4" w:space="0" w:color="auto"/>
                              <w:right w:val="single" w:sz="4" w:space="0" w:color="auto"/>
                            </w:tcBorders>
                            <w:vAlign w:val="center"/>
                          </w:tcPr>
                          <w:p w14:paraId="6BAB2376"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2,088.7</w:t>
                            </w:r>
                          </w:p>
                        </w:tc>
                        <w:tc>
                          <w:tcPr>
                            <w:tcW w:w="960" w:type="dxa"/>
                            <w:tcBorders>
                              <w:top w:val="nil"/>
                              <w:left w:val="nil"/>
                              <w:bottom w:val="single" w:sz="4" w:space="0" w:color="auto"/>
                              <w:right w:val="double" w:sz="4" w:space="0" w:color="auto"/>
                            </w:tcBorders>
                            <w:vAlign w:val="center"/>
                            <w:hideMark/>
                          </w:tcPr>
                          <w:p w14:paraId="1F7C5F2E"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sz w:val="20"/>
                                <w:szCs w:val="20"/>
                              </w:rPr>
                              <w:t>2,186.1</w:t>
                            </w:r>
                          </w:p>
                        </w:tc>
                        <w:tc>
                          <w:tcPr>
                            <w:tcW w:w="1080" w:type="dxa"/>
                            <w:tcBorders>
                              <w:top w:val="nil"/>
                              <w:left w:val="nil"/>
                              <w:bottom w:val="single" w:sz="4" w:space="0" w:color="auto"/>
                              <w:right w:val="single" w:sz="4" w:space="0" w:color="auto"/>
                            </w:tcBorders>
                            <w:noWrap/>
                            <w:vAlign w:val="center"/>
                            <w:hideMark/>
                          </w:tcPr>
                          <w:p w14:paraId="015C1E3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36.2</w:t>
                            </w:r>
                          </w:p>
                        </w:tc>
                        <w:tc>
                          <w:tcPr>
                            <w:tcW w:w="1440" w:type="dxa"/>
                            <w:tcBorders>
                              <w:top w:val="single" w:sz="4" w:space="0" w:color="auto"/>
                              <w:left w:val="nil"/>
                              <w:bottom w:val="single" w:sz="4" w:space="0" w:color="auto"/>
                              <w:right w:val="single" w:sz="4" w:space="0" w:color="auto"/>
                              <w:tl2br w:val="single" w:sz="4" w:space="0" w:color="auto"/>
                            </w:tcBorders>
                            <w:noWrap/>
                            <w:vAlign w:val="center"/>
                            <w:hideMark/>
                          </w:tcPr>
                          <w:p w14:paraId="45FECCF0" w14:textId="77777777" w:rsidR="00692EC7" w:rsidRPr="00E05EC1" w:rsidRDefault="00692EC7" w:rsidP="00251157">
                            <w:pPr>
                              <w:widowControl/>
                              <w:spacing w:line="320" w:lineRule="exact"/>
                              <w:ind w:rightChars="10" w:right="24"/>
                              <w:jc w:val="right"/>
                              <w:rPr>
                                <w:rFonts w:ascii="標楷體" w:eastAsia="標楷體" w:hAnsi="標楷體" w:cs="新細明體"/>
                                <w:sz w:val="20"/>
                                <w:szCs w:val="20"/>
                              </w:rPr>
                            </w:pPr>
                            <w:r w:rsidRPr="00E05EC1">
                              <w:rPr>
                                <w:rFonts w:ascii="標楷體" w:eastAsia="標楷體" w:hAnsi="標楷體" w:cs="新細明體" w:hint="eastAsia"/>
                                <w:sz w:val="20"/>
                                <w:szCs w:val="20"/>
                              </w:rPr>
                              <w:t xml:space="preserve">　</w:t>
                            </w:r>
                          </w:p>
                        </w:tc>
                      </w:tr>
                    </w:tbl>
                    <w:bookmarkEnd w:id="5"/>
                    <w:p w14:paraId="7EB3D71C" w14:textId="77777777" w:rsidR="00692EC7" w:rsidRDefault="00692EC7" w:rsidP="006F51FE">
                      <w:pPr>
                        <w:spacing w:line="240" w:lineRule="exact"/>
                        <w:ind w:left="531" w:rightChars="48" w:right="115" w:hangingChars="295" w:hanging="531"/>
                        <w:jc w:val="both"/>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sidRPr="00AA01EB">
                        <w:rPr>
                          <w:rFonts w:ascii="標楷體" w:eastAsia="標楷體" w:hAnsi="標楷體" w:hint="eastAsia"/>
                          <w:sz w:val="18"/>
                        </w:rPr>
                        <w:t>自106年度起，超出目標值之額度，係以藥品費用核付金額扣除目標值後，再扣除當年度藥品</w:t>
                      </w:r>
                      <w:r>
                        <w:rPr>
                          <w:rFonts w:ascii="標楷體" w:eastAsia="標楷體" w:hAnsi="標楷體" w:hint="eastAsia"/>
                          <w:sz w:val="18"/>
                        </w:rPr>
                        <w:t>給付</w:t>
                      </w:r>
                      <w:r w:rsidRPr="00AA01EB">
                        <w:rPr>
                          <w:rFonts w:ascii="標楷體" w:eastAsia="標楷體" w:hAnsi="標楷體" w:hint="eastAsia"/>
                          <w:sz w:val="18"/>
                        </w:rPr>
                        <w:t>協議回收金額。</w:t>
                      </w:r>
                    </w:p>
                    <w:p w14:paraId="545043DB" w14:textId="77777777" w:rsidR="00692EC7" w:rsidRPr="00A633D0" w:rsidRDefault="00692EC7" w:rsidP="006F51FE">
                      <w:pPr>
                        <w:spacing w:line="240" w:lineRule="exact"/>
                        <w:ind w:leftChars="2" w:left="545" w:rightChars="48" w:right="115" w:hangingChars="300" w:hanging="540"/>
                        <w:jc w:val="both"/>
                        <w:rPr>
                          <w:rFonts w:ascii="標楷體" w:eastAsia="標楷體" w:hAnsi="標楷體"/>
                          <w:sz w:val="18"/>
                          <w:szCs w:val="18"/>
                        </w:rPr>
                      </w:pPr>
                      <w:r w:rsidRPr="00A633D0">
                        <w:rPr>
                          <w:rFonts w:ascii="標楷體" w:eastAsia="標楷體" w:hAnsi="標楷體" w:hint="eastAsia"/>
                          <w:sz w:val="18"/>
                          <w:szCs w:val="18"/>
                        </w:rPr>
                        <w:t xml:space="preserve">　　</w:t>
                      </w:r>
                      <w:r>
                        <w:rPr>
                          <w:rFonts w:ascii="標楷體" w:eastAsia="標楷體" w:hAnsi="標楷體" w:hint="eastAsia"/>
                          <w:sz w:val="18"/>
                        </w:rPr>
                        <w:t>2</w:t>
                      </w:r>
                      <w:r>
                        <w:rPr>
                          <w:rFonts w:ascii="標楷體" w:eastAsia="標楷體" w:hAnsi="標楷體"/>
                          <w:sz w:val="18"/>
                        </w:rPr>
                        <w:t>.</w:t>
                      </w:r>
                      <w:r w:rsidRPr="00251157">
                        <w:rPr>
                          <w:rFonts w:ascii="標楷體" w:eastAsia="標楷體" w:hAnsi="標楷體" w:hint="eastAsia"/>
                          <w:sz w:val="18"/>
                          <w:szCs w:val="18"/>
                        </w:rPr>
                        <w:t>受新型冠狀病毒肺炎（COVID－19）疫情影響，合併檢討110至111年度藥價。</w:t>
                      </w:r>
                    </w:p>
                    <w:p w14:paraId="26481DF9" w14:textId="77777777" w:rsidR="00692EC7" w:rsidRDefault="00692EC7" w:rsidP="006F51FE">
                      <w:pPr>
                        <w:spacing w:line="240" w:lineRule="exact"/>
                        <w:ind w:leftChars="5" w:left="502" w:rightChars="20" w:right="48" w:hangingChars="272" w:hanging="490"/>
                        <w:jc w:val="both"/>
                      </w:pPr>
                      <w:r w:rsidRPr="00A633D0">
                        <w:rPr>
                          <w:rFonts w:ascii="標楷體" w:eastAsia="標楷體" w:hAnsi="標楷體" w:hint="eastAsia"/>
                          <w:sz w:val="18"/>
                          <w:szCs w:val="18"/>
                        </w:rPr>
                        <w:t xml:space="preserve">　　</w:t>
                      </w:r>
                      <w:r>
                        <w:rPr>
                          <w:rFonts w:ascii="標楷體" w:eastAsia="標楷體" w:hAnsi="標楷體"/>
                          <w:sz w:val="18"/>
                          <w:szCs w:val="18"/>
                        </w:rPr>
                        <w:t>3</w:t>
                      </w:r>
                      <w:r w:rsidRPr="00A633D0">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v:textbox>
                <w10:wrap type="square"/>
              </v:shape>
            </w:pict>
          </mc:Fallback>
        </mc:AlternateContent>
      </w:r>
      <w:r w:rsidR="005E6E9F" w:rsidRPr="008F37E7">
        <w:rPr>
          <w:rFonts w:hAnsi="標楷體" w:hint="eastAsia"/>
          <w:noProof/>
          <w:color w:val="000000" w:themeColor="text1"/>
          <w:sz w:val="24"/>
          <w:szCs w:val="24"/>
          <w:lang w:val="zh-TW"/>
        </w:rPr>
        <w:t>整額度，部分逾專利期原廠藥藥價仍高於國際水準</w:t>
      </w:r>
      <w:r w:rsidR="005E6E9F" w:rsidRPr="008F37E7">
        <w:rPr>
          <w:rFonts w:ascii="標楷體" w:hAnsi="標楷體" w:hint="eastAsia"/>
          <w:sz w:val="24"/>
          <w:szCs w:val="24"/>
        </w:rPr>
        <w:t>：</w:t>
      </w:r>
      <w:r w:rsidR="005E6E9F" w:rsidRPr="009F7854">
        <w:rPr>
          <w:rFonts w:ascii="標楷體" w:hAnsi="標楷體" w:hint="eastAsia"/>
          <w:b w:val="0"/>
          <w:bCs w:val="0"/>
          <w:sz w:val="24"/>
          <w:szCs w:val="24"/>
        </w:rPr>
        <w:t>健保署自102年起推動DET試辦方案，透過預為訂定年度藥品費用支出目標值，於藥品核付金額超出目標值時，</w:t>
      </w:r>
      <w:r w:rsidR="00310460" w:rsidRPr="00310460">
        <w:rPr>
          <w:rFonts w:ascii="標楷體" w:hAnsi="標楷體" w:hint="eastAsia"/>
          <w:b w:val="0"/>
          <w:bCs w:val="0"/>
          <w:sz w:val="24"/>
          <w:szCs w:val="24"/>
        </w:rPr>
        <w:t>依</w:t>
      </w:r>
      <w:r w:rsidR="006F51FE">
        <w:rPr>
          <w:rFonts w:ascii="標楷體" w:hAnsi="標楷體" w:hint="eastAsia"/>
          <w:b w:val="0"/>
          <w:bCs w:val="0"/>
          <w:sz w:val="24"/>
          <w:szCs w:val="24"/>
        </w:rPr>
        <w:t>全民</w:t>
      </w:r>
      <w:r w:rsidR="00310460" w:rsidRPr="00310460">
        <w:rPr>
          <w:rFonts w:ascii="標楷體" w:hAnsi="標楷體" w:hint="eastAsia"/>
          <w:b w:val="0"/>
          <w:bCs w:val="0"/>
          <w:sz w:val="24"/>
          <w:szCs w:val="24"/>
        </w:rPr>
        <w:t>健</w:t>
      </w:r>
      <w:r w:rsidR="006F51FE">
        <w:rPr>
          <w:rFonts w:ascii="標楷體" w:hAnsi="標楷體" w:hint="eastAsia"/>
          <w:b w:val="0"/>
          <w:bCs w:val="0"/>
          <w:sz w:val="24"/>
          <w:szCs w:val="24"/>
        </w:rPr>
        <w:t>康</w:t>
      </w:r>
      <w:r w:rsidR="00310460" w:rsidRPr="00310460">
        <w:rPr>
          <w:rFonts w:ascii="標楷體" w:hAnsi="標楷體" w:hint="eastAsia"/>
          <w:b w:val="0"/>
          <w:bCs w:val="0"/>
          <w:sz w:val="24"/>
          <w:szCs w:val="24"/>
        </w:rPr>
        <w:t>保</w:t>
      </w:r>
      <w:r w:rsidR="006F51FE">
        <w:rPr>
          <w:rFonts w:ascii="標楷體" w:hAnsi="標楷體" w:hint="eastAsia"/>
          <w:b w:val="0"/>
          <w:bCs w:val="0"/>
          <w:sz w:val="24"/>
          <w:szCs w:val="24"/>
        </w:rPr>
        <w:t>險</w:t>
      </w:r>
      <w:r w:rsidR="00310460" w:rsidRPr="00310460">
        <w:rPr>
          <w:rFonts w:ascii="標楷體" w:hAnsi="標楷體" w:hint="eastAsia"/>
          <w:b w:val="0"/>
          <w:bCs w:val="0"/>
          <w:sz w:val="24"/>
          <w:szCs w:val="24"/>
        </w:rPr>
        <w:t>法第62條第4項規定，</w:t>
      </w:r>
      <w:r w:rsidR="005E6E9F" w:rsidRPr="009F7854">
        <w:rPr>
          <w:rFonts w:ascii="標楷體" w:hAnsi="標楷體" w:hint="eastAsia"/>
          <w:b w:val="0"/>
          <w:bCs w:val="0"/>
          <w:sz w:val="24"/>
          <w:szCs w:val="24"/>
        </w:rPr>
        <w:t>於次一年度啟動藥價調整機制，並以超出目標值之金額作為藥價調整額度，進而控管藥費成長並提升藥價調整之可預測性。</w:t>
      </w:r>
      <w:r w:rsidR="00310460">
        <w:rPr>
          <w:rFonts w:ascii="標楷體" w:hAnsi="標楷體" w:hint="eastAsia"/>
          <w:b w:val="0"/>
          <w:bCs w:val="0"/>
          <w:sz w:val="24"/>
          <w:szCs w:val="24"/>
        </w:rPr>
        <w:t>經</w:t>
      </w:r>
      <w:r w:rsidR="005E6E9F" w:rsidRPr="009F7854">
        <w:rPr>
          <w:rFonts w:ascii="標楷體" w:hAnsi="標楷體" w:hint="eastAsia"/>
          <w:b w:val="0"/>
          <w:bCs w:val="0"/>
          <w:sz w:val="24"/>
          <w:szCs w:val="24"/>
        </w:rPr>
        <w:t>查DET試辦</w:t>
      </w:r>
      <w:r w:rsidR="005E6E9F" w:rsidRPr="009F7854">
        <w:rPr>
          <w:rFonts w:ascii="標楷體" w:hAnsi="標楷體"/>
          <w:b w:val="0"/>
          <w:bCs w:val="0"/>
          <w:sz w:val="24"/>
          <w:szCs w:val="24"/>
        </w:rPr>
        <w:t>方案</w:t>
      </w:r>
      <w:r w:rsidR="005E6E9F" w:rsidRPr="009F7854">
        <w:rPr>
          <w:rFonts w:ascii="標楷體" w:hAnsi="標楷體" w:hint="eastAsia"/>
          <w:b w:val="0"/>
          <w:bCs w:val="0"/>
          <w:sz w:val="24"/>
          <w:szCs w:val="24"/>
        </w:rPr>
        <w:t>自102年度</w:t>
      </w:r>
      <w:r w:rsidR="005913C3">
        <w:rPr>
          <w:rFonts w:ascii="標楷體" w:hAnsi="標楷體" w:hint="eastAsia"/>
          <w:b w:val="0"/>
          <w:bCs w:val="0"/>
          <w:sz w:val="24"/>
          <w:szCs w:val="24"/>
        </w:rPr>
        <w:t>推行</w:t>
      </w:r>
      <w:r w:rsidR="005E6E9F" w:rsidRPr="009F7854">
        <w:rPr>
          <w:rFonts w:ascii="標楷體" w:hAnsi="標楷體" w:hint="eastAsia"/>
          <w:b w:val="0"/>
          <w:bCs w:val="0"/>
          <w:sz w:val="24"/>
          <w:szCs w:val="24"/>
        </w:rPr>
        <w:t>以來，迄至114年底止，已屆滿13年，期間</w:t>
      </w:r>
      <w:r w:rsidR="005E6E9F" w:rsidRPr="009F7854">
        <w:rPr>
          <w:rFonts w:ascii="標楷體" w:hAnsi="標楷體"/>
          <w:b w:val="0"/>
          <w:bCs w:val="0"/>
          <w:sz w:val="24"/>
          <w:szCs w:val="24"/>
        </w:rPr>
        <w:t>受人口老化與新藥引進等因素影響</w:t>
      </w:r>
      <w:r w:rsidR="005E6E9F" w:rsidRPr="009F7854">
        <w:rPr>
          <w:rFonts w:ascii="標楷體" w:hAnsi="標楷體" w:hint="eastAsia"/>
          <w:b w:val="0"/>
          <w:bCs w:val="0"/>
          <w:sz w:val="24"/>
          <w:szCs w:val="24"/>
        </w:rPr>
        <w:t>，歷</w:t>
      </w:r>
      <w:r w:rsidR="005E6E9F" w:rsidRPr="009F7854">
        <w:rPr>
          <w:rFonts w:ascii="標楷體" w:hAnsi="標楷體"/>
          <w:b w:val="0"/>
          <w:bCs w:val="0"/>
          <w:sz w:val="24"/>
          <w:szCs w:val="24"/>
        </w:rPr>
        <w:t>年藥費核付金額均</w:t>
      </w:r>
      <w:r w:rsidR="005E6E9F" w:rsidRPr="009F7854">
        <w:rPr>
          <w:rFonts w:ascii="標楷體" w:hAnsi="標楷體" w:hint="eastAsia"/>
          <w:b w:val="0"/>
          <w:bCs w:val="0"/>
          <w:sz w:val="24"/>
          <w:szCs w:val="24"/>
        </w:rPr>
        <w:t>超出</w:t>
      </w:r>
      <w:r w:rsidR="005E6E9F" w:rsidRPr="009F7854">
        <w:rPr>
          <w:rFonts w:ascii="標楷體" w:hAnsi="標楷體"/>
          <w:b w:val="0"/>
          <w:bCs w:val="0"/>
          <w:sz w:val="24"/>
          <w:szCs w:val="24"/>
        </w:rPr>
        <w:t>年度藥品費用支出目標值</w:t>
      </w:r>
      <w:r w:rsidR="005E6E9F" w:rsidRPr="009F7854">
        <w:rPr>
          <w:rFonts w:ascii="標楷體" w:hAnsi="標楷體" w:hint="eastAsia"/>
          <w:b w:val="0"/>
          <w:bCs w:val="0"/>
          <w:sz w:val="24"/>
          <w:szCs w:val="24"/>
        </w:rPr>
        <w:t>，</w:t>
      </w:r>
      <w:r w:rsidR="002260E2" w:rsidRPr="009F7854">
        <w:rPr>
          <w:rFonts w:ascii="標楷體" w:hAnsi="標楷體" w:hint="eastAsia"/>
          <w:b w:val="0"/>
          <w:bCs w:val="0"/>
          <w:sz w:val="24"/>
          <w:szCs w:val="24"/>
        </w:rPr>
        <w:t>而現行目標值之設定，係</w:t>
      </w:r>
      <w:r w:rsidR="005E6E9F" w:rsidRPr="009F7854">
        <w:rPr>
          <w:rFonts w:ascii="標楷體" w:hAnsi="標楷體" w:hint="eastAsia"/>
          <w:b w:val="0"/>
          <w:bCs w:val="0"/>
          <w:sz w:val="24"/>
          <w:szCs w:val="24"/>
        </w:rPr>
        <w:t>以前一年度目標值為基礎推算，未能隨實際藥費支出情形適時調整，致</w:t>
      </w:r>
      <w:r w:rsidR="00310460" w:rsidRPr="009F7854">
        <w:rPr>
          <w:rFonts w:ascii="標楷體" w:hAnsi="標楷體" w:hint="eastAsia"/>
          <w:b w:val="0"/>
          <w:bCs w:val="0"/>
          <w:sz w:val="24"/>
          <w:szCs w:val="24"/>
        </w:rPr>
        <w:t>方案試</w:t>
      </w:r>
      <w:r w:rsidR="00310460" w:rsidRPr="009F7854">
        <w:rPr>
          <w:rFonts w:ascii="標楷體" w:hAnsi="標楷體"/>
          <w:b w:val="0"/>
          <w:bCs w:val="0"/>
          <w:sz w:val="24"/>
          <w:szCs w:val="24"/>
        </w:rPr>
        <w:t>辦</w:t>
      </w:r>
      <w:r w:rsidR="00310460" w:rsidRPr="009F7854">
        <w:rPr>
          <w:rFonts w:ascii="標楷體" w:hAnsi="標楷體" w:hint="eastAsia"/>
          <w:b w:val="0"/>
          <w:bCs w:val="0"/>
          <w:sz w:val="24"/>
          <w:szCs w:val="24"/>
        </w:rPr>
        <w:t>期間，</w:t>
      </w:r>
      <w:r w:rsidR="00310460" w:rsidRPr="009F7854">
        <w:rPr>
          <w:rFonts w:ascii="標楷體" w:hAnsi="標楷體"/>
          <w:b w:val="0"/>
          <w:bCs w:val="0"/>
          <w:sz w:val="24"/>
          <w:szCs w:val="24"/>
        </w:rPr>
        <w:t>有9個年度</w:t>
      </w:r>
      <w:r w:rsidR="00310460" w:rsidRPr="009F7854">
        <w:rPr>
          <w:rFonts w:ascii="標楷體" w:hAnsi="標楷體" w:hint="eastAsia"/>
          <w:b w:val="0"/>
          <w:bCs w:val="0"/>
          <w:sz w:val="24"/>
          <w:szCs w:val="24"/>
        </w:rPr>
        <w:t>之次年度</w:t>
      </w:r>
      <w:r w:rsidR="00310460" w:rsidRPr="009F7854">
        <w:rPr>
          <w:rFonts w:ascii="標楷體" w:hAnsi="標楷體"/>
          <w:b w:val="0"/>
          <w:bCs w:val="0"/>
          <w:sz w:val="24"/>
          <w:szCs w:val="24"/>
        </w:rPr>
        <w:t>目標值低於</w:t>
      </w:r>
      <w:r w:rsidR="00310460" w:rsidRPr="009F7854">
        <w:rPr>
          <w:rFonts w:ascii="標楷體" w:hAnsi="標楷體" w:hint="eastAsia"/>
          <w:b w:val="0"/>
          <w:bCs w:val="0"/>
          <w:sz w:val="24"/>
          <w:szCs w:val="24"/>
        </w:rPr>
        <w:t>前一</w:t>
      </w:r>
      <w:r w:rsidR="00310460" w:rsidRPr="009F7854">
        <w:rPr>
          <w:rFonts w:ascii="標楷體" w:hAnsi="標楷體"/>
          <w:b w:val="0"/>
          <w:bCs w:val="0"/>
          <w:sz w:val="24"/>
          <w:szCs w:val="24"/>
        </w:rPr>
        <w:t>年度實際藥費核付金額</w:t>
      </w:r>
      <w:r w:rsidR="00310460" w:rsidRPr="009F7854">
        <w:rPr>
          <w:rFonts w:ascii="標楷體" w:hAnsi="標楷體" w:hint="eastAsia"/>
          <w:b w:val="0"/>
          <w:bCs w:val="0"/>
          <w:sz w:val="24"/>
          <w:szCs w:val="24"/>
        </w:rPr>
        <w:t>（表</w:t>
      </w:r>
      <w:r w:rsidR="00310460" w:rsidRPr="009F7854">
        <w:rPr>
          <w:rFonts w:ascii="標楷體" w:hAnsi="標楷體"/>
          <w:b w:val="0"/>
          <w:bCs w:val="0"/>
          <w:sz w:val="24"/>
          <w:szCs w:val="24"/>
        </w:rPr>
        <w:t>6</w:t>
      </w:r>
      <w:r w:rsidR="00310460" w:rsidRPr="009F7854">
        <w:rPr>
          <w:rFonts w:ascii="標楷體" w:hAnsi="標楷體" w:hint="eastAsia"/>
          <w:b w:val="0"/>
          <w:bCs w:val="0"/>
          <w:sz w:val="24"/>
          <w:szCs w:val="24"/>
        </w:rPr>
        <w:t>）</w:t>
      </w:r>
      <w:r w:rsidR="00310460">
        <w:rPr>
          <w:rFonts w:ascii="標楷體" w:hAnsi="標楷體" w:hint="eastAsia"/>
          <w:b w:val="0"/>
          <w:bCs w:val="0"/>
          <w:sz w:val="24"/>
          <w:szCs w:val="24"/>
        </w:rPr>
        <w:t>，顯示</w:t>
      </w:r>
      <w:r w:rsidR="005E6E9F" w:rsidRPr="009F7854">
        <w:rPr>
          <w:rFonts w:ascii="標楷體" w:hAnsi="標楷體" w:hint="eastAsia"/>
          <w:b w:val="0"/>
          <w:bCs w:val="0"/>
          <w:sz w:val="24"/>
          <w:szCs w:val="24"/>
        </w:rPr>
        <w:t>所訂目標值與實際藥費支出情形長期存有落差</w:t>
      </w:r>
      <w:r w:rsidR="00310460">
        <w:rPr>
          <w:rFonts w:ascii="標楷體" w:hAnsi="標楷體" w:hint="eastAsia"/>
          <w:b w:val="0"/>
          <w:bCs w:val="0"/>
          <w:sz w:val="24"/>
          <w:szCs w:val="24"/>
        </w:rPr>
        <w:t>。</w:t>
      </w:r>
      <w:r w:rsidR="005E6E9F" w:rsidRPr="009F7854">
        <w:rPr>
          <w:rFonts w:ascii="標楷體" w:hAnsi="標楷體" w:hint="eastAsia"/>
          <w:b w:val="0"/>
          <w:bCs w:val="0"/>
          <w:sz w:val="24"/>
          <w:szCs w:val="24"/>
        </w:rPr>
        <w:t>又現行藥價調整作業，囿於藥價調整額度上限，致有部分</w:t>
      </w:r>
      <w:r w:rsidR="005913C3" w:rsidRPr="009F7854">
        <w:rPr>
          <w:rFonts w:ascii="標楷體" w:hAnsi="標楷體" w:hint="eastAsia"/>
          <w:b w:val="0"/>
          <w:bCs w:val="0"/>
          <w:sz w:val="24"/>
          <w:szCs w:val="24"/>
        </w:rPr>
        <w:t>藥品</w:t>
      </w:r>
      <w:r w:rsidR="005E6E9F" w:rsidRPr="009F7854">
        <w:rPr>
          <w:rFonts w:ascii="標楷體" w:hAnsi="標楷體" w:hint="eastAsia"/>
          <w:b w:val="0"/>
          <w:bCs w:val="0"/>
          <w:sz w:val="24"/>
          <w:szCs w:val="24"/>
        </w:rPr>
        <w:t>健保給付價格與市場實際交易價格落差較大，包括部分逾專利期原廠藥，未依市場交易情形足額調降，</w:t>
      </w:r>
      <w:r w:rsidR="00FC0333" w:rsidRPr="009F7854">
        <w:rPr>
          <w:rFonts w:ascii="標楷體" w:hAnsi="標楷體" w:hint="eastAsia"/>
          <w:b w:val="0"/>
          <w:bCs w:val="0"/>
          <w:sz w:val="24"/>
          <w:szCs w:val="24"/>
        </w:rPr>
        <w:t>其</w:t>
      </w:r>
      <w:r w:rsidR="005E6E9F" w:rsidRPr="009F7854">
        <w:rPr>
          <w:rFonts w:ascii="標楷體" w:hAnsi="標楷體" w:hint="eastAsia"/>
          <w:b w:val="0"/>
          <w:bCs w:val="0"/>
          <w:sz w:val="24"/>
          <w:szCs w:val="24"/>
        </w:rPr>
        <w:t>健保支付價格高於十大先進國家藥價之最低價，藥價調整機制尚有探討空間</w:t>
      </w:r>
      <w:r w:rsidR="00AE0C09">
        <w:rPr>
          <w:rFonts w:ascii="標楷體" w:hAnsi="標楷體" w:hint="eastAsia"/>
          <w:b w:val="0"/>
          <w:bCs w:val="0"/>
          <w:sz w:val="24"/>
          <w:szCs w:val="24"/>
        </w:rPr>
        <w:t>。</w:t>
      </w:r>
      <w:r w:rsidR="005E6E9F" w:rsidRPr="009F7854">
        <w:rPr>
          <w:rFonts w:ascii="標楷體" w:hAnsi="標楷體" w:hint="eastAsia"/>
          <w:b w:val="0"/>
          <w:bCs w:val="0"/>
          <w:sz w:val="24"/>
          <w:szCs w:val="24"/>
        </w:rPr>
        <w:t>鑑於衛</w:t>
      </w:r>
      <w:r w:rsidR="00A026FE">
        <w:rPr>
          <w:rFonts w:ascii="標楷體" w:hAnsi="標楷體" w:hint="eastAsia"/>
          <w:b w:val="0"/>
          <w:bCs w:val="0"/>
          <w:sz w:val="24"/>
          <w:szCs w:val="24"/>
        </w:rPr>
        <w:t>生</w:t>
      </w:r>
      <w:r w:rsidR="005E6E9F" w:rsidRPr="009F7854">
        <w:rPr>
          <w:rFonts w:ascii="標楷體" w:hAnsi="標楷體" w:hint="eastAsia"/>
          <w:b w:val="0"/>
          <w:bCs w:val="0"/>
          <w:sz w:val="24"/>
          <w:szCs w:val="24"/>
        </w:rPr>
        <w:t>福</w:t>
      </w:r>
      <w:r w:rsidR="00A026FE">
        <w:rPr>
          <w:rFonts w:ascii="標楷體" w:hAnsi="標楷體" w:hint="eastAsia"/>
          <w:b w:val="0"/>
          <w:bCs w:val="0"/>
          <w:sz w:val="24"/>
          <w:szCs w:val="24"/>
        </w:rPr>
        <w:t>利</w:t>
      </w:r>
      <w:r w:rsidR="005E6E9F" w:rsidRPr="009F7854">
        <w:rPr>
          <w:rFonts w:ascii="標楷體" w:hAnsi="標楷體" w:hint="eastAsia"/>
          <w:b w:val="0"/>
          <w:bCs w:val="0"/>
          <w:sz w:val="24"/>
          <w:szCs w:val="24"/>
        </w:rPr>
        <w:t>部為強化藥品供應韌性，刻正規劃檢討DET試辦方案及藥價調整機制，經函請健保署於兼顧藥價合理化、藥費管控及供藥穩定等政策目標下，通盤檢視</w:t>
      </w:r>
      <w:r w:rsidR="002260E2" w:rsidRPr="009F7854">
        <w:rPr>
          <w:rFonts w:ascii="標楷體" w:hAnsi="標楷體" w:hint="eastAsia"/>
          <w:b w:val="0"/>
          <w:bCs w:val="0"/>
          <w:sz w:val="24"/>
          <w:szCs w:val="24"/>
        </w:rPr>
        <w:t>藥品費用分配比率目標制</w:t>
      </w:r>
      <w:r w:rsidR="005E6E9F" w:rsidRPr="009F7854">
        <w:rPr>
          <w:rFonts w:ascii="標楷體" w:hAnsi="標楷體" w:hint="eastAsia"/>
          <w:b w:val="0"/>
          <w:bCs w:val="0"/>
          <w:sz w:val="24"/>
          <w:szCs w:val="24"/>
        </w:rPr>
        <w:t>與藥價調整機制及藥品供應韌性等相關措施，以提升</w:t>
      </w:r>
      <w:r w:rsidR="005E6E9F" w:rsidRPr="0085471A">
        <w:rPr>
          <w:rFonts w:ascii="標楷體" w:hAnsi="標楷體" w:hint="eastAsia"/>
          <w:b w:val="0"/>
          <w:bCs w:val="0"/>
          <w:sz w:val="24"/>
          <w:szCs w:val="24"/>
        </w:rPr>
        <w:t>健保資源配置效益。</w:t>
      </w:r>
      <w:r w:rsidR="005E6E9F" w:rsidRPr="0085471A">
        <w:rPr>
          <w:rFonts w:ascii="標楷體" w:hAnsi="標楷體" w:hint="eastAsia"/>
          <w:b w:val="0"/>
          <w:sz w:val="24"/>
          <w:szCs w:val="24"/>
        </w:rPr>
        <w:t>據復：</w:t>
      </w:r>
      <w:r w:rsidR="00F12886" w:rsidRPr="0085471A">
        <w:rPr>
          <w:rFonts w:ascii="標楷體" w:hAnsi="標楷體" w:hint="eastAsia"/>
          <w:b w:val="0"/>
          <w:sz w:val="24"/>
          <w:szCs w:val="24"/>
        </w:rPr>
        <w:t>將邀集各界就DET試辦方案進行討論及重新檢討，並持續精進藥品調價政策，以維持供藥穩定及合理藥價，俾提升健保資源使用效率。</w:t>
      </w:r>
    </w:p>
    <w:p w14:paraId="61438A47" w14:textId="2FF8119A" w:rsidR="005E6E9F" w:rsidRPr="0085471A" w:rsidRDefault="005E6E9F" w:rsidP="00692EC7">
      <w:pPr>
        <w:pStyle w:val="af9"/>
        <w:overflowPunct w:val="0"/>
        <w:spacing w:beforeLines="0" w:before="0" w:afterLines="0" w:after="0" w:line="634" w:lineRule="exact"/>
        <w:ind w:firstLineChars="700" w:firstLine="1682"/>
        <w:rPr>
          <w:rFonts w:ascii="標楷體" w:hAnsi="標楷體"/>
          <w:b w:val="0"/>
          <w:sz w:val="24"/>
          <w:szCs w:val="24"/>
        </w:rPr>
      </w:pPr>
      <w:r w:rsidRPr="0085471A">
        <w:rPr>
          <w:rFonts w:ascii="標楷體" w:hAnsi="標楷體" w:hint="eastAsia"/>
          <w:sz w:val="24"/>
          <w:szCs w:val="24"/>
        </w:rPr>
        <w:lastRenderedPageBreak/>
        <w:t>B.　健保署推動重複用藥費用管理措施，已獲致初步成效，惟</w:t>
      </w:r>
      <w:r w:rsidR="005913C3" w:rsidRPr="0085471A">
        <w:rPr>
          <w:rFonts w:ascii="標楷體" w:hAnsi="標楷體" w:hint="eastAsia"/>
          <w:sz w:val="24"/>
          <w:szCs w:val="24"/>
        </w:rPr>
        <w:t>重複用藥日數下降率未達預期目標，管</w:t>
      </w:r>
      <w:r w:rsidR="00D97A97" w:rsidRPr="0085471A">
        <w:rPr>
          <w:rFonts w:ascii="標楷體" w:hAnsi="標楷體" w:hint="eastAsia"/>
          <w:sz w:val="24"/>
          <w:szCs w:val="24"/>
        </w:rPr>
        <w:t>理效率</w:t>
      </w:r>
      <w:r w:rsidR="00310460" w:rsidRPr="0085471A">
        <w:rPr>
          <w:rFonts w:ascii="標楷體" w:hAnsi="標楷體" w:hint="eastAsia"/>
          <w:sz w:val="24"/>
          <w:szCs w:val="24"/>
        </w:rPr>
        <w:t>及輔導措施均有</w:t>
      </w:r>
      <w:r w:rsidR="00D97A97" w:rsidRPr="0085471A">
        <w:rPr>
          <w:rFonts w:ascii="標楷體" w:hAnsi="標楷體" w:hint="eastAsia"/>
          <w:sz w:val="24"/>
          <w:szCs w:val="24"/>
        </w:rPr>
        <w:t>待精進</w:t>
      </w:r>
      <w:r w:rsidRPr="0085471A">
        <w:rPr>
          <w:rFonts w:ascii="標楷體" w:hAnsi="標楷體" w:hint="eastAsia"/>
          <w:sz w:val="24"/>
          <w:szCs w:val="24"/>
        </w:rPr>
        <w:t>：</w:t>
      </w:r>
      <w:r w:rsidRPr="0085471A">
        <w:rPr>
          <w:rFonts w:ascii="標楷體" w:hAnsi="標楷體" w:hint="eastAsia"/>
          <w:b w:val="0"/>
          <w:sz w:val="24"/>
          <w:szCs w:val="24"/>
        </w:rPr>
        <w:t>健保署為維護病人用藥安全，建置健保醫療資訊雲端查詢系統及跨院重複開立醫囑主動提示功能，並推動門診特定藥品重複用藥費用管理方案（下稱重複用藥管理方案）等多項管理措施</w:t>
      </w:r>
      <w:r w:rsidR="00310460" w:rsidRPr="0085471A">
        <w:rPr>
          <w:rFonts w:ascii="標楷體" w:hAnsi="標楷體" w:hint="eastAsia"/>
          <w:b w:val="0"/>
          <w:sz w:val="24"/>
          <w:szCs w:val="24"/>
        </w:rPr>
        <w:t>，以節約健保資源</w:t>
      </w:r>
      <w:r w:rsidRPr="0085471A">
        <w:rPr>
          <w:rFonts w:ascii="標楷體" w:hAnsi="標楷體" w:hint="eastAsia"/>
          <w:b w:val="0"/>
          <w:sz w:val="24"/>
          <w:szCs w:val="24"/>
        </w:rPr>
        <w:t>。</w:t>
      </w:r>
      <w:r w:rsidR="005913C3" w:rsidRPr="0085471A">
        <w:rPr>
          <w:rFonts w:ascii="標楷體" w:hAnsi="標楷體" w:hint="eastAsia"/>
          <w:b w:val="0"/>
          <w:sz w:val="24"/>
          <w:szCs w:val="24"/>
        </w:rPr>
        <w:t>查健保署114年度設定「全藥類藥品重複用藥日數下降率」1項管控指標之目標值，係較113年下降8％以上，執行結果，實際值為2％，未達預期目標，有待持續精進管理措施。另</w:t>
      </w:r>
      <w:r w:rsidRPr="0085471A">
        <w:rPr>
          <w:rFonts w:ascii="標楷體" w:hAnsi="標楷體" w:hint="eastAsia"/>
          <w:b w:val="0"/>
          <w:sz w:val="24"/>
          <w:szCs w:val="24"/>
        </w:rPr>
        <w:t>依健保署108年1月22日修訂之重複用藥管理方案</w:t>
      </w:r>
      <w:r w:rsidR="00310460" w:rsidRPr="0085471A">
        <w:rPr>
          <w:rFonts w:ascii="標楷體" w:hAnsi="標楷體" w:hint="eastAsia"/>
          <w:b w:val="0"/>
          <w:sz w:val="24"/>
          <w:szCs w:val="24"/>
        </w:rPr>
        <w:t>規定</w:t>
      </w:r>
      <w:r w:rsidRPr="0085471A">
        <w:rPr>
          <w:rFonts w:ascii="標楷體" w:hAnsi="標楷體" w:hint="eastAsia"/>
          <w:b w:val="0"/>
          <w:sz w:val="24"/>
          <w:szCs w:val="24"/>
        </w:rPr>
        <w:t>，病人前一筆領藥資料上傳日期與醫師查詢健保醫療資訊雲端查詢系統日期落差於4天內者，不列入重複用藥之計算。然健保署為提升就醫資料即時性及正確性，自112年9月起推動健保卡資料上傳格式2.0，監測院所就醫資料上傳情形。據健保署統計</w:t>
      </w:r>
      <w:r w:rsidR="00310460" w:rsidRPr="0085471A">
        <w:rPr>
          <w:rFonts w:ascii="標楷體" w:hAnsi="標楷體" w:hint="eastAsia"/>
          <w:b w:val="0"/>
          <w:sz w:val="24"/>
          <w:szCs w:val="24"/>
        </w:rPr>
        <w:t>，</w:t>
      </w:r>
      <w:r w:rsidRPr="0085471A">
        <w:rPr>
          <w:rFonts w:ascii="標楷體" w:hAnsi="標楷體" w:hint="eastAsia"/>
          <w:b w:val="0"/>
          <w:sz w:val="24"/>
          <w:szCs w:val="24"/>
        </w:rPr>
        <w:t>醫療院所115年1至2月份健保IC卡登錄上傳情形，逾9成7案件皆可於24小時內完成上傳，顯示多數醫療院所已具即時上傳就醫資訊能力，惟現行重複用藥之計算條件自108年訂定後，未隨醫療院所就醫資料上傳時效提升而精進調整，不利重複用藥管理</w:t>
      </w:r>
      <w:r w:rsidR="00310460" w:rsidRPr="0085471A">
        <w:rPr>
          <w:rFonts w:ascii="標楷體" w:hAnsi="標楷體" w:hint="eastAsia"/>
          <w:b w:val="0"/>
          <w:sz w:val="24"/>
          <w:szCs w:val="24"/>
        </w:rPr>
        <w:t>。</w:t>
      </w:r>
      <w:r w:rsidRPr="0085471A">
        <w:rPr>
          <w:rFonts w:ascii="標楷體" w:hAnsi="標楷體" w:hint="eastAsia"/>
          <w:b w:val="0"/>
          <w:sz w:val="24"/>
          <w:szCs w:val="24"/>
        </w:rPr>
        <w:t>又重複用藥管理方案規定，健保署各分區業務組應於每季第2個月10日前，將前1季特定藥品用藥重複核定結果暨明細表，提供醫事服務機構進行自我管理。查114年度第1至3季執行結果，該署因參酌</w:t>
      </w:r>
      <w:r w:rsidR="00310460" w:rsidRPr="0085471A">
        <w:rPr>
          <w:rFonts w:ascii="標楷體" w:hAnsi="標楷體" w:hint="eastAsia"/>
          <w:b w:val="0"/>
          <w:sz w:val="24"/>
          <w:szCs w:val="24"/>
        </w:rPr>
        <w:t>各界建議</w:t>
      </w:r>
      <w:r w:rsidRPr="0085471A">
        <w:rPr>
          <w:rFonts w:ascii="標楷體" w:hAnsi="標楷體"/>
          <w:b w:val="0"/>
          <w:sz w:val="24"/>
          <w:szCs w:val="24"/>
        </w:rPr>
        <w:t>修正管理方案</w:t>
      </w:r>
      <w:r w:rsidRPr="0085471A">
        <w:rPr>
          <w:rFonts w:ascii="標楷體" w:hAnsi="標楷體" w:hint="eastAsia"/>
          <w:b w:val="0"/>
          <w:sz w:val="24"/>
          <w:szCs w:val="24"/>
        </w:rPr>
        <w:t>與相關檢</w:t>
      </w:r>
      <w:r w:rsidRPr="0085471A">
        <w:rPr>
          <w:rFonts w:ascii="標楷體" w:hAnsi="標楷體"/>
          <w:b w:val="0"/>
          <w:sz w:val="24"/>
          <w:szCs w:val="24"/>
        </w:rPr>
        <w:t>核程式</w:t>
      </w:r>
      <w:r w:rsidR="00310460" w:rsidRPr="0085471A">
        <w:rPr>
          <w:rFonts w:ascii="標楷體" w:hAnsi="標楷體" w:hint="eastAsia"/>
          <w:b w:val="0"/>
          <w:sz w:val="24"/>
          <w:szCs w:val="24"/>
        </w:rPr>
        <w:t>等因素</w:t>
      </w:r>
      <w:r w:rsidRPr="0085471A">
        <w:rPr>
          <w:rFonts w:ascii="標楷體" w:hAnsi="標楷體" w:hint="eastAsia"/>
          <w:b w:val="0"/>
          <w:sz w:val="24"/>
          <w:szCs w:val="24"/>
        </w:rPr>
        <w:t>，未依限提供重複用藥核定結果，致醫療院所接獲前開</w:t>
      </w:r>
      <w:r w:rsidR="00D97A97" w:rsidRPr="0085471A">
        <w:rPr>
          <w:rFonts w:ascii="標楷體" w:hAnsi="標楷體" w:hint="eastAsia"/>
          <w:b w:val="0"/>
          <w:sz w:val="24"/>
          <w:szCs w:val="24"/>
        </w:rPr>
        <w:t>重複用藥核定結果相關資料</w:t>
      </w:r>
      <w:r w:rsidRPr="0085471A">
        <w:rPr>
          <w:rFonts w:ascii="標楷體" w:hAnsi="標楷體" w:hint="eastAsia"/>
          <w:b w:val="0"/>
          <w:sz w:val="24"/>
          <w:szCs w:val="24"/>
        </w:rPr>
        <w:t>，距該季最末月醫療費用申報日（次月20日），已事隔約半年，不利及早引導院所調整開藥行為。經函請健保署強化相關重複用藥源頭管控輔導措施</w:t>
      </w:r>
      <w:r w:rsidR="005913C3" w:rsidRPr="0085471A">
        <w:rPr>
          <w:rFonts w:ascii="標楷體" w:hAnsi="標楷體" w:hint="eastAsia"/>
          <w:b w:val="0"/>
          <w:sz w:val="24"/>
          <w:szCs w:val="24"/>
        </w:rPr>
        <w:t>，及精進重複用藥計算條件</w:t>
      </w:r>
      <w:r w:rsidRPr="0085471A">
        <w:rPr>
          <w:rFonts w:ascii="標楷體" w:hAnsi="標楷體" w:hint="eastAsia"/>
          <w:b w:val="0"/>
          <w:sz w:val="24"/>
          <w:szCs w:val="24"/>
        </w:rPr>
        <w:t>，以提升重複用藥管理成效</w:t>
      </w:r>
      <w:r w:rsidR="005913C3" w:rsidRPr="0085471A">
        <w:rPr>
          <w:rFonts w:ascii="標楷體" w:hAnsi="標楷體" w:hint="eastAsia"/>
          <w:b w:val="0"/>
          <w:sz w:val="24"/>
          <w:szCs w:val="24"/>
        </w:rPr>
        <w:t>及</w:t>
      </w:r>
      <w:r w:rsidRPr="0085471A">
        <w:rPr>
          <w:rFonts w:ascii="標楷體" w:hAnsi="標楷體" w:hint="eastAsia"/>
          <w:b w:val="0"/>
          <w:sz w:val="24"/>
          <w:szCs w:val="24"/>
        </w:rPr>
        <w:t>維護民眾用藥安全。據復：</w:t>
      </w:r>
      <w:r w:rsidR="00F12886" w:rsidRPr="0085471A">
        <w:rPr>
          <w:rFonts w:ascii="標楷體" w:hAnsi="標楷體" w:hint="eastAsia"/>
          <w:b w:val="0"/>
          <w:sz w:val="24"/>
          <w:szCs w:val="24"/>
        </w:rPr>
        <w:t>為確保民眾用藥安全，將及早回饋院所用藥資訊、重點輔導管理重複用藥情形較高之院所，並請藥事人員於調劑時加強查詢健保醫療資訊雲端查詢系統，以降低重複用藥風險</w:t>
      </w:r>
      <w:r w:rsidRPr="0085471A">
        <w:rPr>
          <w:rFonts w:ascii="標楷體" w:hAnsi="標楷體" w:hint="eastAsia"/>
          <w:b w:val="0"/>
          <w:sz w:val="24"/>
          <w:szCs w:val="24"/>
        </w:rPr>
        <w:t>。</w:t>
      </w:r>
    </w:p>
    <w:p w14:paraId="771CB210" w14:textId="1ADD19DA" w:rsidR="005E6E9F" w:rsidRPr="0085471A" w:rsidRDefault="005E6E9F" w:rsidP="001E2E5C">
      <w:pPr>
        <w:pStyle w:val="af9"/>
        <w:overflowPunct w:val="0"/>
        <w:spacing w:beforeLines="0" w:before="0" w:afterLines="0" w:after="0" w:line="634" w:lineRule="exact"/>
        <w:ind w:firstLineChars="700" w:firstLine="1682"/>
        <w:rPr>
          <w:rFonts w:ascii="標楷體" w:hAnsi="標楷體"/>
          <w:b w:val="0"/>
          <w:spacing w:val="-2"/>
          <w:sz w:val="24"/>
          <w:szCs w:val="24"/>
        </w:rPr>
      </w:pPr>
      <w:r w:rsidRPr="0085471A">
        <w:rPr>
          <w:rFonts w:ascii="標楷體" w:hAnsi="標楷體" w:hint="eastAsia"/>
          <w:sz w:val="24"/>
          <w:szCs w:val="24"/>
        </w:rPr>
        <w:t>C.　為提升健保資源運用效率及臨床治療選擇多樣性，鼓勵醫療院所使用價格較低且療效相當之學名藥及生物相似藥，惟</w:t>
      </w:r>
      <w:r w:rsidR="00A571B6" w:rsidRPr="0085471A">
        <w:rPr>
          <w:rFonts w:ascii="標楷體" w:hAnsi="標楷體" w:hint="eastAsia"/>
          <w:sz w:val="24"/>
          <w:szCs w:val="24"/>
        </w:rPr>
        <w:t>114年度相關藥品</w:t>
      </w:r>
      <w:r w:rsidRPr="0085471A">
        <w:rPr>
          <w:rFonts w:ascii="標楷體" w:hAnsi="標楷體" w:hint="eastAsia"/>
          <w:sz w:val="24"/>
          <w:szCs w:val="24"/>
        </w:rPr>
        <w:t>使用情形未達預期推廣目標，又</w:t>
      </w:r>
      <w:r w:rsidR="005913C3" w:rsidRPr="0085471A">
        <w:rPr>
          <w:rFonts w:ascii="標楷體" w:hAnsi="標楷體" w:hint="eastAsia"/>
          <w:sz w:val="24"/>
          <w:szCs w:val="24"/>
        </w:rPr>
        <w:t>兼具學名藥及原開發廠之藥品成分</w:t>
      </w:r>
      <w:r w:rsidR="00BF1C7E" w:rsidRPr="0085471A">
        <w:rPr>
          <w:rFonts w:ascii="標楷體" w:hAnsi="標楷體" w:hint="eastAsia"/>
          <w:sz w:val="24"/>
          <w:szCs w:val="24"/>
        </w:rPr>
        <w:t>納入</w:t>
      </w:r>
      <w:r w:rsidRPr="0085471A">
        <w:rPr>
          <w:rFonts w:ascii="標楷體" w:hAnsi="標楷體" w:hint="eastAsia"/>
          <w:sz w:val="24"/>
          <w:szCs w:val="24"/>
        </w:rPr>
        <w:t>獎勵涵蓋</w:t>
      </w:r>
      <w:r w:rsidR="005913C3" w:rsidRPr="0085471A">
        <w:rPr>
          <w:rFonts w:ascii="標楷體" w:hAnsi="標楷體" w:hint="eastAsia"/>
          <w:sz w:val="24"/>
          <w:szCs w:val="24"/>
        </w:rPr>
        <w:t>範圍有提升空間</w:t>
      </w:r>
      <w:r w:rsidRPr="0085471A">
        <w:rPr>
          <w:rFonts w:ascii="標楷體" w:hAnsi="標楷體" w:hint="eastAsia"/>
          <w:sz w:val="24"/>
          <w:szCs w:val="24"/>
        </w:rPr>
        <w:t>：</w:t>
      </w:r>
      <w:r w:rsidRPr="0085471A">
        <w:rPr>
          <w:rFonts w:ascii="標楷體" w:hAnsi="標楷體" w:hint="eastAsia"/>
          <w:b w:val="0"/>
          <w:bCs w:val="0"/>
          <w:spacing w:val="-2"/>
          <w:sz w:val="24"/>
          <w:szCs w:val="24"/>
        </w:rPr>
        <w:t>經濟合作發展組織（</w:t>
      </w:r>
      <w:proofErr w:type="spellStart"/>
      <w:r w:rsidRPr="0085471A">
        <w:rPr>
          <w:rFonts w:ascii="標楷體" w:hAnsi="標楷體" w:hint="eastAsia"/>
          <w:b w:val="0"/>
          <w:bCs w:val="0"/>
          <w:spacing w:val="-2"/>
          <w:sz w:val="24"/>
          <w:szCs w:val="24"/>
        </w:rPr>
        <w:t>Organisation</w:t>
      </w:r>
      <w:proofErr w:type="spellEnd"/>
      <w:r w:rsidRPr="0085471A">
        <w:rPr>
          <w:rFonts w:ascii="標楷體" w:hAnsi="標楷體" w:hint="eastAsia"/>
          <w:b w:val="0"/>
          <w:bCs w:val="0"/>
          <w:spacing w:val="-2"/>
          <w:sz w:val="24"/>
          <w:szCs w:val="24"/>
        </w:rPr>
        <w:t xml:space="preserve"> for </w:t>
      </w:r>
      <w:r w:rsidRPr="0085471A">
        <w:rPr>
          <w:rFonts w:ascii="標楷體" w:hAnsi="標楷體" w:hint="eastAsia"/>
          <w:b w:val="0"/>
          <w:bCs w:val="0"/>
          <w:spacing w:val="-2"/>
          <w:sz w:val="24"/>
          <w:szCs w:val="24"/>
        </w:rPr>
        <w:lastRenderedPageBreak/>
        <w:t>Economic Co</w:t>
      </w:r>
      <w:r w:rsidR="006F51FE">
        <w:rPr>
          <w:rFonts w:ascii="標楷體" w:hAnsi="標楷體"/>
          <w:b w:val="0"/>
          <w:bCs w:val="0"/>
          <w:spacing w:val="-2"/>
          <w:sz w:val="24"/>
          <w:szCs w:val="24"/>
        </w:rPr>
        <w:t>-</w:t>
      </w:r>
      <w:r w:rsidRPr="0085471A">
        <w:rPr>
          <w:rFonts w:ascii="標楷體" w:hAnsi="標楷體" w:hint="eastAsia"/>
          <w:b w:val="0"/>
          <w:bCs w:val="0"/>
          <w:spacing w:val="-2"/>
          <w:sz w:val="24"/>
          <w:szCs w:val="24"/>
        </w:rPr>
        <w:t>operation and Development, OECD）2025年「健康概況」（Health at a Glance 2025）報告指出，學名藥與生物相似藥為提高藥品支出效率之重要措施。</w:t>
      </w:r>
      <w:r w:rsidR="00A571B6" w:rsidRPr="0085471A">
        <w:rPr>
          <w:rFonts w:ascii="標楷體" w:hAnsi="標楷體" w:hint="eastAsia"/>
          <w:b w:val="0"/>
          <w:bCs w:val="0"/>
          <w:spacing w:val="-2"/>
          <w:sz w:val="24"/>
          <w:szCs w:val="24"/>
        </w:rPr>
        <w:t>又</w:t>
      </w:r>
      <w:r w:rsidR="00AD372C" w:rsidRPr="0085471A">
        <w:rPr>
          <w:rFonts w:ascii="標楷體" w:hAnsi="標楷體" w:hint="eastAsia"/>
          <w:b w:val="0"/>
          <w:bCs w:val="0"/>
          <w:spacing w:val="-2"/>
          <w:sz w:val="24"/>
          <w:szCs w:val="24"/>
        </w:rPr>
        <w:t>據</w:t>
      </w:r>
      <w:r w:rsidR="00AD372C" w:rsidRPr="0085471A">
        <w:rPr>
          <w:rFonts w:ascii="標楷體" w:hAnsi="標楷體" w:hint="eastAsia"/>
          <w:b w:val="0"/>
          <w:spacing w:val="-2"/>
          <w:sz w:val="24"/>
          <w:szCs w:val="24"/>
        </w:rPr>
        <w:t>國家藥物韌性整備計畫載以，學名藥在我國藥品供應鏈扮演關鍵角色，藉由健保制度，引導醫療院所優先採用國產學名藥及提升學名藥使用比率，以強化相關產業發展及藥品供應韌性。</w:t>
      </w:r>
      <w:r w:rsidRPr="0085471A">
        <w:rPr>
          <w:rFonts w:ascii="標楷體" w:hAnsi="標楷體" w:hint="eastAsia"/>
          <w:b w:val="0"/>
          <w:bCs w:val="0"/>
          <w:spacing w:val="-2"/>
          <w:sz w:val="24"/>
          <w:szCs w:val="24"/>
        </w:rPr>
        <w:t>健保署為</w:t>
      </w:r>
      <w:r w:rsidRPr="0085471A">
        <w:rPr>
          <w:rFonts w:ascii="標楷體" w:hAnsi="標楷體" w:hint="eastAsia"/>
          <w:b w:val="0"/>
          <w:spacing w:val="-2"/>
          <w:sz w:val="24"/>
          <w:szCs w:val="24"/>
        </w:rPr>
        <w:t>提升健保資源運用效率，復</w:t>
      </w:r>
      <w:r w:rsidRPr="0085471A">
        <w:rPr>
          <w:rFonts w:ascii="標楷體" w:hAnsi="標楷體" w:hint="eastAsia"/>
          <w:b w:val="0"/>
          <w:bCs w:val="0"/>
          <w:spacing w:val="-2"/>
          <w:sz w:val="24"/>
          <w:szCs w:val="24"/>
        </w:rPr>
        <w:t>考量我國受國際情勢變化影響藥品供應穩定性，為促進藥品在地生產、提升臨床治療選擇多樣性，並於個別廠牌藥品短缺時提高醫師及病人對替代藥品之接受度，</w:t>
      </w:r>
      <w:r w:rsidRPr="0085471A">
        <w:rPr>
          <w:rFonts w:ascii="標楷體" w:hAnsi="標楷體" w:hint="eastAsia"/>
          <w:b w:val="0"/>
          <w:spacing w:val="-2"/>
          <w:sz w:val="24"/>
          <w:szCs w:val="24"/>
        </w:rPr>
        <w:t>推動使用生物相似藥及學名藥之鼓勵試辦計畫（下稱鼓勵試辦計畫），於114及115年度健保總額專款各編列1億元，及於「國家藥物韌性整備計畫」(115至118年度)編列6億餘元，期透過提升價格較低且療效相當之生物相似藥及學名藥使用占比，節省</w:t>
      </w:r>
      <w:r w:rsidR="00A571B6" w:rsidRPr="0085471A">
        <w:rPr>
          <w:rFonts w:ascii="標楷體" w:hAnsi="標楷體" w:hint="eastAsia"/>
          <w:b w:val="0"/>
          <w:spacing w:val="-2"/>
          <w:sz w:val="24"/>
          <w:szCs w:val="24"/>
        </w:rPr>
        <w:t>健保</w:t>
      </w:r>
      <w:r w:rsidRPr="0085471A">
        <w:rPr>
          <w:rFonts w:ascii="標楷體" w:hAnsi="標楷體" w:hint="eastAsia"/>
          <w:b w:val="0"/>
          <w:spacing w:val="-2"/>
          <w:sz w:val="24"/>
          <w:szCs w:val="24"/>
        </w:rPr>
        <w:t>藥</w:t>
      </w:r>
      <w:r w:rsidR="00A571B6" w:rsidRPr="0085471A">
        <w:rPr>
          <w:rFonts w:ascii="標楷體" w:hAnsi="標楷體" w:hint="eastAsia"/>
          <w:b w:val="0"/>
          <w:spacing w:val="-2"/>
          <w:sz w:val="24"/>
          <w:szCs w:val="24"/>
        </w:rPr>
        <w:t>費</w:t>
      </w:r>
      <w:r w:rsidRPr="0085471A">
        <w:rPr>
          <w:rFonts w:ascii="標楷體" w:hAnsi="標楷體" w:hint="eastAsia"/>
          <w:b w:val="0"/>
          <w:spacing w:val="-2"/>
          <w:sz w:val="24"/>
          <w:szCs w:val="24"/>
        </w:rPr>
        <w:t>支出</w:t>
      </w:r>
      <w:r w:rsidR="00A571B6" w:rsidRPr="0085471A">
        <w:rPr>
          <w:rFonts w:ascii="標楷體" w:hAnsi="標楷體" w:hint="eastAsia"/>
          <w:b w:val="0"/>
          <w:spacing w:val="-2"/>
          <w:sz w:val="24"/>
          <w:szCs w:val="24"/>
        </w:rPr>
        <w:t>，</w:t>
      </w:r>
      <w:r w:rsidRPr="0085471A">
        <w:rPr>
          <w:rFonts w:ascii="標楷體" w:hAnsi="標楷體" w:hint="eastAsia"/>
          <w:b w:val="0"/>
          <w:spacing w:val="-2"/>
          <w:sz w:val="24"/>
          <w:szCs w:val="24"/>
        </w:rPr>
        <w:t>將資源運用於新藥收載及其他醫療服務，</w:t>
      </w:r>
      <w:r w:rsidR="00A571B6" w:rsidRPr="0085471A">
        <w:rPr>
          <w:rFonts w:ascii="標楷體" w:hAnsi="標楷體" w:hint="eastAsia"/>
          <w:b w:val="0"/>
          <w:spacing w:val="-2"/>
          <w:sz w:val="24"/>
          <w:szCs w:val="24"/>
        </w:rPr>
        <w:t>並</w:t>
      </w:r>
      <w:r w:rsidRPr="0085471A">
        <w:rPr>
          <w:rFonts w:ascii="標楷體" w:hAnsi="標楷體" w:hint="eastAsia"/>
          <w:b w:val="0"/>
          <w:spacing w:val="-2"/>
          <w:sz w:val="24"/>
          <w:szCs w:val="24"/>
        </w:rPr>
        <w:t>強化國家供藥韌性。</w:t>
      </w:r>
      <w:r w:rsidR="00BF1C7E" w:rsidRPr="0085471A">
        <w:rPr>
          <w:rFonts w:ascii="標楷體" w:hAnsi="標楷體" w:hint="eastAsia"/>
          <w:b w:val="0"/>
          <w:spacing w:val="-2"/>
          <w:sz w:val="24"/>
          <w:szCs w:val="24"/>
        </w:rPr>
        <w:t>經</w:t>
      </w:r>
      <w:r w:rsidRPr="0085471A">
        <w:rPr>
          <w:rFonts w:ascii="標楷體" w:hAnsi="標楷體" w:hint="eastAsia"/>
          <w:b w:val="0"/>
          <w:spacing w:val="-2"/>
          <w:sz w:val="24"/>
          <w:szCs w:val="24"/>
        </w:rPr>
        <w:t>查鼓勵試辦計畫自</w:t>
      </w:r>
      <w:r w:rsidRPr="0085471A">
        <w:rPr>
          <w:rFonts w:ascii="標楷體" w:hAnsi="標楷體"/>
          <w:b w:val="0"/>
          <w:spacing w:val="-2"/>
          <w:sz w:val="24"/>
          <w:szCs w:val="24"/>
        </w:rPr>
        <w:t>113</w:t>
      </w:r>
      <w:r w:rsidRPr="0085471A">
        <w:rPr>
          <w:rFonts w:ascii="標楷體" w:hAnsi="標楷體" w:hint="eastAsia"/>
          <w:b w:val="0"/>
          <w:spacing w:val="-2"/>
          <w:sz w:val="24"/>
          <w:szCs w:val="24"/>
        </w:rPr>
        <w:t>年</w:t>
      </w:r>
      <w:r w:rsidRPr="0085471A">
        <w:rPr>
          <w:rFonts w:ascii="標楷體" w:hAnsi="標楷體"/>
          <w:b w:val="0"/>
          <w:spacing w:val="-2"/>
          <w:sz w:val="24"/>
          <w:szCs w:val="24"/>
        </w:rPr>
        <w:t>7</w:t>
      </w:r>
      <w:r w:rsidRPr="0085471A">
        <w:rPr>
          <w:rFonts w:ascii="標楷體" w:hAnsi="標楷體" w:hint="eastAsia"/>
          <w:b w:val="0"/>
          <w:spacing w:val="-2"/>
          <w:sz w:val="24"/>
          <w:szCs w:val="24"/>
        </w:rPr>
        <w:t>月起試辦</w:t>
      </w:r>
      <w:r w:rsidRPr="0085471A">
        <w:rPr>
          <w:rFonts w:ascii="標楷體" w:hAnsi="標楷體"/>
          <w:b w:val="0"/>
          <w:spacing w:val="-2"/>
          <w:sz w:val="24"/>
          <w:szCs w:val="24"/>
        </w:rPr>
        <w:t>3</w:t>
      </w:r>
      <w:r w:rsidRPr="0085471A">
        <w:rPr>
          <w:rFonts w:ascii="標楷體" w:hAnsi="標楷體" w:hint="eastAsia"/>
          <w:b w:val="0"/>
          <w:spacing w:val="-2"/>
          <w:sz w:val="24"/>
          <w:szCs w:val="24"/>
        </w:rPr>
        <w:t>年，目標將醫療院所開立生物相似性藥品及學名藥之藥品醫令量占比分別提升至</w:t>
      </w:r>
      <w:r w:rsidRPr="0085471A">
        <w:rPr>
          <w:rFonts w:ascii="標楷體" w:hAnsi="標楷體"/>
          <w:b w:val="0"/>
          <w:spacing w:val="-2"/>
          <w:sz w:val="24"/>
          <w:szCs w:val="24"/>
        </w:rPr>
        <w:t>30</w:t>
      </w:r>
      <w:r w:rsidRPr="0085471A">
        <w:rPr>
          <w:rFonts w:ascii="標楷體" w:hAnsi="標楷體" w:hint="eastAsia"/>
          <w:b w:val="0"/>
          <w:spacing w:val="-2"/>
          <w:sz w:val="24"/>
          <w:szCs w:val="24"/>
        </w:rPr>
        <w:t>％及</w:t>
      </w:r>
      <w:r w:rsidRPr="0085471A">
        <w:rPr>
          <w:rFonts w:ascii="標楷體" w:hAnsi="標楷體"/>
          <w:b w:val="0"/>
          <w:spacing w:val="-2"/>
          <w:sz w:val="24"/>
          <w:szCs w:val="24"/>
        </w:rPr>
        <w:t>70</w:t>
      </w:r>
      <w:r w:rsidRPr="0085471A">
        <w:rPr>
          <w:rFonts w:ascii="標楷體" w:hAnsi="標楷體" w:hint="eastAsia"/>
          <w:b w:val="0"/>
          <w:spacing w:val="-2"/>
          <w:sz w:val="24"/>
          <w:szCs w:val="24"/>
        </w:rPr>
        <w:t>％以上，</w:t>
      </w:r>
      <w:r w:rsidR="00A571B6" w:rsidRPr="0085471A">
        <w:rPr>
          <w:rFonts w:ascii="標楷體" w:hAnsi="標楷體" w:hint="eastAsia"/>
          <w:b w:val="0"/>
          <w:spacing w:val="-2"/>
          <w:sz w:val="24"/>
          <w:szCs w:val="24"/>
        </w:rPr>
        <w:t>惟因</w:t>
      </w:r>
      <w:r w:rsidRPr="0085471A">
        <w:rPr>
          <w:rFonts w:ascii="標楷體" w:hAnsi="標楷體" w:hint="eastAsia"/>
          <w:b w:val="0"/>
          <w:spacing w:val="-2"/>
          <w:sz w:val="24"/>
          <w:szCs w:val="24"/>
        </w:rPr>
        <w:t>實務推動仍面臨醫師用藥習慣、病人接受度及醫療院所採購合約未屆期等問題，</w:t>
      </w:r>
      <w:r w:rsidRPr="0085471A">
        <w:rPr>
          <w:rFonts w:ascii="標楷體" w:hAnsi="標楷體"/>
          <w:b w:val="0"/>
          <w:spacing w:val="-2"/>
          <w:sz w:val="24"/>
          <w:szCs w:val="24"/>
        </w:rPr>
        <w:t>114年</w:t>
      </w:r>
      <w:r w:rsidRPr="0085471A">
        <w:rPr>
          <w:rFonts w:ascii="標楷體" w:hAnsi="標楷體" w:hint="eastAsia"/>
          <w:b w:val="0"/>
          <w:spacing w:val="-2"/>
          <w:sz w:val="24"/>
          <w:szCs w:val="24"/>
        </w:rPr>
        <w:t>度醫療院所開立生物相似藥及學名藥之醫令量占比分別為18.26％、50.53％，距計畫目標值尚有11.74</w:t>
      </w:r>
      <w:r w:rsidR="00A571B6" w:rsidRPr="0085471A">
        <w:rPr>
          <w:rFonts w:ascii="標楷體" w:hAnsi="標楷體" w:hint="eastAsia"/>
          <w:b w:val="0"/>
          <w:spacing w:val="-2"/>
          <w:sz w:val="24"/>
          <w:szCs w:val="24"/>
        </w:rPr>
        <w:t>個</w:t>
      </w:r>
      <w:r w:rsidRPr="0085471A">
        <w:rPr>
          <w:rFonts w:ascii="標楷體" w:hAnsi="標楷體" w:hint="eastAsia"/>
          <w:b w:val="0"/>
          <w:spacing w:val="-2"/>
          <w:sz w:val="24"/>
          <w:szCs w:val="24"/>
        </w:rPr>
        <w:t>至19.47個百分點之落差，且相較於2023年OECD成員國平均占比22％、56％，尚有精進之空間。另據健保署統計，截至115年4月底止，具同成分與劑型且兼具原開發廠及學名藥之藥品計318個成分，其中經健保署規劃納入獎勵之藥品成分計33個成分，僅約1成，</w:t>
      </w:r>
      <w:r w:rsidR="00A571B6" w:rsidRPr="0085471A">
        <w:rPr>
          <w:rFonts w:ascii="標楷體" w:hAnsi="標楷體" w:hint="eastAsia"/>
          <w:b w:val="0"/>
          <w:spacing w:val="-2"/>
          <w:sz w:val="24"/>
          <w:szCs w:val="24"/>
        </w:rPr>
        <w:t>並</w:t>
      </w:r>
      <w:r w:rsidR="00AD372C" w:rsidRPr="0085471A">
        <w:rPr>
          <w:rFonts w:ascii="標楷體" w:hAnsi="標楷體" w:hint="eastAsia"/>
          <w:b w:val="0"/>
          <w:spacing w:val="-2"/>
          <w:sz w:val="24"/>
          <w:szCs w:val="24"/>
        </w:rPr>
        <w:t>以癌症治療藥品為主</w:t>
      </w:r>
      <w:r w:rsidRPr="0085471A">
        <w:rPr>
          <w:rFonts w:ascii="標楷體" w:hAnsi="標楷體" w:hint="eastAsia"/>
          <w:b w:val="0"/>
          <w:spacing w:val="-2"/>
          <w:sz w:val="24"/>
          <w:szCs w:val="24"/>
        </w:rPr>
        <w:t>，對於其餘已有學名藥上市之原開發廠藥品成分，</w:t>
      </w:r>
      <w:r w:rsidR="00A571B6" w:rsidRPr="0085471A">
        <w:rPr>
          <w:rFonts w:ascii="標楷體" w:hAnsi="標楷體" w:hint="eastAsia"/>
          <w:b w:val="0"/>
          <w:spacing w:val="-2"/>
          <w:sz w:val="24"/>
          <w:szCs w:val="24"/>
        </w:rPr>
        <w:t>則</w:t>
      </w:r>
      <w:r w:rsidRPr="0085471A">
        <w:rPr>
          <w:rFonts w:ascii="標楷體" w:hAnsi="標楷體" w:hint="eastAsia"/>
          <w:b w:val="0"/>
          <w:spacing w:val="-2"/>
          <w:sz w:val="24"/>
          <w:szCs w:val="24"/>
        </w:rPr>
        <w:t>尚未訂定具體推動策略及期程</w:t>
      </w:r>
      <w:r w:rsidR="00AD372C" w:rsidRPr="0085471A">
        <w:rPr>
          <w:rFonts w:ascii="標楷體" w:hAnsi="標楷體" w:hint="eastAsia"/>
          <w:b w:val="0"/>
          <w:spacing w:val="-2"/>
          <w:sz w:val="24"/>
          <w:szCs w:val="24"/>
        </w:rPr>
        <w:t>，計畫獎勵涵蓋範圍仍</w:t>
      </w:r>
      <w:r w:rsidR="00BF1C7E" w:rsidRPr="0085471A">
        <w:rPr>
          <w:rFonts w:ascii="標楷體" w:hAnsi="標楷體" w:hint="eastAsia"/>
          <w:b w:val="0"/>
          <w:spacing w:val="-2"/>
          <w:sz w:val="24"/>
          <w:szCs w:val="24"/>
        </w:rPr>
        <w:t>屬</w:t>
      </w:r>
      <w:r w:rsidR="00AD372C" w:rsidRPr="0085471A">
        <w:rPr>
          <w:rFonts w:ascii="標楷體" w:hAnsi="標楷體" w:hint="eastAsia"/>
          <w:b w:val="0"/>
          <w:spacing w:val="-2"/>
          <w:sz w:val="24"/>
          <w:szCs w:val="24"/>
        </w:rPr>
        <w:t>有限</w:t>
      </w:r>
      <w:r w:rsidR="00A571B6" w:rsidRPr="0085471A">
        <w:rPr>
          <w:rFonts w:ascii="標楷體" w:hAnsi="標楷體" w:hint="eastAsia"/>
          <w:b w:val="0"/>
          <w:spacing w:val="-2"/>
          <w:sz w:val="24"/>
          <w:szCs w:val="24"/>
        </w:rPr>
        <w:t>。</w:t>
      </w:r>
      <w:r w:rsidRPr="0085471A">
        <w:rPr>
          <w:rFonts w:ascii="標楷體" w:hAnsi="標楷體" w:hint="eastAsia"/>
          <w:b w:val="0"/>
          <w:spacing w:val="-2"/>
          <w:sz w:val="24"/>
          <w:szCs w:val="24"/>
        </w:rPr>
        <w:t>經函請健保署研謀優化現行誘因設計及強化配套措施，並預為規劃後續擴大推動策略及期程，以利逐步提升生物相似藥及學名藥之使用，落實</w:t>
      </w:r>
      <w:r w:rsidR="00A571B6" w:rsidRPr="0085471A">
        <w:rPr>
          <w:rFonts w:ascii="標楷體" w:hAnsi="標楷體" w:hint="eastAsia"/>
          <w:b w:val="0"/>
          <w:spacing w:val="-2"/>
          <w:sz w:val="24"/>
          <w:szCs w:val="24"/>
        </w:rPr>
        <w:t>強化國家供藥韌性</w:t>
      </w:r>
      <w:r w:rsidRPr="0085471A">
        <w:rPr>
          <w:rFonts w:ascii="標楷體" w:hAnsi="標楷體" w:hint="eastAsia"/>
          <w:b w:val="0"/>
          <w:spacing w:val="-2"/>
          <w:sz w:val="24"/>
          <w:szCs w:val="24"/>
        </w:rPr>
        <w:t>之政策目標。據復：</w:t>
      </w:r>
      <w:r w:rsidR="00F12886" w:rsidRPr="0085471A">
        <w:rPr>
          <w:rFonts w:ascii="標楷體" w:hAnsi="標楷體" w:hint="eastAsia"/>
          <w:b w:val="0"/>
          <w:spacing w:val="-2"/>
          <w:sz w:val="24"/>
          <w:szCs w:val="24"/>
        </w:rPr>
        <w:t>將滾動調整獎勵藥品清單，以提升生物相似藥品及學名藥醫令量占比，俾強化供藥韌性</w:t>
      </w:r>
      <w:r w:rsidRPr="0085471A">
        <w:rPr>
          <w:rFonts w:ascii="標楷體" w:hAnsi="標楷體" w:hint="eastAsia"/>
          <w:b w:val="0"/>
          <w:spacing w:val="-2"/>
          <w:sz w:val="24"/>
          <w:szCs w:val="24"/>
        </w:rPr>
        <w:t>。</w:t>
      </w:r>
    </w:p>
    <w:p w14:paraId="22E7FBB6" w14:textId="2CD44274" w:rsidR="005E6E9F" w:rsidRPr="0085471A" w:rsidRDefault="005E6E9F" w:rsidP="001E2E5C">
      <w:pPr>
        <w:pStyle w:val="af9"/>
        <w:overflowPunct w:val="0"/>
        <w:spacing w:beforeLines="0" w:before="0" w:afterLines="0" w:after="0" w:line="640" w:lineRule="exact"/>
        <w:ind w:firstLineChars="450" w:firstLine="1261"/>
        <w:rPr>
          <w:rFonts w:ascii="標楷體" w:hAnsi="標楷體"/>
          <w:bCs w:val="0"/>
          <w:kern w:val="0"/>
        </w:rPr>
      </w:pPr>
      <w:r w:rsidRPr="0085471A">
        <w:rPr>
          <w:rFonts w:ascii="標楷體" w:hAnsi="標楷體" w:hint="eastAsia"/>
          <w:bCs w:val="0"/>
          <w:kern w:val="0"/>
        </w:rPr>
        <w:t>（4）　為提升癌症新藥可及性，</w:t>
      </w:r>
      <w:r w:rsidR="00A571B6" w:rsidRPr="0085471A">
        <w:rPr>
          <w:rFonts w:ascii="標楷體" w:hAnsi="標楷體" w:hint="eastAsia"/>
          <w:bCs w:val="0"/>
          <w:kern w:val="0"/>
        </w:rPr>
        <w:t>以</w:t>
      </w:r>
      <w:r w:rsidRPr="0085471A">
        <w:rPr>
          <w:rFonts w:ascii="標楷體" w:hAnsi="標楷體" w:hint="eastAsia"/>
          <w:bCs w:val="0"/>
          <w:kern w:val="0"/>
        </w:rPr>
        <w:t>癌症新藥暫時性支付專款加速納入給付，惟所需經費逐步成長，</w:t>
      </w:r>
      <w:r w:rsidR="00AD372C" w:rsidRPr="0085471A">
        <w:rPr>
          <w:rFonts w:ascii="標楷體" w:hAnsi="標楷體" w:hint="eastAsia"/>
          <w:bCs w:val="0"/>
          <w:kern w:val="0"/>
        </w:rPr>
        <w:t>且</w:t>
      </w:r>
      <w:r w:rsidRPr="0085471A">
        <w:rPr>
          <w:rFonts w:ascii="標楷體" w:hAnsi="標楷體" w:hint="eastAsia"/>
          <w:bCs w:val="0"/>
          <w:kern w:val="0"/>
        </w:rPr>
        <w:t>後續回歸健保給付，現行</w:t>
      </w:r>
      <w:r w:rsidR="00AD372C" w:rsidRPr="0085471A">
        <w:rPr>
          <w:rFonts w:ascii="標楷體" w:hAnsi="標楷體" w:hint="eastAsia"/>
          <w:bCs w:val="0"/>
          <w:kern w:val="0"/>
        </w:rPr>
        <w:t>公務預算撥補額度及</w:t>
      </w:r>
      <w:r w:rsidRPr="0085471A">
        <w:rPr>
          <w:rFonts w:ascii="標楷體" w:hAnsi="標楷體" w:hint="eastAsia"/>
          <w:bCs w:val="0"/>
          <w:kern w:val="0"/>
        </w:rPr>
        <w:t>健保總額</w:t>
      </w:r>
      <w:r w:rsidRPr="0085471A">
        <w:rPr>
          <w:rFonts w:ascii="標楷體" w:hAnsi="標楷體" w:hint="eastAsia"/>
          <w:bCs w:val="0"/>
          <w:kern w:val="0"/>
        </w:rPr>
        <w:lastRenderedPageBreak/>
        <w:t>預算</w:t>
      </w:r>
      <w:r w:rsidR="00AD372C" w:rsidRPr="0085471A">
        <w:rPr>
          <w:rFonts w:ascii="標楷體" w:hAnsi="標楷體" w:hint="eastAsia"/>
          <w:bCs w:val="0"/>
          <w:kern w:val="0"/>
        </w:rPr>
        <w:t>恐不敷需求，</w:t>
      </w:r>
      <w:r w:rsidR="00A571B6" w:rsidRPr="0085471A">
        <w:rPr>
          <w:rFonts w:ascii="標楷體" w:hAnsi="標楷體" w:hint="eastAsia"/>
          <w:bCs w:val="0"/>
          <w:kern w:val="0"/>
        </w:rPr>
        <w:t>並</w:t>
      </w:r>
      <w:r w:rsidRPr="0085471A">
        <w:rPr>
          <w:rFonts w:ascii="標楷體" w:hAnsi="標楷體" w:hint="eastAsia"/>
          <w:bCs w:val="0"/>
          <w:kern w:val="0"/>
        </w:rPr>
        <w:t>加重其他醫療服務給付項目之財務排擠效應，允宜研謀因應，研議籌措多元財源，以維護癌症病人取得新治療選擇之權益。</w:t>
      </w:r>
    </w:p>
    <w:p w14:paraId="38B03E2C" w14:textId="1AF6CFB1" w:rsidR="005E6E9F" w:rsidRPr="006F51FE" w:rsidRDefault="005E6E9F" w:rsidP="00702043">
      <w:pPr>
        <w:pStyle w:val="af9"/>
        <w:overflowPunct w:val="0"/>
        <w:spacing w:beforeLines="0" w:before="0" w:afterLines="0" w:after="0" w:line="604" w:lineRule="exact"/>
        <w:ind w:firstLine="480"/>
        <w:rPr>
          <w:rFonts w:ascii="標楷體" w:hAnsi="標楷體"/>
          <w:b w:val="0"/>
          <w:sz w:val="24"/>
          <w:szCs w:val="24"/>
        </w:rPr>
      </w:pPr>
      <w:r w:rsidRPr="006F51FE">
        <w:rPr>
          <w:rFonts w:ascii="標楷體" w:hAnsi="標楷體" w:hint="eastAsia"/>
          <w:b w:val="0"/>
          <w:sz w:val="24"/>
          <w:szCs w:val="24"/>
        </w:rPr>
        <w:t>衛生福利部（下稱衛福部）為提升癌症病人取得新藥之可近性，於114</w:t>
      </w:r>
      <w:r w:rsidR="00BF1C7E" w:rsidRPr="006F51FE">
        <w:rPr>
          <w:rFonts w:ascii="標楷體" w:hAnsi="標楷體" w:hint="eastAsia"/>
          <w:b w:val="0"/>
          <w:sz w:val="24"/>
          <w:szCs w:val="24"/>
        </w:rPr>
        <w:t>及</w:t>
      </w:r>
      <w:r w:rsidRPr="006F51FE">
        <w:rPr>
          <w:rFonts w:ascii="標楷體" w:hAnsi="標楷體" w:hint="eastAsia"/>
          <w:b w:val="0"/>
          <w:sz w:val="24"/>
          <w:szCs w:val="24"/>
        </w:rPr>
        <w:t>115年</w:t>
      </w:r>
      <w:r w:rsidR="00BF1C7E" w:rsidRPr="006F51FE">
        <w:rPr>
          <w:rFonts w:ascii="標楷體" w:hAnsi="標楷體" w:hint="eastAsia"/>
          <w:b w:val="0"/>
          <w:sz w:val="24"/>
          <w:szCs w:val="24"/>
        </w:rPr>
        <w:t>度</w:t>
      </w:r>
      <w:r w:rsidRPr="006F51FE">
        <w:rPr>
          <w:rFonts w:ascii="標楷體" w:hAnsi="標楷體" w:hint="eastAsia"/>
          <w:b w:val="0"/>
          <w:sz w:val="24"/>
          <w:szCs w:val="24"/>
        </w:rPr>
        <w:t>由中央健康保險署（下稱健保署）以公務預算各編列50億元挹注全民健康保險基金，指定用於「癌症新藥暫時性支付專款」（下稱癌症新藥專款），加速癌症新藥及新適應症納入給付。</w:t>
      </w:r>
      <w:r w:rsidR="00A571B6" w:rsidRPr="006F51FE">
        <w:rPr>
          <w:rFonts w:ascii="標楷體" w:hAnsi="標楷體" w:hint="eastAsia"/>
          <w:b w:val="0"/>
          <w:sz w:val="24"/>
          <w:szCs w:val="24"/>
        </w:rPr>
        <w:t>經查</w:t>
      </w:r>
      <w:r w:rsidR="00AE0C09" w:rsidRPr="006F51FE">
        <w:rPr>
          <w:rFonts w:ascii="標楷體" w:hAnsi="標楷體" w:hint="eastAsia"/>
          <w:b w:val="0"/>
          <w:sz w:val="24"/>
          <w:szCs w:val="24"/>
        </w:rPr>
        <w:t>，</w:t>
      </w:r>
      <w:r w:rsidRPr="006F51FE">
        <w:rPr>
          <w:rFonts w:ascii="標楷體" w:hAnsi="標楷體" w:hint="eastAsia"/>
          <w:b w:val="0"/>
          <w:sz w:val="24"/>
          <w:szCs w:val="24"/>
        </w:rPr>
        <w:t>據健保署預估，截至114年底止已核准</w:t>
      </w:r>
      <w:bookmarkStart w:id="6" w:name="_Hlk232496442"/>
      <w:r w:rsidRPr="006F51FE">
        <w:rPr>
          <w:rFonts w:ascii="標楷體" w:hAnsi="標楷體" w:hint="eastAsia"/>
          <w:b w:val="0"/>
          <w:sz w:val="24"/>
          <w:szCs w:val="24"/>
        </w:rPr>
        <w:t>以癌症新藥專款給付</w:t>
      </w:r>
      <w:bookmarkEnd w:id="6"/>
      <w:r w:rsidRPr="006F51FE">
        <w:rPr>
          <w:rFonts w:ascii="標楷體" w:hAnsi="標楷體" w:hint="eastAsia"/>
          <w:b w:val="0"/>
          <w:sz w:val="24"/>
          <w:szCs w:val="24"/>
        </w:rPr>
        <w:t>藥品及審議中藥品之費用，將由115年度之72億餘元增長至118年度之83億餘元</w:t>
      </w:r>
      <w:r w:rsidR="00A571B6" w:rsidRPr="006F51FE">
        <w:rPr>
          <w:rFonts w:ascii="標楷體" w:hAnsi="標楷體" w:hint="eastAsia"/>
          <w:b w:val="0"/>
          <w:sz w:val="24"/>
          <w:szCs w:val="24"/>
        </w:rPr>
        <w:t>，負擔逐年加重</w:t>
      </w:r>
      <w:r w:rsidRPr="006F51FE">
        <w:rPr>
          <w:rFonts w:ascii="標楷體" w:hAnsi="標楷體" w:hint="eastAsia"/>
          <w:b w:val="0"/>
          <w:sz w:val="24"/>
          <w:szCs w:val="24"/>
        </w:rPr>
        <w:t>。另健保署為逐步接軌國際癌症治療標準，參考美國國家癌症資訊網（National Comprehensive Cancer Network, NCCN）治療指引，</w:t>
      </w:r>
      <w:r w:rsidR="00A571B6" w:rsidRPr="006F51FE">
        <w:rPr>
          <w:rFonts w:ascii="標楷體" w:hAnsi="標楷體" w:hint="eastAsia"/>
          <w:b w:val="0"/>
          <w:sz w:val="24"/>
          <w:szCs w:val="24"/>
        </w:rPr>
        <w:t>逐步</w:t>
      </w:r>
      <w:r w:rsidRPr="006F51FE">
        <w:rPr>
          <w:rFonts w:ascii="標楷體" w:hAnsi="標楷體" w:hint="eastAsia"/>
          <w:b w:val="0"/>
          <w:sz w:val="24"/>
          <w:szCs w:val="24"/>
        </w:rPr>
        <w:t>盤點現行</w:t>
      </w:r>
      <w:r w:rsidR="006F51FE" w:rsidRPr="006F51FE">
        <w:rPr>
          <w:rFonts w:ascii="標楷體" w:hAnsi="標楷體" w:hint="eastAsia"/>
          <w:b w:val="0"/>
          <w:sz w:val="24"/>
          <w:szCs w:val="24"/>
        </w:rPr>
        <w:t>全民健康保險</w:t>
      </w:r>
      <w:r w:rsidR="00672C40">
        <w:rPr>
          <w:rFonts w:ascii="標楷體" w:hAnsi="標楷體" w:hint="eastAsia"/>
          <w:b w:val="0"/>
          <w:sz w:val="24"/>
          <w:szCs w:val="24"/>
        </w:rPr>
        <w:t>（</w:t>
      </w:r>
      <w:r w:rsidR="006F51FE" w:rsidRPr="006F51FE">
        <w:rPr>
          <w:rFonts w:ascii="標楷體" w:hAnsi="標楷體" w:hint="eastAsia"/>
          <w:b w:val="0"/>
          <w:sz w:val="24"/>
          <w:szCs w:val="24"/>
        </w:rPr>
        <w:t>下稱</w:t>
      </w:r>
      <w:r w:rsidRPr="006F51FE">
        <w:rPr>
          <w:rFonts w:ascii="標楷體" w:hAnsi="標楷體" w:hint="eastAsia"/>
          <w:b w:val="0"/>
          <w:sz w:val="24"/>
          <w:szCs w:val="24"/>
        </w:rPr>
        <w:t>健保</w:t>
      </w:r>
      <w:r w:rsidR="00672C40">
        <w:rPr>
          <w:rFonts w:ascii="標楷體" w:hAnsi="標楷體" w:hint="eastAsia"/>
          <w:b w:val="0"/>
          <w:sz w:val="24"/>
          <w:szCs w:val="24"/>
        </w:rPr>
        <w:t>）</w:t>
      </w:r>
      <w:r w:rsidRPr="006F51FE">
        <w:rPr>
          <w:rFonts w:ascii="標楷體" w:hAnsi="標楷體" w:hint="eastAsia"/>
          <w:b w:val="0"/>
          <w:sz w:val="24"/>
          <w:szCs w:val="24"/>
        </w:rPr>
        <w:t>給付癌症藥品之給付條件與前述國際治療指引間之差異，俾於收載藥品時，優先評估納入或擴增給付，114年度計已完成肺癌等6類癌症藥品盤點作業，截至114年底止，前揭癌症用藥中，尚有13項藥品給付申請案件尚在審查階段或採有條件給付，藥品給付範圍未完全涵蓋NCCN治療標準</w:t>
      </w:r>
      <w:r w:rsidR="00A571B6" w:rsidRPr="006F51FE">
        <w:rPr>
          <w:rFonts w:ascii="標楷體" w:hAnsi="標楷體" w:hint="eastAsia"/>
          <w:b w:val="0"/>
          <w:sz w:val="24"/>
          <w:szCs w:val="24"/>
        </w:rPr>
        <w:t>；</w:t>
      </w:r>
      <w:r w:rsidRPr="006F51FE">
        <w:rPr>
          <w:rFonts w:ascii="標楷體" w:hAnsi="標楷體" w:hint="eastAsia"/>
          <w:b w:val="0"/>
          <w:sz w:val="24"/>
          <w:szCs w:val="24"/>
        </w:rPr>
        <w:t>又健保署已規劃將藥品盤點範圍，擴增至頭頸癌、子宮內膜癌、卵巢癌等3種癌別，並預計於115年底前完成盤點作業</w:t>
      </w:r>
      <w:r w:rsidR="00A571B6" w:rsidRPr="006F51FE">
        <w:rPr>
          <w:rFonts w:ascii="標楷體" w:hAnsi="標楷體" w:hint="eastAsia"/>
          <w:b w:val="0"/>
          <w:sz w:val="24"/>
          <w:szCs w:val="24"/>
        </w:rPr>
        <w:t>，</w:t>
      </w:r>
      <w:r w:rsidRPr="006F51FE">
        <w:rPr>
          <w:rFonts w:ascii="標楷體" w:hAnsi="標楷體" w:hint="eastAsia"/>
          <w:b w:val="0"/>
          <w:sz w:val="24"/>
          <w:szCs w:val="24"/>
        </w:rPr>
        <w:t>隨健保署持續盤點國際治療指引與健保給付間之差異，及因應癌症病人臨床治療需求，逐步擴增藥品收載及給付範圍，相關新藥經費需求勢將持續增加，現行以公務預算撥補之癌症新藥專款額度恐不敷未來實際需求。再查，</w:t>
      </w:r>
      <w:r w:rsidR="00A571B6" w:rsidRPr="006F51FE">
        <w:rPr>
          <w:rFonts w:ascii="標楷體" w:hAnsi="標楷體" w:hint="eastAsia"/>
          <w:b w:val="0"/>
          <w:sz w:val="24"/>
          <w:szCs w:val="24"/>
        </w:rPr>
        <w:t>110至114年度健保總額新藥預算為19億餘元至26億餘元不等，114年度僅較113年度增加2,400萬元，其中112、114年度所編預算不敷支應執行數，超支部分，須由其餘醫療服務項目預算支應，顯示現行新藥預算成長幅度已不敷實需，加以114年度核准</w:t>
      </w:r>
      <w:r w:rsidRPr="006F51FE">
        <w:rPr>
          <w:rFonts w:ascii="標楷體" w:hAnsi="標楷體" w:hint="eastAsia"/>
          <w:b w:val="0"/>
          <w:sz w:val="24"/>
          <w:szCs w:val="24"/>
        </w:rPr>
        <w:t>以癌症新藥專款給付之</w:t>
      </w:r>
      <w:r w:rsidR="00A571B6" w:rsidRPr="006F51FE">
        <w:rPr>
          <w:rFonts w:ascii="標楷體" w:hAnsi="標楷體" w:hint="eastAsia"/>
          <w:b w:val="0"/>
          <w:sz w:val="24"/>
          <w:szCs w:val="24"/>
        </w:rPr>
        <w:t>11項</w:t>
      </w:r>
      <w:r w:rsidRPr="006F51FE">
        <w:rPr>
          <w:rFonts w:ascii="標楷體" w:hAnsi="標楷體" w:hint="eastAsia"/>
          <w:b w:val="0"/>
          <w:sz w:val="24"/>
          <w:szCs w:val="24"/>
        </w:rPr>
        <w:t>藥品</w:t>
      </w:r>
      <w:r w:rsidR="00A571B6" w:rsidRPr="006F51FE">
        <w:rPr>
          <w:rFonts w:ascii="標楷體" w:hAnsi="標楷體" w:hint="eastAsia"/>
          <w:b w:val="0"/>
          <w:sz w:val="24"/>
          <w:szCs w:val="24"/>
        </w:rPr>
        <w:t>中</w:t>
      </w:r>
      <w:r w:rsidRPr="006F51FE">
        <w:rPr>
          <w:rFonts w:ascii="標楷體" w:hAnsi="標楷體" w:hint="eastAsia"/>
          <w:b w:val="0"/>
          <w:sz w:val="24"/>
          <w:szCs w:val="24"/>
        </w:rPr>
        <w:t>，3項屬臨床療效證據明確，</w:t>
      </w:r>
      <w:r w:rsidR="00A571B6" w:rsidRPr="006F51FE">
        <w:rPr>
          <w:rFonts w:ascii="標楷體" w:hAnsi="標楷體" w:hint="eastAsia"/>
          <w:b w:val="0"/>
          <w:sz w:val="24"/>
          <w:szCs w:val="24"/>
        </w:rPr>
        <w:t>因</w:t>
      </w:r>
      <w:r w:rsidRPr="006F51FE">
        <w:rPr>
          <w:rFonts w:ascii="標楷體" w:hAnsi="標楷體" w:hint="eastAsia"/>
          <w:b w:val="0"/>
          <w:sz w:val="24"/>
          <w:szCs w:val="24"/>
        </w:rPr>
        <w:t>受健保總額預算限制暫未納入健保給付，</w:t>
      </w:r>
      <w:r w:rsidR="00A571B6" w:rsidRPr="006F51FE">
        <w:rPr>
          <w:rFonts w:ascii="標楷體" w:hAnsi="標楷體" w:hint="eastAsia"/>
          <w:b w:val="0"/>
          <w:sz w:val="24"/>
          <w:szCs w:val="24"/>
        </w:rPr>
        <w:t>每年</w:t>
      </w:r>
      <w:r w:rsidRPr="006F51FE">
        <w:rPr>
          <w:rFonts w:ascii="標楷體" w:hAnsi="標楷體" w:hint="eastAsia"/>
          <w:b w:val="0"/>
          <w:sz w:val="24"/>
          <w:szCs w:val="24"/>
        </w:rPr>
        <w:t>藥費約</w:t>
      </w:r>
      <w:r w:rsidR="00A571B6" w:rsidRPr="006F51FE">
        <w:rPr>
          <w:rFonts w:ascii="標楷體" w:hAnsi="標楷體" w:hint="eastAsia"/>
          <w:b w:val="0"/>
          <w:sz w:val="24"/>
          <w:szCs w:val="24"/>
        </w:rPr>
        <w:t>需</w:t>
      </w:r>
      <w:r w:rsidRPr="006F51FE">
        <w:rPr>
          <w:rFonts w:ascii="標楷體" w:hAnsi="標楷體" w:hint="eastAsia"/>
          <w:b w:val="0"/>
          <w:sz w:val="24"/>
          <w:szCs w:val="24"/>
        </w:rPr>
        <w:t>60億元，其由癌症新藥專款給付之期限將於116年間屆滿，自117年度起將轉由健保新藥預算支應</w:t>
      </w:r>
      <w:r w:rsidR="00BF1C7E" w:rsidRPr="006F51FE">
        <w:rPr>
          <w:rFonts w:ascii="標楷體" w:hAnsi="標楷體" w:hint="eastAsia"/>
          <w:b w:val="0"/>
          <w:sz w:val="24"/>
          <w:szCs w:val="24"/>
        </w:rPr>
        <w:t>，</w:t>
      </w:r>
      <w:r w:rsidRPr="006F51FE">
        <w:rPr>
          <w:rFonts w:ascii="標楷體" w:hAnsi="標楷體" w:hint="eastAsia"/>
          <w:b w:val="0"/>
          <w:sz w:val="24"/>
          <w:szCs w:val="24"/>
        </w:rPr>
        <w:t>若無適足財源挹注，</w:t>
      </w:r>
      <w:r w:rsidR="00A571B6" w:rsidRPr="006F51FE">
        <w:rPr>
          <w:rFonts w:ascii="標楷體" w:hAnsi="標楷體" w:hint="eastAsia"/>
          <w:b w:val="0"/>
          <w:sz w:val="24"/>
          <w:szCs w:val="24"/>
        </w:rPr>
        <w:t>恐將壓縮其他醫療服務項目可分配之預算資源，並</w:t>
      </w:r>
      <w:r w:rsidRPr="006F51FE">
        <w:rPr>
          <w:rFonts w:ascii="標楷體" w:hAnsi="標楷體" w:hint="eastAsia"/>
          <w:b w:val="0"/>
          <w:sz w:val="24"/>
          <w:szCs w:val="24"/>
        </w:rPr>
        <w:t>影響後續新藥收載之能力</w:t>
      </w:r>
      <w:r w:rsidR="00A571B6" w:rsidRPr="006F51FE">
        <w:rPr>
          <w:rFonts w:ascii="標楷體" w:hAnsi="標楷體" w:hint="eastAsia"/>
          <w:b w:val="0"/>
          <w:sz w:val="24"/>
          <w:szCs w:val="24"/>
        </w:rPr>
        <w:t>。</w:t>
      </w:r>
      <w:r w:rsidRPr="006F51FE">
        <w:rPr>
          <w:rFonts w:ascii="標楷體" w:hAnsi="標楷體" w:hint="eastAsia"/>
          <w:b w:val="0"/>
          <w:sz w:val="24"/>
          <w:szCs w:val="24"/>
        </w:rPr>
        <w:t>經函請衛福部督促研謀因應，研議籌措多元財源之可行性，以維護癌症病人取得新治療選擇之權益。據復：</w:t>
      </w:r>
      <w:r w:rsidR="00F12886" w:rsidRPr="006F51FE">
        <w:rPr>
          <w:rFonts w:ascii="標楷體" w:hAnsi="標楷體" w:hint="eastAsia"/>
          <w:b w:val="0"/>
          <w:sz w:val="24"/>
          <w:szCs w:val="24"/>
        </w:rPr>
        <w:t>短期</w:t>
      </w:r>
      <w:r w:rsidR="0085471A" w:rsidRPr="006F51FE">
        <w:rPr>
          <w:rFonts w:ascii="標楷體" w:hAnsi="標楷體" w:hint="eastAsia"/>
          <w:b w:val="0"/>
          <w:sz w:val="24"/>
          <w:szCs w:val="24"/>
        </w:rPr>
        <w:t>仍</w:t>
      </w:r>
      <w:r w:rsidR="00F12886" w:rsidRPr="006F51FE">
        <w:rPr>
          <w:rFonts w:ascii="標楷體" w:hAnsi="標楷體" w:hint="eastAsia"/>
          <w:b w:val="0"/>
          <w:sz w:val="24"/>
          <w:szCs w:val="24"/>
        </w:rPr>
        <w:t>爭取公務預算</w:t>
      </w:r>
      <w:r w:rsidR="0085471A" w:rsidRPr="006F51FE">
        <w:rPr>
          <w:rFonts w:ascii="標楷體" w:hAnsi="標楷體" w:hint="eastAsia"/>
          <w:b w:val="0"/>
          <w:sz w:val="24"/>
          <w:szCs w:val="24"/>
        </w:rPr>
        <w:t>挹注</w:t>
      </w:r>
      <w:r w:rsidR="00F12886" w:rsidRPr="006F51FE">
        <w:rPr>
          <w:rFonts w:ascii="標楷體" w:hAnsi="標楷體" w:hint="eastAsia"/>
          <w:b w:val="0"/>
          <w:sz w:val="24"/>
          <w:szCs w:val="24"/>
        </w:rPr>
        <w:t>，並審慎研議新增</w:t>
      </w:r>
      <w:r w:rsidR="00692EC7" w:rsidRPr="006F51FE">
        <w:rPr>
          <w:rFonts w:ascii="標楷體" w:hAnsi="標楷體" w:hint="eastAsia"/>
          <w:b w:val="0"/>
          <w:sz w:val="24"/>
          <w:szCs w:val="24"/>
        </w:rPr>
        <w:t>之</w:t>
      </w:r>
      <w:r w:rsidR="00F12886" w:rsidRPr="006F51FE">
        <w:rPr>
          <w:rFonts w:ascii="標楷體" w:hAnsi="標楷體" w:hint="eastAsia"/>
          <w:b w:val="0"/>
          <w:sz w:val="24"/>
          <w:szCs w:val="24"/>
        </w:rPr>
        <w:t>財源</w:t>
      </w:r>
      <w:r w:rsidRPr="006F51FE">
        <w:rPr>
          <w:rFonts w:ascii="標楷體" w:hAnsi="標楷體" w:hint="eastAsia"/>
          <w:b w:val="0"/>
          <w:sz w:val="24"/>
          <w:szCs w:val="24"/>
        </w:rPr>
        <w:t>。</w:t>
      </w:r>
    </w:p>
    <w:p w14:paraId="5C4DFBA5" w14:textId="77777777" w:rsidR="005E6E9F" w:rsidRPr="00651CCA" w:rsidRDefault="005E6E9F" w:rsidP="007B70CF">
      <w:pPr>
        <w:overflowPunct w:val="0"/>
        <w:spacing w:line="640" w:lineRule="exact"/>
        <w:ind w:firstLineChars="450" w:firstLine="1261"/>
        <w:jc w:val="both"/>
        <w:outlineLvl w:val="0"/>
        <w:rPr>
          <w:rFonts w:ascii="標楷體" w:eastAsia="標楷體"/>
          <w:b/>
          <w:bCs/>
          <w:sz w:val="28"/>
        </w:rPr>
      </w:pPr>
      <w:r w:rsidRPr="00651CCA">
        <w:rPr>
          <w:rFonts w:ascii="標楷體" w:eastAsia="標楷體" w:hint="eastAsia"/>
          <w:b/>
          <w:bCs/>
          <w:sz w:val="28"/>
        </w:rPr>
        <w:lastRenderedPageBreak/>
        <w:t>6.　11</w:t>
      </w:r>
      <w:r>
        <w:rPr>
          <w:rFonts w:ascii="標楷體" w:eastAsia="標楷體"/>
          <w:b/>
          <w:bCs/>
          <w:sz w:val="28"/>
        </w:rPr>
        <w:t>3</w:t>
      </w:r>
      <w:r w:rsidRPr="00651CCA">
        <w:rPr>
          <w:rFonts w:ascii="標楷體" w:eastAsia="標楷體" w:hint="eastAsia"/>
          <w:b/>
          <w:bCs/>
          <w:sz w:val="28"/>
        </w:rPr>
        <w:t>年度重要審核意見追蹤查核情形</w:t>
      </w:r>
    </w:p>
    <w:p w14:paraId="36BBC4BB" w14:textId="77777777" w:rsidR="005E6E9F" w:rsidRPr="00651CCA" w:rsidRDefault="005E6E9F" w:rsidP="00692EC7">
      <w:pPr>
        <w:widowControl/>
        <w:overflowPunct w:val="0"/>
        <w:spacing w:afterLines="20" w:after="72" w:line="620" w:lineRule="exact"/>
        <w:ind w:firstLineChars="200" w:firstLine="480"/>
        <w:jc w:val="both"/>
        <w:rPr>
          <w:rFonts w:ascii="標楷體" w:eastAsia="標楷體" w:hAnsi="標楷體" w:cs="標楷體"/>
        </w:rPr>
      </w:pPr>
      <w:r w:rsidRPr="00651CCA">
        <w:rPr>
          <w:rFonts w:ascii="標楷體" w:eastAsia="標楷體" w:hAnsi="標楷體" w:cs="標楷體" w:hint="eastAsia"/>
        </w:rPr>
        <w:t>本部於</w:t>
      </w:r>
      <w:r w:rsidRPr="00651CCA">
        <w:rPr>
          <w:rFonts w:ascii="標楷體" w:eastAsia="標楷體" w:hAnsi="標楷體" w:cs="標楷體"/>
        </w:rPr>
        <w:t>1</w:t>
      </w:r>
      <w:r w:rsidRPr="00651CCA">
        <w:rPr>
          <w:rFonts w:ascii="標楷體" w:eastAsia="標楷體" w:hAnsi="標楷體" w:cs="標楷體" w:hint="eastAsia"/>
        </w:rPr>
        <w:t>1</w:t>
      </w:r>
      <w:r>
        <w:rPr>
          <w:rFonts w:ascii="標楷體" w:eastAsia="標楷體" w:hAnsi="標楷體" w:cs="標楷體"/>
        </w:rPr>
        <w:t>3</w:t>
      </w:r>
      <w:r w:rsidRPr="00651CCA">
        <w:rPr>
          <w:rFonts w:ascii="標楷體" w:eastAsia="標楷體" w:hAnsi="標楷體" w:cs="標楷體" w:hint="eastAsia"/>
        </w:rPr>
        <w:t>年度審核報告非營業部分</w:t>
      </w:r>
      <w:r w:rsidRPr="00AF3850">
        <w:rPr>
          <w:rFonts w:ascii="標楷體" w:eastAsia="標楷體" w:hAnsi="標楷體" w:cs="標楷體" w:hint="eastAsia"/>
        </w:rPr>
        <w:t>內列重要審核意見4項，經賡續追蹤查核實際辦理結果，仍待繼續改善者</w:t>
      </w:r>
      <w:r w:rsidRPr="00AF3850">
        <w:rPr>
          <w:rFonts w:ascii="標楷體" w:eastAsia="標楷體" w:hAnsi="標楷體" w:cs="標楷體"/>
        </w:rPr>
        <w:t>1</w:t>
      </w:r>
      <w:r w:rsidRPr="00AF3850">
        <w:rPr>
          <w:rFonts w:ascii="標楷體" w:eastAsia="標楷體" w:hAnsi="標楷體" w:cs="標楷體" w:hint="eastAsia"/>
        </w:rPr>
        <w:t>項、已研謀改善或依改善措施持續辦理者</w:t>
      </w:r>
      <w:r w:rsidRPr="00AF3850">
        <w:rPr>
          <w:rFonts w:ascii="標楷體" w:eastAsia="標楷體" w:hAnsi="標楷體" w:cs="標楷體"/>
        </w:rPr>
        <w:t>3</w:t>
      </w:r>
      <w:r w:rsidRPr="00AF3850">
        <w:rPr>
          <w:rFonts w:ascii="標楷體" w:eastAsia="標楷體" w:hAnsi="標楷體" w:cs="標楷體" w:hint="eastAsia"/>
        </w:rPr>
        <w:t>項（表7），</w:t>
      </w:r>
      <w:r w:rsidRPr="00651CCA">
        <w:rPr>
          <w:rFonts w:ascii="標楷體" w:eastAsia="標楷體" w:hAnsi="標楷體" w:cs="標楷體" w:hint="eastAsia"/>
        </w:rPr>
        <w:t>其中仍待繼續改善者，經再研提審核</w:t>
      </w:r>
      <w:r w:rsidRPr="00131AF7">
        <w:rPr>
          <w:rFonts w:ascii="標楷體" w:eastAsia="標楷體" w:hAnsi="標楷體" w:cs="標楷體" w:hint="eastAsia"/>
        </w:rPr>
        <w:t>意見</w:t>
      </w:r>
      <w:r w:rsidRPr="00131AF7">
        <w:rPr>
          <w:rFonts w:ascii="標楷體" w:eastAsia="標楷體" w:hAnsi="標楷體" w:cs="標楷體"/>
        </w:rPr>
        <w:t>1</w:t>
      </w:r>
      <w:r w:rsidRPr="00131AF7">
        <w:rPr>
          <w:rFonts w:ascii="標楷體" w:eastAsia="標楷體" w:hAnsi="標楷體" w:cs="標楷體" w:hint="eastAsia"/>
        </w:rPr>
        <w:t>項通知檢討改善。</w:t>
      </w:r>
    </w:p>
    <w:p w14:paraId="5C7700F7" w14:textId="2041DA9B" w:rsidR="005E6E9F" w:rsidRPr="00651CCA" w:rsidRDefault="005E6E9F" w:rsidP="007B70CF">
      <w:pPr>
        <w:tabs>
          <w:tab w:val="left" w:pos="686"/>
        </w:tabs>
        <w:overflowPunct w:val="0"/>
        <w:spacing w:afterLines="20" w:after="72" w:line="560" w:lineRule="exact"/>
        <w:jc w:val="center"/>
        <w:outlineLvl w:val="0"/>
        <w:rPr>
          <w:rStyle w:val="afa"/>
          <w:rFonts w:ascii="標楷體" w:eastAsia="標楷體" w:hAnsi="標楷體"/>
        </w:rPr>
      </w:pPr>
      <w:r w:rsidRPr="00651CCA">
        <w:rPr>
          <w:rStyle w:val="afa"/>
          <w:rFonts w:ascii="標楷體" w:eastAsia="標楷體" w:hAnsi="標楷體" w:hint="eastAsia"/>
        </w:rPr>
        <w:t>表</w:t>
      </w:r>
      <w:r>
        <w:rPr>
          <w:rStyle w:val="afa"/>
          <w:rFonts w:ascii="標楷體" w:eastAsia="標楷體" w:hAnsi="標楷體" w:hint="eastAsia"/>
        </w:rPr>
        <w:t>7</w:t>
      </w:r>
      <w:r w:rsidRPr="00651CCA">
        <w:rPr>
          <w:rStyle w:val="afa"/>
          <w:rFonts w:ascii="標楷體" w:eastAsia="標楷體" w:hAnsi="標楷體" w:hint="eastAsia"/>
        </w:rPr>
        <w:t xml:space="preserve">　11</w:t>
      </w:r>
      <w:r>
        <w:rPr>
          <w:rStyle w:val="afa"/>
          <w:rFonts w:ascii="標楷體" w:eastAsia="標楷體" w:hAnsi="標楷體"/>
        </w:rPr>
        <w:t>3</w:t>
      </w:r>
      <w:r w:rsidRPr="00651CCA">
        <w:rPr>
          <w:rStyle w:val="afa"/>
          <w:rFonts w:ascii="標楷體" w:eastAsia="標楷體" w:hAnsi="標楷體" w:hint="eastAsia"/>
        </w:rPr>
        <w:t>年度審核報告非營業部分所列全民健康保險基金重要審核意見覆核辦理情形</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75"/>
        <w:gridCol w:w="3703"/>
      </w:tblGrid>
      <w:tr w:rsidR="005E6E9F" w:rsidRPr="00651CCA" w14:paraId="0452AB94" w14:textId="77777777" w:rsidTr="007B70CF">
        <w:trPr>
          <w:trHeight w:val="397"/>
          <w:tblHeader/>
          <w:jc w:val="center"/>
        </w:trPr>
        <w:tc>
          <w:tcPr>
            <w:tcW w:w="6475" w:type="dxa"/>
            <w:tcBorders>
              <w:top w:val="single" w:sz="4" w:space="0" w:color="auto"/>
              <w:left w:val="single" w:sz="4" w:space="0" w:color="auto"/>
              <w:bottom w:val="single" w:sz="4" w:space="0" w:color="auto"/>
              <w:right w:val="single" w:sz="4" w:space="0" w:color="auto"/>
            </w:tcBorders>
            <w:vAlign w:val="center"/>
          </w:tcPr>
          <w:p w14:paraId="5C6CE510" w14:textId="77777777" w:rsidR="005E6E9F" w:rsidRPr="00651CCA" w:rsidRDefault="005E6E9F" w:rsidP="007B70CF">
            <w:pPr>
              <w:widowControl/>
              <w:jc w:val="center"/>
              <w:rPr>
                <w:rFonts w:ascii="標楷體" w:eastAsia="標楷體" w:hAnsi="標楷體"/>
                <w:sz w:val="20"/>
              </w:rPr>
            </w:pPr>
            <w:r w:rsidRPr="00651CCA">
              <w:rPr>
                <w:rFonts w:ascii="標楷體" w:eastAsia="標楷體" w:hAnsi="標楷體" w:hint="eastAsia"/>
                <w:sz w:val="20"/>
              </w:rPr>
              <w:t>重要審核意見標題</w:t>
            </w:r>
          </w:p>
        </w:tc>
        <w:tc>
          <w:tcPr>
            <w:tcW w:w="3703" w:type="dxa"/>
            <w:tcBorders>
              <w:top w:val="single" w:sz="4" w:space="0" w:color="auto"/>
              <w:left w:val="single" w:sz="4" w:space="0" w:color="auto"/>
              <w:bottom w:val="single" w:sz="4" w:space="0" w:color="auto"/>
              <w:right w:val="single" w:sz="4" w:space="0" w:color="auto"/>
            </w:tcBorders>
            <w:vAlign w:val="center"/>
          </w:tcPr>
          <w:p w14:paraId="589C6EC7" w14:textId="77777777" w:rsidR="005E6E9F" w:rsidRPr="00651CCA" w:rsidRDefault="005E6E9F" w:rsidP="007B70CF">
            <w:pPr>
              <w:widowControl/>
              <w:jc w:val="center"/>
              <w:rPr>
                <w:rFonts w:ascii="標楷體" w:eastAsia="標楷體" w:hAnsi="標楷體"/>
                <w:sz w:val="20"/>
              </w:rPr>
            </w:pPr>
            <w:r w:rsidRPr="00651CCA">
              <w:rPr>
                <w:rFonts w:ascii="標楷體" w:eastAsia="標楷體" w:hAnsi="標楷體" w:hint="eastAsia"/>
                <w:sz w:val="20"/>
              </w:rPr>
              <w:t>說明</w:t>
            </w:r>
          </w:p>
        </w:tc>
      </w:tr>
      <w:tr w:rsidR="005E6E9F" w:rsidRPr="00651CCA" w14:paraId="540A6FE3" w14:textId="77777777" w:rsidTr="007B70CF">
        <w:trPr>
          <w:trHeight w:val="397"/>
          <w:jc w:val="center"/>
        </w:trPr>
        <w:tc>
          <w:tcPr>
            <w:tcW w:w="6475" w:type="dxa"/>
            <w:tcBorders>
              <w:top w:val="single" w:sz="4" w:space="0" w:color="auto"/>
              <w:left w:val="single" w:sz="4" w:space="0" w:color="auto"/>
              <w:bottom w:val="single" w:sz="4" w:space="0" w:color="auto"/>
              <w:right w:val="single" w:sz="4" w:space="0" w:color="auto"/>
            </w:tcBorders>
            <w:vAlign w:val="center"/>
          </w:tcPr>
          <w:p w14:paraId="728CF3BA" w14:textId="77777777" w:rsidR="005E6E9F" w:rsidRPr="00651CCA" w:rsidRDefault="005E6E9F" w:rsidP="007B70CF">
            <w:pPr>
              <w:widowControl/>
              <w:ind w:left="318" w:hanging="318"/>
              <w:jc w:val="both"/>
              <w:rPr>
                <w:rFonts w:ascii="標楷體" w:eastAsia="標楷體" w:hAnsi="標楷體"/>
                <w:b/>
                <w:sz w:val="20"/>
              </w:rPr>
            </w:pPr>
            <w:r w:rsidRPr="00651CCA">
              <w:rPr>
                <w:rFonts w:ascii="標楷體" w:eastAsia="標楷體" w:hAnsi="標楷體" w:hint="eastAsia"/>
                <w:b/>
                <w:noProof/>
                <w:sz w:val="20"/>
              </w:rPr>
              <w:t>仍待繼續改善</w:t>
            </w:r>
          </w:p>
        </w:tc>
        <w:tc>
          <w:tcPr>
            <w:tcW w:w="3703" w:type="dxa"/>
            <w:tcBorders>
              <w:top w:val="single" w:sz="4" w:space="0" w:color="auto"/>
              <w:left w:val="single" w:sz="4" w:space="0" w:color="auto"/>
              <w:bottom w:val="single" w:sz="4" w:space="0" w:color="auto"/>
              <w:right w:val="single" w:sz="4" w:space="0" w:color="auto"/>
            </w:tcBorders>
          </w:tcPr>
          <w:p w14:paraId="246F11CB" w14:textId="77777777" w:rsidR="005E6E9F" w:rsidRPr="00651CCA" w:rsidRDefault="005E6E9F" w:rsidP="007B70CF">
            <w:pPr>
              <w:widowControl/>
              <w:jc w:val="both"/>
              <w:rPr>
                <w:rFonts w:ascii="標楷體" w:eastAsia="標楷體" w:hAnsi="標楷體"/>
                <w:b/>
                <w:sz w:val="20"/>
              </w:rPr>
            </w:pPr>
          </w:p>
        </w:tc>
      </w:tr>
      <w:tr w:rsidR="005E6E9F" w:rsidRPr="00651CCA" w14:paraId="26CD613B" w14:textId="77777777" w:rsidTr="007B70CF">
        <w:trPr>
          <w:trHeight w:val="1077"/>
          <w:jc w:val="center"/>
        </w:trPr>
        <w:tc>
          <w:tcPr>
            <w:tcW w:w="6475" w:type="dxa"/>
            <w:tcBorders>
              <w:top w:val="single" w:sz="4" w:space="0" w:color="auto"/>
              <w:left w:val="single" w:sz="4" w:space="0" w:color="auto"/>
              <w:bottom w:val="single" w:sz="4" w:space="0" w:color="auto"/>
              <w:right w:val="single" w:sz="4" w:space="0" w:color="auto"/>
            </w:tcBorders>
          </w:tcPr>
          <w:p w14:paraId="2F733AD2" w14:textId="77777777" w:rsidR="005E6E9F" w:rsidRPr="00651CCA" w:rsidRDefault="005E6E9F" w:rsidP="007B70CF">
            <w:pPr>
              <w:widowControl/>
              <w:spacing w:afterLines="20" w:after="72" w:line="400" w:lineRule="exact"/>
              <w:jc w:val="both"/>
              <w:rPr>
                <w:rFonts w:ascii="標楷體" w:eastAsia="標楷體" w:hAnsi="標楷體"/>
                <w:sz w:val="20"/>
              </w:rPr>
            </w:pPr>
            <w:r w:rsidRPr="004E100B">
              <w:rPr>
                <w:rFonts w:ascii="標楷體" w:eastAsia="標楷體" w:hAnsi="標楷體" w:hint="eastAsia"/>
                <w:noProof/>
                <w:sz w:val="20"/>
              </w:rPr>
              <w:t>政府為改善健保財務，近年編列預算挹注全民健康保險基金，有助紓緩財務壓力，惟基金收支結構失衡，復囿於財務考量，部分新醫療科技等未能全額納入給付，另部分醫療院所未上傳病人檢驗結果，削弱資訊共享機制效益，允宜通盤檢討健保財務收支制度，並多元籌措財源，暨妥善控管非必要之資源耗用，以強化財務韌性，維繫健保財務永續與促進健康平權</w:t>
            </w:r>
            <w:r w:rsidRPr="00651CCA">
              <w:rPr>
                <w:rFonts w:ascii="標楷體" w:eastAsia="標楷體" w:hAnsi="標楷體" w:hint="eastAsia"/>
                <w:noProof/>
                <w:sz w:val="20"/>
              </w:rPr>
              <w:t>。</w:t>
            </w:r>
          </w:p>
        </w:tc>
        <w:tc>
          <w:tcPr>
            <w:tcW w:w="3703" w:type="dxa"/>
            <w:tcBorders>
              <w:top w:val="single" w:sz="4" w:space="0" w:color="auto"/>
              <w:left w:val="single" w:sz="4" w:space="0" w:color="auto"/>
              <w:bottom w:val="single" w:sz="4" w:space="0" w:color="auto"/>
              <w:right w:val="single" w:sz="4" w:space="0" w:color="auto"/>
            </w:tcBorders>
          </w:tcPr>
          <w:p w14:paraId="72A45E95" w14:textId="77777777" w:rsidR="005E6E9F" w:rsidRPr="00651CCA" w:rsidRDefault="005E6E9F" w:rsidP="007B70CF">
            <w:pPr>
              <w:widowControl/>
              <w:spacing w:afterLines="20" w:after="72" w:line="400" w:lineRule="exact"/>
              <w:jc w:val="both"/>
              <w:rPr>
                <w:rFonts w:ascii="標楷體" w:eastAsia="標楷體" w:hAnsi="標楷體"/>
                <w:noProof/>
                <w:sz w:val="20"/>
              </w:rPr>
            </w:pPr>
            <w:r w:rsidRPr="004E100B">
              <w:rPr>
                <w:rFonts w:ascii="標楷體" w:eastAsia="標楷體" w:hAnsi="標楷體" w:hint="eastAsia"/>
                <w:noProof/>
                <w:sz w:val="20"/>
              </w:rPr>
              <w:t>政府為維持</w:t>
            </w:r>
            <w:r w:rsidRPr="001E0D1F">
              <w:rPr>
                <w:rFonts w:ascii="標楷體" w:eastAsia="標楷體" w:hAnsi="標楷體" w:hint="eastAsia"/>
                <w:noProof/>
                <w:sz w:val="20"/>
              </w:rPr>
              <w:t>全民健康保險基金</w:t>
            </w:r>
            <w:r w:rsidRPr="004E100B">
              <w:rPr>
                <w:rFonts w:ascii="標楷體" w:eastAsia="標楷體" w:hAnsi="標楷體" w:hint="eastAsia"/>
                <w:noProof/>
                <w:sz w:val="20"/>
              </w:rPr>
              <w:t>財務穩定，近年雖持續編列預算撥補，以緩解短期財務壓力，惟基金收支結構長年失衡問題未獲改善，</w:t>
            </w:r>
            <w:r w:rsidRPr="00651CCA">
              <w:rPr>
                <w:rFonts w:ascii="標楷體" w:eastAsia="標楷體" w:hAnsi="標楷體" w:hint="eastAsia"/>
                <w:noProof/>
                <w:sz w:val="20"/>
              </w:rPr>
              <w:t>業再研提審核意見詳「5.重要審核意見（</w:t>
            </w:r>
            <w:r w:rsidRPr="00651CCA">
              <w:rPr>
                <w:rFonts w:ascii="標楷體" w:eastAsia="標楷體" w:hAnsi="標楷體"/>
                <w:noProof/>
                <w:sz w:val="20"/>
              </w:rPr>
              <w:t>1</w:t>
            </w:r>
            <w:r w:rsidRPr="00651CCA">
              <w:rPr>
                <w:rFonts w:ascii="標楷體" w:eastAsia="標楷體" w:hAnsi="標楷體" w:hint="eastAsia"/>
                <w:noProof/>
                <w:sz w:val="20"/>
              </w:rPr>
              <w:t>）」。</w:t>
            </w:r>
          </w:p>
        </w:tc>
      </w:tr>
      <w:tr w:rsidR="005E6E9F" w:rsidRPr="00651CCA" w14:paraId="20C0C93E" w14:textId="77777777" w:rsidTr="007B70CF">
        <w:trPr>
          <w:trHeight w:val="397"/>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3017EBE0" w14:textId="77777777" w:rsidR="005E6E9F" w:rsidRPr="00651CCA" w:rsidRDefault="005E6E9F" w:rsidP="007B70CF">
            <w:pPr>
              <w:widowControl/>
              <w:jc w:val="both"/>
              <w:rPr>
                <w:rFonts w:ascii="標楷體" w:eastAsia="標楷體" w:hAnsi="標楷體"/>
                <w:b/>
                <w:sz w:val="20"/>
              </w:rPr>
            </w:pPr>
            <w:r w:rsidRPr="00651CCA">
              <w:rPr>
                <w:rFonts w:ascii="標楷體" w:eastAsia="標楷體" w:hAnsi="標楷體" w:hint="eastAsia"/>
                <w:b/>
                <w:noProof/>
                <w:sz w:val="20"/>
              </w:rPr>
              <w:t>已研謀改善或依改善措施持續辦理</w:t>
            </w:r>
          </w:p>
        </w:tc>
      </w:tr>
      <w:tr w:rsidR="008921B7" w:rsidRPr="00651CCA" w14:paraId="2C61140A" w14:textId="77777777" w:rsidTr="007B70CF">
        <w:trPr>
          <w:jc w:val="center"/>
        </w:trPr>
        <w:tc>
          <w:tcPr>
            <w:tcW w:w="6475" w:type="dxa"/>
            <w:tcBorders>
              <w:top w:val="single" w:sz="4" w:space="0" w:color="auto"/>
              <w:left w:val="single" w:sz="4" w:space="0" w:color="auto"/>
              <w:bottom w:val="single" w:sz="4" w:space="0" w:color="auto"/>
              <w:right w:val="single" w:sz="4" w:space="0" w:color="auto"/>
            </w:tcBorders>
            <w:vAlign w:val="center"/>
          </w:tcPr>
          <w:p w14:paraId="1EF51356" w14:textId="77777777" w:rsidR="008921B7" w:rsidRPr="00651CCA" w:rsidRDefault="008921B7" w:rsidP="007B70CF">
            <w:pPr>
              <w:widowControl/>
              <w:spacing w:afterLines="20" w:after="72" w:line="396" w:lineRule="exact"/>
              <w:ind w:left="500" w:hangingChars="250" w:hanging="500"/>
              <w:jc w:val="both"/>
              <w:rPr>
                <w:rFonts w:ascii="標楷體" w:eastAsia="標楷體" w:hAnsi="標楷體"/>
                <w:noProof/>
                <w:sz w:val="20"/>
              </w:rPr>
            </w:pPr>
            <w:r w:rsidRPr="00651CCA">
              <w:rPr>
                <w:rFonts w:ascii="標楷體" w:eastAsia="標楷體" w:hAnsi="標楷體" w:hint="eastAsia"/>
                <w:noProof/>
                <w:sz w:val="20"/>
              </w:rPr>
              <w:t>（1）</w:t>
            </w:r>
            <w:r w:rsidRPr="004E100B">
              <w:rPr>
                <w:rFonts w:ascii="標楷體" w:eastAsia="標楷體" w:hAnsi="標楷體" w:hint="eastAsia"/>
                <w:noProof/>
                <w:sz w:val="20"/>
              </w:rPr>
              <w:t>中央健康保險署推動居家醫療照護服務，提升外出就醫不便病人之醫療照護可近性，惟與長照服務之雙向轉介及追蹤管理機制仍待精進，又社區藥局儲備管制藥品家數甚微，影響家屬領藥之近便性等情，允宜研謀改善，俾使個案均能獲致適切之照護服務，並確保居家療護服務品質</w:t>
            </w:r>
            <w:r w:rsidRPr="00651CCA">
              <w:rPr>
                <w:rFonts w:ascii="標楷體" w:eastAsia="標楷體" w:hAnsi="標楷體" w:hint="eastAsia"/>
                <w:noProof/>
                <w:sz w:val="20"/>
              </w:rPr>
              <w:t>。</w:t>
            </w:r>
          </w:p>
        </w:tc>
        <w:tc>
          <w:tcPr>
            <w:tcW w:w="3703" w:type="dxa"/>
            <w:vMerge w:val="restart"/>
            <w:tcBorders>
              <w:top w:val="single" w:sz="4" w:space="0" w:color="auto"/>
              <w:left w:val="single" w:sz="4" w:space="0" w:color="auto"/>
              <w:right w:val="single" w:sz="4" w:space="0" w:color="auto"/>
              <w:tl2br w:val="single" w:sz="4" w:space="0" w:color="auto"/>
            </w:tcBorders>
          </w:tcPr>
          <w:p w14:paraId="3AF38C7B" w14:textId="77777777" w:rsidR="008921B7" w:rsidRPr="00651CCA" w:rsidRDefault="008921B7" w:rsidP="007B70CF">
            <w:pPr>
              <w:widowControl/>
              <w:spacing w:afterLines="20" w:after="72" w:line="396" w:lineRule="exact"/>
              <w:jc w:val="both"/>
              <w:rPr>
                <w:rFonts w:ascii="標楷體" w:eastAsia="標楷體" w:hAnsi="標楷體"/>
                <w:sz w:val="20"/>
              </w:rPr>
            </w:pPr>
          </w:p>
        </w:tc>
      </w:tr>
      <w:tr w:rsidR="008921B7" w:rsidRPr="00651CCA" w14:paraId="2578B59C" w14:textId="77777777" w:rsidTr="007B70CF">
        <w:trPr>
          <w:jc w:val="center"/>
        </w:trPr>
        <w:tc>
          <w:tcPr>
            <w:tcW w:w="6475" w:type="dxa"/>
            <w:tcBorders>
              <w:top w:val="single" w:sz="4" w:space="0" w:color="auto"/>
              <w:left w:val="single" w:sz="4" w:space="0" w:color="auto"/>
              <w:bottom w:val="single" w:sz="4" w:space="0" w:color="auto"/>
              <w:right w:val="single" w:sz="4" w:space="0" w:color="auto"/>
            </w:tcBorders>
          </w:tcPr>
          <w:p w14:paraId="234A96CE" w14:textId="77777777" w:rsidR="008921B7" w:rsidRPr="00651CCA" w:rsidRDefault="008921B7" w:rsidP="007B70CF">
            <w:pPr>
              <w:widowControl/>
              <w:spacing w:afterLines="20" w:after="72" w:line="396" w:lineRule="exact"/>
              <w:ind w:left="500" w:hangingChars="250" w:hanging="500"/>
              <w:jc w:val="both"/>
              <w:rPr>
                <w:rFonts w:ascii="標楷體" w:eastAsia="標楷體" w:hAnsi="標楷體"/>
                <w:noProof/>
                <w:sz w:val="20"/>
              </w:rPr>
            </w:pPr>
            <w:r w:rsidRPr="00651CCA">
              <w:rPr>
                <w:rFonts w:ascii="標楷體" w:eastAsia="標楷體" w:hAnsi="標楷體" w:hint="eastAsia"/>
                <w:noProof/>
                <w:sz w:val="20"/>
              </w:rPr>
              <w:t>（2）</w:t>
            </w:r>
            <w:r w:rsidRPr="004E100B">
              <w:rPr>
                <w:rFonts w:ascii="標楷體" w:eastAsia="標楷體" w:hAnsi="標楷體" w:hint="eastAsia"/>
                <w:noProof/>
                <w:sz w:val="20"/>
              </w:rPr>
              <w:t>中央健康保險署為促使醫療資源有效運用，暢通醫院與基層診所間之分工合作及轉診機制，推動分級醫療策略及建置電子轉診平臺，惟囿於病人就醫自由等因素，策略實施多年仍有大幅進步空間，且間有醫療院所未善用電子轉診平臺，影響轉診病人照護連續性，允宜研謀改善，以提升雙向轉診效率，促進分級醫療目標之實現</w:t>
            </w:r>
            <w:r w:rsidRPr="00651CCA">
              <w:rPr>
                <w:rFonts w:ascii="標楷體" w:eastAsia="標楷體" w:hAnsi="標楷體" w:hint="eastAsia"/>
                <w:noProof/>
                <w:sz w:val="20"/>
              </w:rPr>
              <w:t>。</w:t>
            </w:r>
          </w:p>
        </w:tc>
        <w:tc>
          <w:tcPr>
            <w:tcW w:w="3703" w:type="dxa"/>
            <w:vMerge/>
            <w:tcBorders>
              <w:left w:val="single" w:sz="4" w:space="0" w:color="auto"/>
              <w:right w:val="single" w:sz="4" w:space="0" w:color="auto"/>
              <w:tl2br w:val="single" w:sz="4" w:space="0" w:color="auto"/>
            </w:tcBorders>
          </w:tcPr>
          <w:p w14:paraId="7F882823" w14:textId="77777777" w:rsidR="008921B7" w:rsidRPr="00651CCA" w:rsidRDefault="008921B7" w:rsidP="007B70CF">
            <w:pPr>
              <w:widowControl/>
              <w:spacing w:afterLines="20" w:after="72" w:line="396" w:lineRule="exact"/>
              <w:jc w:val="both"/>
              <w:rPr>
                <w:rFonts w:ascii="標楷體" w:eastAsia="標楷體" w:hAnsi="標楷體"/>
                <w:spacing w:val="-6"/>
                <w:sz w:val="20"/>
              </w:rPr>
            </w:pPr>
          </w:p>
        </w:tc>
      </w:tr>
      <w:tr w:rsidR="008921B7" w:rsidRPr="00651CCA" w14:paraId="6AC55759" w14:textId="77777777" w:rsidTr="007B70CF">
        <w:trPr>
          <w:jc w:val="center"/>
        </w:trPr>
        <w:tc>
          <w:tcPr>
            <w:tcW w:w="6475" w:type="dxa"/>
            <w:tcBorders>
              <w:top w:val="single" w:sz="4" w:space="0" w:color="auto"/>
              <w:left w:val="single" w:sz="4" w:space="0" w:color="auto"/>
              <w:bottom w:val="single" w:sz="4" w:space="0" w:color="auto"/>
              <w:right w:val="single" w:sz="4" w:space="0" w:color="auto"/>
            </w:tcBorders>
          </w:tcPr>
          <w:p w14:paraId="22DBF4EB" w14:textId="77777777" w:rsidR="008921B7" w:rsidRPr="00651CCA" w:rsidRDefault="008921B7" w:rsidP="007B70CF">
            <w:pPr>
              <w:widowControl/>
              <w:spacing w:afterLines="20" w:after="72" w:line="396" w:lineRule="exact"/>
              <w:ind w:left="500" w:hangingChars="250" w:hanging="500"/>
              <w:jc w:val="both"/>
              <w:rPr>
                <w:rFonts w:ascii="標楷體" w:eastAsia="標楷體" w:hAnsi="標楷體"/>
                <w:noProof/>
                <w:sz w:val="20"/>
              </w:rPr>
            </w:pPr>
            <w:r w:rsidRPr="00651CCA">
              <w:rPr>
                <w:rFonts w:ascii="標楷體" w:eastAsia="標楷體" w:hAnsi="標楷體" w:hint="eastAsia"/>
                <w:noProof/>
                <w:sz w:val="20"/>
              </w:rPr>
              <w:t>（</w:t>
            </w:r>
            <w:r>
              <w:rPr>
                <w:rFonts w:ascii="標楷體" w:eastAsia="標楷體" w:hAnsi="標楷體"/>
                <w:noProof/>
                <w:sz w:val="20"/>
              </w:rPr>
              <w:t>3</w:t>
            </w:r>
            <w:r w:rsidRPr="00651CCA">
              <w:rPr>
                <w:rFonts w:ascii="標楷體" w:eastAsia="標楷體" w:hAnsi="標楷體" w:hint="eastAsia"/>
                <w:noProof/>
                <w:sz w:val="20"/>
              </w:rPr>
              <w:t>）</w:t>
            </w:r>
            <w:r w:rsidRPr="004E100B">
              <w:rPr>
                <w:rFonts w:ascii="標楷體" w:eastAsia="標楷體" w:hAnsi="標楷體" w:hint="eastAsia"/>
                <w:noProof/>
                <w:sz w:val="20"/>
              </w:rPr>
              <w:t>中央健康保險署為提升區域弱勢民眾之醫療照護可近性，逐步擴大遠距醫療服務施行範圍，惟僅3成施行地區完成服務布建；又推動電子處方箋，缺乏整體推動策略，尚有多項實務問題待克服，允宜研謀改善，俾提升資源缺乏地區之醫療服務可近性及就醫流程便利性，促進醫療平權</w:t>
            </w:r>
            <w:r w:rsidRPr="00651CCA">
              <w:rPr>
                <w:rFonts w:ascii="標楷體" w:eastAsia="標楷體" w:hAnsi="標楷體" w:hint="eastAsia"/>
                <w:noProof/>
                <w:sz w:val="20"/>
              </w:rPr>
              <w:t>。</w:t>
            </w:r>
          </w:p>
        </w:tc>
        <w:tc>
          <w:tcPr>
            <w:tcW w:w="3703" w:type="dxa"/>
            <w:vMerge/>
            <w:tcBorders>
              <w:left w:val="single" w:sz="4" w:space="0" w:color="auto"/>
              <w:bottom w:val="single" w:sz="4" w:space="0" w:color="auto"/>
              <w:right w:val="single" w:sz="4" w:space="0" w:color="auto"/>
              <w:tl2br w:val="single" w:sz="4" w:space="0" w:color="auto"/>
            </w:tcBorders>
          </w:tcPr>
          <w:p w14:paraId="6B4FADA4" w14:textId="77777777" w:rsidR="008921B7" w:rsidRPr="00651CCA" w:rsidRDefault="008921B7" w:rsidP="007B70CF">
            <w:pPr>
              <w:widowControl/>
              <w:spacing w:afterLines="20" w:after="72" w:line="396" w:lineRule="exact"/>
              <w:jc w:val="both"/>
              <w:rPr>
                <w:rFonts w:ascii="標楷體" w:eastAsia="標楷體" w:hAnsi="標楷體"/>
                <w:spacing w:val="-6"/>
                <w:sz w:val="20"/>
              </w:rPr>
            </w:pPr>
          </w:p>
        </w:tc>
      </w:tr>
    </w:tbl>
    <w:p w14:paraId="36251E92" w14:textId="3217B823" w:rsidR="0075245C" w:rsidRPr="005E6E9F" w:rsidRDefault="005E6E9F" w:rsidP="007B70CF">
      <w:pPr>
        <w:overflowPunct w:val="0"/>
        <w:spacing w:line="640" w:lineRule="exact"/>
        <w:ind w:firstLineChars="200" w:firstLine="480"/>
        <w:jc w:val="both"/>
        <w:rPr>
          <w:rFonts w:ascii="標楷體" w:eastAsia="標楷體" w:hAnsi="標楷體"/>
          <w:color w:val="000000" w:themeColor="text1"/>
          <w:spacing w:val="-1"/>
          <w:szCs w:val="28"/>
        </w:rPr>
      </w:pPr>
      <w:r w:rsidRPr="00651CCA">
        <w:rPr>
          <w:rFonts w:ascii="標楷體" w:eastAsia="標楷體" w:hAnsi="標楷體" w:hint="eastAsia"/>
          <w:color w:val="000000" w:themeColor="text1"/>
          <w:szCs w:val="28"/>
        </w:rPr>
        <w:t>該基金收支餘絀之審定、餘絀審定後現金流量及資產負債狀況，詳戊、附表、壹、各基金附表</w:t>
      </w:r>
      <w:r w:rsidRPr="00651CCA">
        <w:rPr>
          <w:rFonts w:ascii="標楷體" w:eastAsia="標楷體" w:hAnsi="標楷體" w:hint="eastAsia"/>
          <w:color w:val="000000" w:themeColor="text1"/>
          <w:spacing w:val="-3"/>
          <w:szCs w:val="28"/>
        </w:rPr>
        <w:t>〔請至審計部全球資訊網之總決算審核報告查詢平台(https://auditreport.audit.gov.tw/)查閱〕。</w:t>
      </w:r>
    </w:p>
    <w:sectPr w:rsidR="0075245C" w:rsidRPr="005E6E9F" w:rsidSect="001445C6">
      <w:footerReference w:type="even" r:id="rId8"/>
      <w:footerReference w:type="default" r:id="rId9"/>
      <w:pgSz w:w="11906" w:h="16838" w:code="9"/>
      <w:pgMar w:top="1418" w:right="851" w:bottom="1418" w:left="851" w:header="1021" w:footer="737" w:gutter="0"/>
      <w:pgNumType w:start="17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B21A" w14:textId="77777777" w:rsidR="00C65094" w:rsidRDefault="00C65094">
      <w:r>
        <w:separator/>
      </w:r>
    </w:p>
  </w:endnote>
  <w:endnote w:type="continuationSeparator" w:id="0">
    <w:p w14:paraId="57EE7A46" w14:textId="77777777" w:rsidR="00C65094" w:rsidRDefault="00C6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43673170"/>
      <w:docPartObj>
        <w:docPartGallery w:val="Page Numbers (Bottom of Page)"/>
        <w:docPartUnique/>
      </w:docPartObj>
    </w:sdtPr>
    <w:sdtEndPr/>
    <w:sdtContent>
      <w:p w14:paraId="4BE30884" w14:textId="7100E1B4" w:rsidR="007044BA" w:rsidRPr="007607F3" w:rsidRDefault="007044BA" w:rsidP="007607F3">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Pr>
            <w:rFonts w:ascii="標楷體" w:eastAsia="標楷體" w:hAnsi="標楷體"/>
            <w:noProof/>
          </w:rPr>
          <w:t>182</w:t>
        </w:r>
        <w:r w:rsidRPr="007607F3">
          <w:rPr>
            <w:rFonts w:ascii="標楷體" w:eastAsia="標楷體" w:hAnsi="標楷體"/>
          </w:rPr>
          <w:fldChar w:fldCharType="end"/>
        </w:r>
      </w:p>
    </w:sdtContent>
  </w:sdt>
  <w:p w14:paraId="5FCA8C30" w14:textId="77777777" w:rsidR="007044BA" w:rsidRPr="007607F3" w:rsidRDefault="007044BA" w:rsidP="007607F3">
    <w:pPr>
      <w:pStyle w:val="a7"/>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310083"/>
      <w:docPartObj>
        <w:docPartGallery w:val="Page Numbers (Bottom of Page)"/>
        <w:docPartUnique/>
      </w:docPartObj>
    </w:sdtPr>
    <w:sdtEndPr>
      <w:rPr>
        <w:rFonts w:ascii="標楷體" w:eastAsia="標楷體" w:hAnsi="標楷體"/>
      </w:rPr>
    </w:sdtEndPr>
    <w:sdtContent>
      <w:sdt>
        <w:sdtPr>
          <w:rPr>
            <w:rFonts w:ascii="標楷體" w:eastAsia="標楷體" w:hAnsi="標楷體"/>
          </w:rPr>
          <w:id w:val="-461732549"/>
          <w:docPartObj>
            <w:docPartGallery w:val="Page Numbers (Bottom of Page)"/>
            <w:docPartUnique/>
          </w:docPartObj>
        </w:sdtPr>
        <w:sdtEndPr/>
        <w:sdtContent>
          <w:p w14:paraId="762672E3" w14:textId="1E4A3717" w:rsidR="007044BA" w:rsidRPr="007607F3" w:rsidRDefault="007044BA" w:rsidP="007607F3">
            <w:pPr>
              <w:pStyle w:val="a7"/>
              <w:tabs>
                <w:tab w:val="clear" w:pos="4153"/>
                <w:tab w:val="clear" w:pos="8306"/>
              </w:tabs>
              <w:snapToGrid/>
              <w:jc w:val="center"/>
              <w:rPr>
                <w:rFonts w:ascii="標楷體" w:eastAsia="標楷體" w:hAnsi="標楷體"/>
              </w:rPr>
            </w:pPr>
            <w:r w:rsidRPr="007607F3">
              <w:rPr>
                <w:rFonts w:ascii="標楷體" w:eastAsia="標楷體" w:hAnsi="標楷體" w:hint="eastAsia"/>
              </w:rPr>
              <w:t>乙-</w:t>
            </w:r>
            <w:r w:rsidRPr="007607F3">
              <w:rPr>
                <w:rFonts w:ascii="標楷體" w:eastAsia="標楷體" w:hAnsi="標楷體"/>
              </w:rPr>
              <w:fldChar w:fldCharType="begin"/>
            </w:r>
            <w:r w:rsidRPr="007607F3">
              <w:rPr>
                <w:rFonts w:ascii="標楷體" w:eastAsia="標楷體" w:hAnsi="標楷體"/>
              </w:rPr>
              <w:instrText>PAGE   \* MERGEFORMAT</w:instrText>
            </w:r>
            <w:r w:rsidRPr="007607F3">
              <w:rPr>
                <w:rFonts w:ascii="標楷體" w:eastAsia="標楷體" w:hAnsi="標楷體"/>
              </w:rPr>
              <w:fldChar w:fldCharType="separate"/>
            </w:r>
            <w:r w:rsidR="009510D6" w:rsidRPr="009510D6">
              <w:rPr>
                <w:rFonts w:ascii="標楷體" w:eastAsia="標楷體" w:hAnsi="標楷體"/>
                <w:noProof/>
                <w:lang w:val="zh-TW"/>
              </w:rPr>
              <w:t>181</w:t>
            </w:r>
            <w:r w:rsidRPr="007607F3">
              <w:rPr>
                <w:rFonts w:ascii="標楷體" w:eastAsia="標楷體" w:hAnsi="標楷體"/>
              </w:rPr>
              <w:fldChar w:fldCharType="end"/>
            </w:r>
          </w:p>
        </w:sdtContent>
      </w:sdt>
      <w:p w14:paraId="552A186A" w14:textId="7071933A" w:rsidR="003A0BA3" w:rsidRPr="007607F3" w:rsidRDefault="00A026FE" w:rsidP="007607F3">
        <w:pPr>
          <w:pStyle w:val="a7"/>
          <w:tabs>
            <w:tab w:val="clear" w:pos="4153"/>
            <w:tab w:val="clear" w:pos="8306"/>
          </w:tabs>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25F8B" w14:textId="77777777" w:rsidR="00C65094" w:rsidRDefault="00C65094">
      <w:r>
        <w:separator/>
      </w:r>
    </w:p>
  </w:footnote>
  <w:footnote w:type="continuationSeparator" w:id="0">
    <w:p w14:paraId="0ACF7192" w14:textId="77777777" w:rsidR="00C65094" w:rsidRDefault="00C65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33D08"/>
    <w:multiLevelType w:val="hybridMultilevel"/>
    <w:tmpl w:val="88D031DA"/>
    <w:lvl w:ilvl="0" w:tplc="17544988">
      <w:start w:val="1"/>
      <w:numFmt w:val="upperLetter"/>
      <w:lvlText w:val="%1."/>
      <w:lvlJc w:val="left"/>
      <w:pPr>
        <w:ind w:left="2457" w:hanging="495"/>
      </w:pPr>
      <w:rPr>
        <w:rFonts w:hint="default"/>
        <w:b/>
      </w:r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abstractNum w:abstractNumId="1" w15:restartNumberingAfterBreak="0">
    <w:nsid w:val="0E3A74C6"/>
    <w:multiLevelType w:val="hybridMultilevel"/>
    <w:tmpl w:val="52F4B138"/>
    <w:lvl w:ilvl="0" w:tplc="32DA3FD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E6A1E49"/>
    <w:multiLevelType w:val="hybridMultilevel"/>
    <w:tmpl w:val="374E2570"/>
    <w:lvl w:ilvl="0" w:tplc="17544988">
      <w:start w:val="1"/>
      <w:numFmt w:val="upperLetter"/>
      <w:lvlText w:val="%1."/>
      <w:lvlJc w:val="left"/>
      <w:pPr>
        <w:ind w:left="4419" w:hanging="495"/>
      </w:pPr>
      <w:rPr>
        <w:rFonts w:hint="default"/>
        <w:b/>
      </w:r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abstractNum w:abstractNumId="3" w15:restartNumberingAfterBreak="0">
    <w:nsid w:val="1EA150CA"/>
    <w:multiLevelType w:val="hybridMultilevel"/>
    <w:tmpl w:val="562C55B4"/>
    <w:lvl w:ilvl="0" w:tplc="0409000F">
      <w:start w:val="1"/>
      <w:numFmt w:val="decimal"/>
      <w:lvlText w:val="%1."/>
      <w:lvlJc w:val="left"/>
      <w:pPr>
        <w:ind w:left="2442" w:hanging="480"/>
      </w:p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abstractNum w:abstractNumId="4" w15:restartNumberingAfterBreak="0">
    <w:nsid w:val="69F06808"/>
    <w:multiLevelType w:val="hybridMultilevel"/>
    <w:tmpl w:val="67909050"/>
    <w:lvl w:ilvl="0" w:tplc="17544988">
      <w:start w:val="1"/>
      <w:numFmt w:val="upperLetter"/>
      <w:lvlText w:val="%1."/>
      <w:lvlJc w:val="left"/>
      <w:pPr>
        <w:ind w:left="2457" w:hanging="495"/>
      </w:pPr>
      <w:rPr>
        <w:rFonts w:hint="default"/>
        <w:b/>
      </w:rPr>
    </w:lvl>
    <w:lvl w:ilvl="1" w:tplc="04090019" w:tentative="1">
      <w:start w:val="1"/>
      <w:numFmt w:val="ideographTraditional"/>
      <w:lvlText w:val="%2、"/>
      <w:lvlJc w:val="left"/>
      <w:pPr>
        <w:ind w:left="2922" w:hanging="480"/>
      </w:pPr>
    </w:lvl>
    <w:lvl w:ilvl="2" w:tplc="0409001B" w:tentative="1">
      <w:start w:val="1"/>
      <w:numFmt w:val="lowerRoman"/>
      <w:lvlText w:val="%3."/>
      <w:lvlJc w:val="right"/>
      <w:pPr>
        <w:ind w:left="3402" w:hanging="480"/>
      </w:pPr>
    </w:lvl>
    <w:lvl w:ilvl="3" w:tplc="0409000F" w:tentative="1">
      <w:start w:val="1"/>
      <w:numFmt w:val="decimal"/>
      <w:lvlText w:val="%4."/>
      <w:lvlJc w:val="left"/>
      <w:pPr>
        <w:ind w:left="3882" w:hanging="480"/>
      </w:pPr>
    </w:lvl>
    <w:lvl w:ilvl="4" w:tplc="04090019" w:tentative="1">
      <w:start w:val="1"/>
      <w:numFmt w:val="ideographTraditional"/>
      <w:lvlText w:val="%5、"/>
      <w:lvlJc w:val="left"/>
      <w:pPr>
        <w:ind w:left="4362" w:hanging="480"/>
      </w:pPr>
    </w:lvl>
    <w:lvl w:ilvl="5" w:tplc="0409001B" w:tentative="1">
      <w:start w:val="1"/>
      <w:numFmt w:val="lowerRoman"/>
      <w:lvlText w:val="%6."/>
      <w:lvlJc w:val="right"/>
      <w:pPr>
        <w:ind w:left="4842" w:hanging="480"/>
      </w:pPr>
    </w:lvl>
    <w:lvl w:ilvl="6" w:tplc="0409000F" w:tentative="1">
      <w:start w:val="1"/>
      <w:numFmt w:val="decimal"/>
      <w:lvlText w:val="%7."/>
      <w:lvlJc w:val="left"/>
      <w:pPr>
        <w:ind w:left="5322" w:hanging="480"/>
      </w:pPr>
    </w:lvl>
    <w:lvl w:ilvl="7" w:tplc="04090019" w:tentative="1">
      <w:start w:val="1"/>
      <w:numFmt w:val="ideographTraditional"/>
      <w:lvlText w:val="%8、"/>
      <w:lvlJc w:val="left"/>
      <w:pPr>
        <w:ind w:left="5802" w:hanging="480"/>
      </w:pPr>
    </w:lvl>
    <w:lvl w:ilvl="8" w:tplc="0409001B" w:tentative="1">
      <w:start w:val="1"/>
      <w:numFmt w:val="lowerRoman"/>
      <w:lvlText w:val="%9."/>
      <w:lvlJc w:val="right"/>
      <w:pPr>
        <w:ind w:left="6282" w:hanging="4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4337">
      <o:colormru v:ext="edit" colors="#cce8dc,#cce6dc"/>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7ED"/>
    <w:rsid w:val="000018BD"/>
    <w:rsid w:val="00002161"/>
    <w:rsid w:val="00002842"/>
    <w:rsid w:val="00003C97"/>
    <w:rsid w:val="000052DF"/>
    <w:rsid w:val="000053A0"/>
    <w:rsid w:val="00011F4C"/>
    <w:rsid w:val="00012E4C"/>
    <w:rsid w:val="0001426B"/>
    <w:rsid w:val="000143BC"/>
    <w:rsid w:val="00015CA6"/>
    <w:rsid w:val="00016D1A"/>
    <w:rsid w:val="00017C60"/>
    <w:rsid w:val="000214EC"/>
    <w:rsid w:val="000232A4"/>
    <w:rsid w:val="0002408E"/>
    <w:rsid w:val="00024128"/>
    <w:rsid w:val="00025E43"/>
    <w:rsid w:val="00026003"/>
    <w:rsid w:val="000273C0"/>
    <w:rsid w:val="00027AF1"/>
    <w:rsid w:val="00031C48"/>
    <w:rsid w:val="000332E5"/>
    <w:rsid w:val="000348E4"/>
    <w:rsid w:val="00035EBF"/>
    <w:rsid w:val="0003681E"/>
    <w:rsid w:val="000371CE"/>
    <w:rsid w:val="00037463"/>
    <w:rsid w:val="000437BC"/>
    <w:rsid w:val="00043F00"/>
    <w:rsid w:val="000449C8"/>
    <w:rsid w:val="00044A78"/>
    <w:rsid w:val="00044BB7"/>
    <w:rsid w:val="00045B87"/>
    <w:rsid w:val="000460D7"/>
    <w:rsid w:val="00047F5A"/>
    <w:rsid w:val="00052E3E"/>
    <w:rsid w:val="000549CF"/>
    <w:rsid w:val="00054C69"/>
    <w:rsid w:val="00060752"/>
    <w:rsid w:val="00060757"/>
    <w:rsid w:val="00062194"/>
    <w:rsid w:val="00062C05"/>
    <w:rsid w:val="00062DC7"/>
    <w:rsid w:val="0006452B"/>
    <w:rsid w:val="0006550F"/>
    <w:rsid w:val="00065838"/>
    <w:rsid w:val="0007440A"/>
    <w:rsid w:val="00075904"/>
    <w:rsid w:val="00076DEC"/>
    <w:rsid w:val="00076EC4"/>
    <w:rsid w:val="00077D77"/>
    <w:rsid w:val="0008062A"/>
    <w:rsid w:val="00080B28"/>
    <w:rsid w:val="00081302"/>
    <w:rsid w:val="00081774"/>
    <w:rsid w:val="00081B6C"/>
    <w:rsid w:val="00082055"/>
    <w:rsid w:val="00083EAF"/>
    <w:rsid w:val="00086550"/>
    <w:rsid w:val="0008691F"/>
    <w:rsid w:val="0008777C"/>
    <w:rsid w:val="00090410"/>
    <w:rsid w:val="00092D37"/>
    <w:rsid w:val="00092F5D"/>
    <w:rsid w:val="00093909"/>
    <w:rsid w:val="0009596B"/>
    <w:rsid w:val="000975D6"/>
    <w:rsid w:val="000A468B"/>
    <w:rsid w:val="000A77A8"/>
    <w:rsid w:val="000B215D"/>
    <w:rsid w:val="000B2A2E"/>
    <w:rsid w:val="000B3CC6"/>
    <w:rsid w:val="000B4DB9"/>
    <w:rsid w:val="000B510B"/>
    <w:rsid w:val="000B6284"/>
    <w:rsid w:val="000B6D78"/>
    <w:rsid w:val="000B7C5F"/>
    <w:rsid w:val="000C1A79"/>
    <w:rsid w:val="000C272C"/>
    <w:rsid w:val="000C290F"/>
    <w:rsid w:val="000C4B4D"/>
    <w:rsid w:val="000C54BF"/>
    <w:rsid w:val="000C5F7F"/>
    <w:rsid w:val="000C6C94"/>
    <w:rsid w:val="000C75C8"/>
    <w:rsid w:val="000D0736"/>
    <w:rsid w:val="000D1376"/>
    <w:rsid w:val="000D2D3D"/>
    <w:rsid w:val="000D3081"/>
    <w:rsid w:val="000D62B2"/>
    <w:rsid w:val="000D6434"/>
    <w:rsid w:val="000D78FA"/>
    <w:rsid w:val="000D7A9C"/>
    <w:rsid w:val="000E1B70"/>
    <w:rsid w:val="000E2F8A"/>
    <w:rsid w:val="000E4E98"/>
    <w:rsid w:val="000E758F"/>
    <w:rsid w:val="000E7D18"/>
    <w:rsid w:val="000F3CC8"/>
    <w:rsid w:val="000F4571"/>
    <w:rsid w:val="000F4695"/>
    <w:rsid w:val="000F4766"/>
    <w:rsid w:val="00100070"/>
    <w:rsid w:val="0010045D"/>
    <w:rsid w:val="00100935"/>
    <w:rsid w:val="00100E64"/>
    <w:rsid w:val="00102F9B"/>
    <w:rsid w:val="001030ED"/>
    <w:rsid w:val="00106E36"/>
    <w:rsid w:val="0010797A"/>
    <w:rsid w:val="001102D3"/>
    <w:rsid w:val="0011144C"/>
    <w:rsid w:val="00112B3F"/>
    <w:rsid w:val="00114A9F"/>
    <w:rsid w:val="00117B29"/>
    <w:rsid w:val="00120741"/>
    <w:rsid w:val="00120F56"/>
    <w:rsid w:val="00121CB5"/>
    <w:rsid w:val="001228E9"/>
    <w:rsid w:val="0012310C"/>
    <w:rsid w:val="00125229"/>
    <w:rsid w:val="00125FB0"/>
    <w:rsid w:val="00126ADF"/>
    <w:rsid w:val="00130D00"/>
    <w:rsid w:val="00131AF7"/>
    <w:rsid w:val="00133F2C"/>
    <w:rsid w:val="00133FCC"/>
    <w:rsid w:val="00134E58"/>
    <w:rsid w:val="00136127"/>
    <w:rsid w:val="0013732B"/>
    <w:rsid w:val="0013770E"/>
    <w:rsid w:val="00137B97"/>
    <w:rsid w:val="00137C2A"/>
    <w:rsid w:val="0014296B"/>
    <w:rsid w:val="001434E0"/>
    <w:rsid w:val="001445C6"/>
    <w:rsid w:val="0014484C"/>
    <w:rsid w:val="00146559"/>
    <w:rsid w:val="00146999"/>
    <w:rsid w:val="00146D87"/>
    <w:rsid w:val="00147909"/>
    <w:rsid w:val="00151202"/>
    <w:rsid w:val="0015290C"/>
    <w:rsid w:val="0015318C"/>
    <w:rsid w:val="00153E6F"/>
    <w:rsid w:val="00153F1E"/>
    <w:rsid w:val="001540AB"/>
    <w:rsid w:val="001541C0"/>
    <w:rsid w:val="00155989"/>
    <w:rsid w:val="00157526"/>
    <w:rsid w:val="00157694"/>
    <w:rsid w:val="00160123"/>
    <w:rsid w:val="001602BC"/>
    <w:rsid w:val="00160C5E"/>
    <w:rsid w:val="00161133"/>
    <w:rsid w:val="00161467"/>
    <w:rsid w:val="0016171C"/>
    <w:rsid w:val="00161E73"/>
    <w:rsid w:val="001624D4"/>
    <w:rsid w:val="00162B1F"/>
    <w:rsid w:val="00162FFB"/>
    <w:rsid w:val="0016479F"/>
    <w:rsid w:val="00164ADA"/>
    <w:rsid w:val="001653EF"/>
    <w:rsid w:val="00166DAE"/>
    <w:rsid w:val="00167D69"/>
    <w:rsid w:val="00171112"/>
    <w:rsid w:val="00172A76"/>
    <w:rsid w:val="00172C74"/>
    <w:rsid w:val="00173C59"/>
    <w:rsid w:val="00173E9D"/>
    <w:rsid w:val="00174261"/>
    <w:rsid w:val="001746E5"/>
    <w:rsid w:val="00175780"/>
    <w:rsid w:val="00176776"/>
    <w:rsid w:val="0018005B"/>
    <w:rsid w:val="001808EA"/>
    <w:rsid w:val="0018236F"/>
    <w:rsid w:val="001834CD"/>
    <w:rsid w:val="00184BA8"/>
    <w:rsid w:val="001860AE"/>
    <w:rsid w:val="00186155"/>
    <w:rsid w:val="001863F6"/>
    <w:rsid w:val="001865FD"/>
    <w:rsid w:val="00187E53"/>
    <w:rsid w:val="00190C35"/>
    <w:rsid w:val="00192A12"/>
    <w:rsid w:val="00193915"/>
    <w:rsid w:val="00194C46"/>
    <w:rsid w:val="00194FA1"/>
    <w:rsid w:val="00195606"/>
    <w:rsid w:val="001A1CFC"/>
    <w:rsid w:val="001A20B4"/>
    <w:rsid w:val="001A2709"/>
    <w:rsid w:val="001A5F2A"/>
    <w:rsid w:val="001A6305"/>
    <w:rsid w:val="001A6563"/>
    <w:rsid w:val="001A7A3D"/>
    <w:rsid w:val="001B182C"/>
    <w:rsid w:val="001B50B6"/>
    <w:rsid w:val="001B5412"/>
    <w:rsid w:val="001B7829"/>
    <w:rsid w:val="001B7C22"/>
    <w:rsid w:val="001C0619"/>
    <w:rsid w:val="001C095D"/>
    <w:rsid w:val="001C25E6"/>
    <w:rsid w:val="001C2998"/>
    <w:rsid w:val="001C2F2D"/>
    <w:rsid w:val="001C39A6"/>
    <w:rsid w:val="001C461E"/>
    <w:rsid w:val="001C6738"/>
    <w:rsid w:val="001C6E5D"/>
    <w:rsid w:val="001C76DE"/>
    <w:rsid w:val="001C7EA2"/>
    <w:rsid w:val="001D1532"/>
    <w:rsid w:val="001D1CE0"/>
    <w:rsid w:val="001D3562"/>
    <w:rsid w:val="001D40EB"/>
    <w:rsid w:val="001D43FF"/>
    <w:rsid w:val="001D4EA3"/>
    <w:rsid w:val="001D5F6E"/>
    <w:rsid w:val="001E0470"/>
    <w:rsid w:val="001E0B99"/>
    <w:rsid w:val="001E1105"/>
    <w:rsid w:val="001E25B6"/>
    <w:rsid w:val="001E2E5C"/>
    <w:rsid w:val="001E3039"/>
    <w:rsid w:val="001E3C8C"/>
    <w:rsid w:val="001E4575"/>
    <w:rsid w:val="001E6B89"/>
    <w:rsid w:val="001F0B06"/>
    <w:rsid w:val="001F1313"/>
    <w:rsid w:val="001F1C2C"/>
    <w:rsid w:val="001F208F"/>
    <w:rsid w:val="001F39DF"/>
    <w:rsid w:val="001F4D3E"/>
    <w:rsid w:val="001F5BC3"/>
    <w:rsid w:val="001F6532"/>
    <w:rsid w:val="00204EF6"/>
    <w:rsid w:val="00206D50"/>
    <w:rsid w:val="00206DBD"/>
    <w:rsid w:val="00207824"/>
    <w:rsid w:val="00210B76"/>
    <w:rsid w:val="00211822"/>
    <w:rsid w:val="00212B6A"/>
    <w:rsid w:val="00212BBF"/>
    <w:rsid w:val="00212E63"/>
    <w:rsid w:val="00213FD6"/>
    <w:rsid w:val="00214AEC"/>
    <w:rsid w:val="002155A3"/>
    <w:rsid w:val="00216A0F"/>
    <w:rsid w:val="00217F19"/>
    <w:rsid w:val="00220FDA"/>
    <w:rsid w:val="002218FC"/>
    <w:rsid w:val="00221E51"/>
    <w:rsid w:val="0022258C"/>
    <w:rsid w:val="00222BA1"/>
    <w:rsid w:val="0022358D"/>
    <w:rsid w:val="002260E2"/>
    <w:rsid w:val="00230A7F"/>
    <w:rsid w:val="00233269"/>
    <w:rsid w:val="00234B06"/>
    <w:rsid w:val="00235128"/>
    <w:rsid w:val="002357ED"/>
    <w:rsid w:val="00243760"/>
    <w:rsid w:val="002442F8"/>
    <w:rsid w:val="00246FB3"/>
    <w:rsid w:val="0025120E"/>
    <w:rsid w:val="00251C82"/>
    <w:rsid w:val="0025217D"/>
    <w:rsid w:val="002533C2"/>
    <w:rsid w:val="002560D9"/>
    <w:rsid w:val="0025783C"/>
    <w:rsid w:val="00257F5F"/>
    <w:rsid w:val="002635FE"/>
    <w:rsid w:val="002650D0"/>
    <w:rsid w:val="00265EAB"/>
    <w:rsid w:val="0026612F"/>
    <w:rsid w:val="002671DE"/>
    <w:rsid w:val="002707F9"/>
    <w:rsid w:val="00272536"/>
    <w:rsid w:val="00272BB1"/>
    <w:rsid w:val="00274232"/>
    <w:rsid w:val="00275E9A"/>
    <w:rsid w:val="002768D6"/>
    <w:rsid w:val="00276FEE"/>
    <w:rsid w:val="0027756C"/>
    <w:rsid w:val="002809E7"/>
    <w:rsid w:val="00281C28"/>
    <w:rsid w:val="00281E6D"/>
    <w:rsid w:val="00285104"/>
    <w:rsid w:val="002858BA"/>
    <w:rsid w:val="00291390"/>
    <w:rsid w:val="00291C07"/>
    <w:rsid w:val="00291CBA"/>
    <w:rsid w:val="00292777"/>
    <w:rsid w:val="00292AA5"/>
    <w:rsid w:val="00294D64"/>
    <w:rsid w:val="00296C1D"/>
    <w:rsid w:val="002A04BA"/>
    <w:rsid w:val="002A10D2"/>
    <w:rsid w:val="002A5D2A"/>
    <w:rsid w:val="002A6C71"/>
    <w:rsid w:val="002A6CF7"/>
    <w:rsid w:val="002A7430"/>
    <w:rsid w:val="002A75C3"/>
    <w:rsid w:val="002A7E53"/>
    <w:rsid w:val="002B0759"/>
    <w:rsid w:val="002B1413"/>
    <w:rsid w:val="002B2EEC"/>
    <w:rsid w:val="002B506B"/>
    <w:rsid w:val="002B5207"/>
    <w:rsid w:val="002B5C60"/>
    <w:rsid w:val="002B7051"/>
    <w:rsid w:val="002C02DA"/>
    <w:rsid w:val="002C111C"/>
    <w:rsid w:val="002C1309"/>
    <w:rsid w:val="002C1F24"/>
    <w:rsid w:val="002C364B"/>
    <w:rsid w:val="002C552E"/>
    <w:rsid w:val="002C5ACC"/>
    <w:rsid w:val="002D0E57"/>
    <w:rsid w:val="002D1628"/>
    <w:rsid w:val="002D29EF"/>
    <w:rsid w:val="002D2E9D"/>
    <w:rsid w:val="002D3D07"/>
    <w:rsid w:val="002D40BD"/>
    <w:rsid w:val="002D5AEA"/>
    <w:rsid w:val="002D5BF9"/>
    <w:rsid w:val="002D5E38"/>
    <w:rsid w:val="002D602A"/>
    <w:rsid w:val="002D65D4"/>
    <w:rsid w:val="002E0BBC"/>
    <w:rsid w:val="002E1379"/>
    <w:rsid w:val="002E2496"/>
    <w:rsid w:val="002E5A90"/>
    <w:rsid w:val="002E6D39"/>
    <w:rsid w:val="002E6F97"/>
    <w:rsid w:val="002E7516"/>
    <w:rsid w:val="002E7FC1"/>
    <w:rsid w:val="002F024C"/>
    <w:rsid w:val="002F0AF0"/>
    <w:rsid w:val="002F0C67"/>
    <w:rsid w:val="002F1FDB"/>
    <w:rsid w:val="002F2B80"/>
    <w:rsid w:val="002F33E2"/>
    <w:rsid w:val="002F55FF"/>
    <w:rsid w:val="002F5ABA"/>
    <w:rsid w:val="002F6C42"/>
    <w:rsid w:val="00302F7C"/>
    <w:rsid w:val="0030314B"/>
    <w:rsid w:val="00303B92"/>
    <w:rsid w:val="003047E3"/>
    <w:rsid w:val="003065DA"/>
    <w:rsid w:val="00310460"/>
    <w:rsid w:val="00310DD5"/>
    <w:rsid w:val="00311D30"/>
    <w:rsid w:val="00313764"/>
    <w:rsid w:val="00315076"/>
    <w:rsid w:val="003153A2"/>
    <w:rsid w:val="0031585F"/>
    <w:rsid w:val="00315F90"/>
    <w:rsid w:val="003165F4"/>
    <w:rsid w:val="00320113"/>
    <w:rsid w:val="00320FB4"/>
    <w:rsid w:val="00322184"/>
    <w:rsid w:val="00322B56"/>
    <w:rsid w:val="00323265"/>
    <w:rsid w:val="00323F27"/>
    <w:rsid w:val="003246AE"/>
    <w:rsid w:val="00325143"/>
    <w:rsid w:val="00325A7A"/>
    <w:rsid w:val="0032724F"/>
    <w:rsid w:val="00330408"/>
    <w:rsid w:val="00331615"/>
    <w:rsid w:val="00333B1B"/>
    <w:rsid w:val="003345D4"/>
    <w:rsid w:val="003348A8"/>
    <w:rsid w:val="00335057"/>
    <w:rsid w:val="003351CE"/>
    <w:rsid w:val="00337439"/>
    <w:rsid w:val="0034030C"/>
    <w:rsid w:val="00340EA7"/>
    <w:rsid w:val="0034156B"/>
    <w:rsid w:val="003427BA"/>
    <w:rsid w:val="003432F1"/>
    <w:rsid w:val="0035024D"/>
    <w:rsid w:val="0035063E"/>
    <w:rsid w:val="00350AE1"/>
    <w:rsid w:val="00351BA9"/>
    <w:rsid w:val="00351F73"/>
    <w:rsid w:val="00351F90"/>
    <w:rsid w:val="00353195"/>
    <w:rsid w:val="0035417A"/>
    <w:rsid w:val="00356F02"/>
    <w:rsid w:val="003576FA"/>
    <w:rsid w:val="003577E0"/>
    <w:rsid w:val="00362351"/>
    <w:rsid w:val="0036261C"/>
    <w:rsid w:val="00362C05"/>
    <w:rsid w:val="00362E8A"/>
    <w:rsid w:val="00362F0F"/>
    <w:rsid w:val="00363603"/>
    <w:rsid w:val="003636A9"/>
    <w:rsid w:val="0036385B"/>
    <w:rsid w:val="00364C92"/>
    <w:rsid w:val="003652FD"/>
    <w:rsid w:val="00365CD2"/>
    <w:rsid w:val="00365D2F"/>
    <w:rsid w:val="0036623D"/>
    <w:rsid w:val="00366A25"/>
    <w:rsid w:val="00367900"/>
    <w:rsid w:val="00367AE0"/>
    <w:rsid w:val="00371F65"/>
    <w:rsid w:val="00374B71"/>
    <w:rsid w:val="0037611B"/>
    <w:rsid w:val="00376AEF"/>
    <w:rsid w:val="00377E93"/>
    <w:rsid w:val="00380EDE"/>
    <w:rsid w:val="003819A6"/>
    <w:rsid w:val="00383C98"/>
    <w:rsid w:val="003843AF"/>
    <w:rsid w:val="0038455D"/>
    <w:rsid w:val="00385502"/>
    <w:rsid w:val="0038590E"/>
    <w:rsid w:val="00390CA6"/>
    <w:rsid w:val="00392DC9"/>
    <w:rsid w:val="00392EE7"/>
    <w:rsid w:val="003937D2"/>
    <w:rsid w:val="00394678"/>
    <w:rsid w:val="003946E4"/>
    <w:rsid w:val="00394ED2"/>
    <w:rsid w:val="00396AE2"/>
    <w:rsid w:val="00396B7B"/>
    <w:rsid w:val="003A0376"/>
    <w:rsid w:val="003A0BA3"/>
    <w:rsid w:val="003A20FA"/>
    <w:rsid w:val="003A39BC"/>
    <w:rsid w:val="003A3D26"/>
    <w:rsid w:val="003A7D9E"/>
    <w:rsid w:val="003B1798"/>
    <w:rsid w:val="003B2307"/>
    <w:rsid w:val="003B278B"/>
    <w:rsid w:val="003B408C"/>
    <w:rsid w:val="003B4945"/>
    <w:rsid w:val="003B4AA8"/>
    <w:rsid w:val="003B52CD"/>
    <w:rsid w:val="003B53FD"/>
    <w:rsid w:val="003B6C35"/>
    <w:rsid w:val="003C00EF"/>
    <w:rsid w:val="003C08CF"/>
    <w:rsid w:val="003C1866"/>
    <w:rsid w:val="003C1E25"/>
    <w:rsid w:val="003C23BB"/>
    <w:rsid w:val="003C3003"/>
    <w:rsid w:val="003C37CA"/>
    <w:rsid w:val="003C3A52"/>
    <w:rsid w:val="003C4208"/>
    <w:rsid w:val="003C767F"/>
    <w:rsid w:val="003C7B4B"/>
    <w:rsid w:val="003D1338"/>
    <w:rsid w:val="003D13B0"/>
    <w:rsid w:val="003D447E"/>
    <w:rsid w:val="003D5D62"/>
    <w:rsid w:val="003D6208"/>
    <w:rsid w:val="003D642A"/>
    <w:rsid w:val="003E0879"/>
    <w:rsid w:val="003E0EE4"/>
    <w:rsid w:val="003E2CE8"/>
    <w:rsid w:val="003E303B"/>
    <w:rsid w:val="003E59B0"/>
    <w:rsid w:val="003F17F0"/>
    <w:rsid w:val="003F5039"/>
    <w:rsid w:val="003F60D6"/>
    <w:rsid w:val="003F65A7"/>
    <w:rsid w:val="003F6A43"/>
    <w:rsid w:val="003F777A"/>
    <w:rsid w:val="004002D1"/>
    <w:rsid w:val="00401006"/>
    <w:rsid w:val="004011B1"/>
    <w:rsid w:val="00401E8B"/>
    <w:rsid w:val="00401E8C"/>
    <w:rsid w:val="0040228A"/>
    <w:rsid w:val="004026F4"/>
    <w:rsid w:val="0040364F"/>
    <w:rsid w:val="00403C58"/>
    <w:rsid w:val="00404217"/>
    <w:rsid w:val="004042DA"/>
    <w:rsid w:val="004045E6"/>
    <w:rsid w:val="004061C8"/>
    <w:rsid w:val="004068F5"/>
    <w:rsid w:val="00413B7C"/>
    <w:rsid w:val="00415FC4"/>
    <w:rsid w:val="00416173"/>
    <w:rsid w:val="00417003"/>
    <w:rsid w:val="0041794C"/>
    <w:rsid w:val="0042147C"/>
    <w:rsid w:val="00422F93"/>
    <w:rsid w:val="004242EF"/>
    <w:rsid w:val="00426F57"/>
    <w:rsid w:val="00427F5A"/>
    <w:rsid w:val="0043060C"/>
    <w:rsid w:val="00430E87"/>
    <w:rsid w:val="004318C3"/>
    <w:rsid w:val="00431E44"/>
    <w:rsid w:val="00432248"/>
    <w:rsid w:val="00432644"/>
    <w:rsid w:val="00432891"/>
    <w:rsid w:val="004334DB"/>
    <w:rsid w:val="00433F43"/>
    <w:rsid w:val="004349C8"/>
    <w:rsid w:val="00434D8C"/>
    <w:rsid w:val="004360CA"/>
    <w:rsid w:val="00440819"/>
    <w:rsid w:val="00441A8C"/>
    <w:rsid w:val="00441BEE"/>
    <w:rsid w:val="00442B48"/>
    <w:rsid w:val="004435FC"/>
    <w:rsid w:val="00444900"/>
    <w:rsid w:val="00445764"/>
    <w:rsid w:val="00445D37"/>
    <w:rsid w:val="00447390"/>
    <w:rsid w:val="004524DF"/>
    <w:rsid w:val="00454453"/>
    <w:rsid w:val="00455E26"/>
    <w:rsid w:val="004566E6"/>
    <w:rsid w:val="0046153B"/>
    <w:rsid w:val="0046236F"/>
    <w:rsid w:val="00462975"/>
    <w:rsid w:val="00462B5C"/>
    <w:rsid w:val="00465C99"/>
    <w:rsid w:val="00466C53"/>
    <w:rsid w:val="0046771B"/>
    <w:rsid w:val="00467D17"/>
    <w:rsid w:val="004714C4"/>
    <w:rsid w:val="00473993"/>
    <w:rsid w:val="0047517F"/>
    <w:rsid w:val="004755D3"/>
    <w:rsid w:val="00475F23"/>
    <w:rsid w:val="0047697A"/>
    <w:rsid w:val="0048073A"/>
    <w:rsid w:val="0048096E"/>
    <w:rsid w:val="00480EC6"/>
    <w:rsid w:val="00482C08"/>
    <w:rsid w:val="004831A2"/>
    <w:rsid w:val="00483870"/>
    <w:rsid w:val="00483F57"/>
    <w:rsid w:val="00483F75"/>
    <w:rsid w:val="00487193"/>
    <w:rsid w:val="00487430"/>
    <w:rsid w:val="0048794C"/>
    <w:rsid w:val="00491118"/>
    <w:rsid w:val="00491888"/>
    <w:rsid w:val="00493957"/>
    <w:rsid w:val="00493C11"/>
    <w:rsid w:val="00493CF8"/>
    <w:rsid w:val="004946BB"/>
    <w:rsid w:val="00495E65"/>
    <w:rsid w:val="00495ED3"/>
    <w:rsid w:val="004A1195"/>
    <w:rsid w:val="004A1860"/>
    <w:rsid w:val="004A2968"/>
    <w:rsid w:val="004A2A9C"/>
    <w:rsid w:val="004A2EC0"/>
    <w:rsid w:val="004A311F"/>
    <w:rsid w:val="004A31AD"/>
    <w:rsid w:val="004A3903"/>
    <w:rsid w:val="004A41F8"/>
    <w:rsid w:val="004A59E4"/>
    <w:rsid w:val="004A7A2D"/>
    <w:rsid w:val="004B0205"/>
    <w:rsid w:val="004B0A91"/>
    <w:rsid w:val="004B1312"/>
    <w:rsid w:val="004B1B7A"/>
    <w:rsid w:val="004B4CD1"/>
    <w:rsid w:val="004B6724"/>
    <w:rsid w:val="004C0186"/>
    <w:rsid w:val="004C1193"/>
    <w:rsid w:val="004C18AB"/>
    <w:rsid w:val="004C36BD"/>
    <w:rsid w:val="004C4B60"/>
    <w:rsid w:val="004C558E"/>
    <w:rsid w:val="004C6AE3"/>
    <w:rsid w:val="004C71FE"/>
    <w:rsid w:val="004C7641"/>
    <w:rsid w:val="004D0986"/>
    <w:rsid w:val="004D199A"/>
    <w:rsid w:val="004D24D5"/>
    <w:rsid w:val="004D53FD"/>
    <w:rsid w:val="004D5A97"/>
    <w:rsid w:val="004D7443"/>
    <w:rsid w:val="004E005F"/>
    <w:rsid w:val="004E09A2"/>
    <w:rsid w:val="004E100B"/>
    <w:rsid w:val="004E13EC"/>
    <w:rsid w:val="004E1E49"/>
    <w:rsid w:val="004E2C50"/>
    <w:rsid w:val="004E4D58"/>
    <w:rsid w:val="004E52D8"/>
    <w:rsid w:val="004E6193"/>
    <w:rsid w:val="004E6F3B"/>
    <w:rsid w:val="004F024E"/>
    <w:rsid w:val="004F23D1"/>
    <w:rsid w:val="004F288E"/>
    <w:rsid w:val="004F47CD"/>
    <w:rsid w:val="004F4896"/>
    <w:rsid w:val="004F498E"/>
    <w:rsid w:val="004F51A6"/>
    <w:rsid w:val="004F5899"/>
    <w:rsid w:val="004F6453"/>
    <w:rsid w:val="004F7D8D"/>
    <w:rsid w:val="005007B5"/>
    <w:rsid w:val="00502BD2"/>
    <w:rsid w:val="0050615E"/>
    <w:rsid w:val="00506201"/>
    <w:rsid w:val="0050737A"/>
    <w:rsid w:val="00507EB8"/>
    <w:rsid w:val="00510163"/>
    <w:rsid w:val="005104FA"/>
    <w:rsid w:val="005106E2"/>
    <w:rsid w:val="0051091B"/>
    <w:rsid w:val="00510CC7"/>
    <w:rsid w:val="005116E1"/>
    <w:rsid w:val="00511C1C"/>
    <w:rsid w:val="00513170"/>
    <w:rsid w:val="00513371"/>
    <w:rsid w:val="005134EA"/>
    <w:rsid w:val="00513C95"/>
    <w:rsid w:val="0051485E"/>
    <w:rsid w:val="0051589E"/>
    <w:rsid w:val="00517CC3"/>
    <w:rsid w:val="00520701"/>
    <w:rsid w:val="0052158A"/>
    <w:rsid w:val="00523AD3"/>
    <w:rsid w:val="005249F8"/>
    <w:rsid w:val="00525697"/>
    <w:rsid w:val="00526376"/>
    <w:rsid w:val="00526833"/>
    <w:rsid w:val="00527CB1"/>
    <w:rsid w:val="00527CE2"/>
    <w:rsid w:val="00530912"/>
    <w:rsid w:val="0053148A"/>
    <w:rsid w:val="00533228"/>
    <w:rsid w:val="00535133"/>
    <w:rsid w:val="00536494"/>
    <w:rsid w:val="00536E8A"/>
    <w:rsid w:val="00536E8B"/>
    <w:rsid w:val="00537819"/>
    <w:rsid w:val="005400C7"/>
    <w:rsid w:val="00540301"/>
    <w:rsid w:val="0054108A"/>
    <w:rsid w:val="00541329"/>
    <w:rsid w:val="0054172D"/>
    <w:rsid w:val="00543451"/>
    <w:rsid w:val="0054628C"/>
    <w:rsid w:val="00547522"/>
    <w:rsid w:val="0055091E"/>
    <w:rsid w:val="00551252"/>
    <w:rsid w:val="00553A7E"/>
    <w:rsid w:val="00556D7F"/>
    <w:rsid w:val="005572A2"/>
    <w:rsid w:val="005572DB"/>
    <w:rsid w:val="00560B48"/>
    <w:rsid w:val="00561692"/>
    <w:rsid w:val="0056477C"/>
    <w:rsid w:val="00566592"/>
    <w:rsid w:val="00570C31"/>
    <w:rsid w:val="00573580"/>
    <w:rsid w:val="00573886"/>
    <w:rsid w:val="005752F3"/>
    <w:rsid w:val="005756BE"/>
    <w:rsid w:val="0057669B"/>
    <w:rsid w:val="005779D3"/>
    <w:rsid w:val="005779FA"/>
    <w:rsid w:val="005804E0"/>
    <w:rsid w:val="005811B5"/>
    <w:rsid w:val="00583040"/>
    <w:rsid w:val="00583BBF"/>
    <w:rsid w:val="0058485D"/>
    <w:rsid w:val="00585777"/>
    <w:rsid w:val="00585C86"/>
    <w:rsid w:val="005878E0"/>
    <w:rsid w:val="00587B46"/>
    <w:rsid w:val="00590732"/>
    <w:rsid w:val="005913C3"/>
    <w:rsid w:val="00593319"/>
    <w:rsid w:val="005948A0"/>
    <w:rsid w:val="005965B9"/>
    <w:rsid w:val="0059725A"/>
    <w:rsid w:val="00597ED2"/>
    <w:rsid w:val="005A0ECF"/>
    <w:rsid w:val="005A1ACE"/>
    <w:rsid w:val="005A2C73"/>
    <w:rsid w:val="005A4FB5"/>
    <w:rsid w:val="005A67D4"/>
    <w:rsid w:val="005A7B2B"/>
    <w:rsid w:val="005B1FF5"/>
    <w:rsid w:val="005B2CFB"/>
    <w:rsid w:val="005B7AB9"/>
    <w:rsid w:val="005C0031"/>
    <w:rsid w:val="005C0376"/>
    <w:rsid w:val="005C2E7C"/>
    <w:rsid w:val="005C554A"/>
    <w:rsid w:val="005D000D"/>
    <w:rsid w:val="005D221D"/>
    <w:rsid w:val="005D2980"/>
    <w:rsid w:val="005D3958"/>
    <w:rsid w:val="005D517F"/>
    <w:rsid w:val="005D6D4F"/>
    <w:rsid w:val="005D720E"/>
    <w:rsid w:val="005E0D71"/>
    <w:rsid w:val="005E1403"/>
    <w:rsid w:val="005E18D2"/>
    <w:rsid w:val="005E2AAC"/>
    <w:rsid w:val="005E3894"/>
    <w:rsid w:val="005E48CA"/>
    <w:rsid w:val="005E4CBF"/>
    <w:rsid w:val="005E4E9C"/>
    <w:rsid w:val="005E516B"/>
    <w:rsid w:val="005E5847"/>
    <w:rsid w:val="005E6BBB"/>
    <w:rsid w:val="005E6DFC"/>
    <w:rsid w:val="005E6E9F"/>
    <w:rsid w:val="005F23B1"/>
    <w:rsid w:val="005F43C9"/>
    <w:rsid w:val="005F47F9"/>
    <w:rsid w:val="005F64E1"/>
    <w:rsid w:val="005F7ABF"/>
    <w:rsid w:val="00601AB8"/>
    <w:rsid w:val="00602505"/>
    <w:rsid w:val="00603685"/>
    <w:rsid w:val="00604984"/>
    <w:rsid w:val="00605D7E"/>
    <w:rsid w:val="00607623"/>
    <w:rsid w:val="00610E08"/>
    <w:rsid w:val="00612102"/>
    <w:rsid w:val="0061316F"/>
    <w:rsid w:val="006132C4"/>
    <w:rsid w:val="0061453C"/>
    <w:rsid w:val="00614821"/>
    <w:rsid w:val="00614D11"/>
    <w:rsid w:val="00615263"/>
    <w:rsid w:val="0062143F"/>
    <w:rsid w:val="00622F00"/>
    <w:rsid w:val="006232C8"/>
    <w:rsid w:val="006241DE"/>
    <w:rsid w:val="006246DF"/>
    <w:rsid w:val="00625ED1"/>
    <w:rsid w:val="00626E7A"/>
    <w:rsid w:val="00627194"/>
    <w:rsid w:val="00627DC9"/>
    <w:rsid w:val="00630821"/>
    <w:rsid w:val="00630C79"/>
    <w:rsid w:val="00630D6B"/>
    <w:rsid w:val="00630F6B"/>
    <w:rsid w:val="00631953"/>
    <w:rsid w:val="006364D4"/>
    <w:rsid w:val="0064451E"/>
    <w:rsid w:val="00645255"/>
    <w:rsid w:val="00646593"/>
    <w:rsid w:val="006468FD"/>
    <w:rsid w:val="0064798A"/>
    <w:rsid w:val="00647FDA"/>
    <w:rsid w:val="00651CCA"/>
    <w:rsid w:val="00653FB2"/>
    <w:rsid w:val="006556BA"/>
    <w:rsid w:val="00656371"/>
    <w:rsid w:val="006633D7"/>
    <w:rsid w:val="006638FC"/>
    <w:rsid w:val="0066607B"/>
    <w:rsid w:val="0066782C"/>
    <w:rsid w:val="00671F50"/>
    <w:rsid w:val="006727CD"/>
    <w:rsid w:val="00672C40"/>
    <w:rsid w:val="0067440B"/>
    <w:rsid w:val="00676D40"/>
    <w:rsid w:val="0067737C"/>
    <w:rsid w:val="00680676"/>
    <w:rsid w:val="006818E0"/>
    <w:rsid w:val="00684303"/>
    <w:rsid w:val="00684E24"/>
    <w:rsid w:val="006903E7"/>
    <w:rsid w:val="00692EC7"/>
    <w:rsid w:val="00692FBF"/>
    <w:rsid w:val="00694B7F"/>
    <w:rsid w:val="00694BA8"/>
    <w:rsid w:val="00695AB0"/>
    <w:rsid w:val="006A0431"/>
    <w:rsid w:val="006A1F8B"/>
    <w:rsid w:val="006A3574"/>
    <w:rsid w:val="006A4A2C"/>
    <w:rsid w:val="006A67B5"/>
    <w:rsid w:val="006A6DAF"/>
    <w:rsid w:val="006A7AA1"/>
    <w:rsid w:val="006B2272"/>
    <w:rsid w:val="006B2629"/>
    <w:rsid w:val="006B4296"/>
    <w:rsid w:val="006B4F84"/>
    <w:rsid w:val="006B5D54"/>
    <w:rsid w:val="006B6482"/>
    <w:rsid w:val="006B6D3B"/>
    <w:rsid w:val="006B6DD2"/>
    <w:rsid w:val="006B7EA9"/>
    <w:rsid w:val="006C20CA"/>
    <w:rsid w:val="006C2215"/>
    <w:rsid w:val="006C2407"/>
    <w:rsid w:val="006C2905"/>
    <w:rsid w:val="006C4119"/>
    <w:rsid w:val="006C60EB"/>
    <w:rsid w:val="006D0299"/>
    <w:rsid w:val="006D1025"/>
    <w:rsid w:val="006D106D"/>
    <w:rsid w:val="006D3978"/>
    <w:rsid w:val="006D5273"/>
    <w:rsid w:val="006D7F2E"/>
    <w:rsid w:val="006E23B7"/>
    <w:rsid w:val="006E25EA"/>
    <w:rsid w:val="006E2F47"/>
    <w:rsid w:val="006E4088"/>
    <w:rsid w:val="006E52B7"/>
    <w:rsid w:val="006E68E3"/>
    <w:rsid w:val="006E71AE"/>
    <w:rsid w:val="006F51FE"/>
    <w:rsid w:val="006F64BD"/>
    <w:rsid w:val="006F6906"/>
    <w:rsid w:val="00700C72"/>
    <w:rsid w:val="00701396"/>
    <w:rsid w:val="00702043"/>
    <w:rsid w:val="00702112"/>
    <w:rsid w:val="00704071"/>
    <w:rsid w:val="007044BA"/>
    <w:rsid w:val="00705084"/>
    <w:rsid w:val="00705582"/>
    <w:rsid w:val="00706295"/>
    <w:rsid w:val="00707C3F"/>
    <w:rsid w:val="0071442D"/>
    <w:rsid w:val="00714B10"/>
    <w:rsid w:val="00717C5B"/>
    <w:rsid w:val="00720729"/>
    <w:rsid w:val="0072296C"/>
    <w:rsid w:val="00722AB8"/>
    <w:rsid w:val="00722EBA"/>
    <w:rsid w:val="007247A4"/>
    <w:rsid w:val="007247DB"/>
    <w:rsid w:val="007253EF"/>
    <w:rsid w:val="00725AA0"/>
    <w:rsid w:val="007265E9"/>
    <w:rsid w:val="007266ED"/>
    <w:rsid w:val="00730BCD"/>
    <w:rsid w:val="00730ECC"/>
    <w:rsid w:val="007331D6"/>
    <w:rsid w:val="00734953"/>
    <w:rsid w:val="00734A20"/>
    <w:rsid w:val="00737280"/>
    <w:rsid w:val="007405FE"/>
    <w:rsid w:val="00740EC4"/>
    <w:rsid w:val="007438D0"/>
    <w:rsid w:val="00744456"/>
    <w:rsid w:val="00744718"/>
    <w:rsid w:val="00744BF7"/>
    <w:rsid w:val="00744EB3"/>
    <w:rsid w:val="0074718B"/>
    <w:rsid w:val="00747F55"/>
    <w:rsid w:val="00747FA4"/>
    <w:rsid w:val="00747FE7"/>
    <w:rsid w:val="00751CF1"/>
    <w:rsid w:val="0075245C"/>
    <w:rsid w:val="007525AA"/>
    <w:rsid w:val="0075340D"/>
    <w:rsid w:val="00755249"/>
    <w:rsid w:val="00757363"/>
    <w:rsid w:val="007607F3"/>
    <w:rsid w:val="00760E8B"/>
    <w:rsid w:val="00761EFF"/>
    <w:rsid w:val="007620D4"/>
    <w:rsid w:val="007627E5"/>
    <w:rsid w:val="00762FE8"/>
    <w:rsid w:val="007640DC"/>
    <w:rsid w:val="00764409"/>
    <w:rsid w:val="0076471B"/>
    <w:rsid w:val="007647EB"/>
    <w:rsid w:val="00765A88"/>
    <w:rsid w:val="00766DAC"/>
    <w:rsid w:val="0076780C"/>
    <w:rsid w:val="00771519"/>
    <w:rsid w:val="0077290C"/>
    <w:rsid w:val="00772CE2"/>
    <w:rsid w:val="00773E30"/>
    <w:rsid w:val="00775144"/>
    <w:rsid w:val="007752AE"/>
    <w:rsid w:val="0077674E"/>
    <w:rsid w:val="00776801"/>
    <w:rsid w:val="00776CC3"/>
    <w:rsid w:val="00777DEB"/>
    <w:rsid w:val="0078274F"/>
    <w:rsid w:val="00783CD6"/>
    <w:rsid w:val="007857E3"/>
    <w:rsid w:val="00787AD7"/>
    <w:rsid w:val="00790FBD"/>
    <w:rsid w:val="00791CB5"/>
    <w:rsid w:val="007923B6"/>
    <w:rsid w:val="00792770"/>
    <w:rsid w:val="0079324D"/>
    <w:rsid w:val="0079333C"/>
    <w:rsid w:val="00794E12"/>
    <w:rsid w:val="00796519"/>
    <w:rsid w:val="00797253"/>
    <w:rsid w:val="007974B6"/>
    <w:rsid w:val="007A0B3E"/>
    <w:rsid w:val="007A1399"/>
    <w:rsid w:val="007A2580"/>
    <w:rsid w:val="007A2B97"/>
    <w:rsid w:val="007A2EE8"/>
    <w:rsid w:val="007A3DA0"/>
    <w:rsid w:val="007A493C"/>
    <w:rsid w:val="007B14E9"/>
    <w:rsid w:val="007B558A"/>
    <w:rsid w:val="007B70CF"/>
    <w:rsid w:val="007B71D0"/>
    <w:rsid w:val="007C069C"/>
    <w:rsid w:val="007C126E"/>
    <w:rsid w:val="007C2C66"/>
    <w:rsid w:val="007C4A05"/>
    <w:rsid w:val="007C4EC6"/>
    <w:rsid w:val="007C5533"/>
    <w:rsid w:val="007C5860"/>
    <w:rsid w:val="007C6B9A"/>
    <w:rsid w:val="007C75B6"/>
    <w:rsid w:val="007C793E"/>
    <w:rsid w:val="007D071F"/>
    <w:rsid w:val="007D2179"/>
    <w:rsid w:val="007D26AE"/>
    <w:rsid w:val="007D2EAA"/>
    <w:rsid w:val="007D3009"/>
    <w:rsid w:val="007D36BB"/>
    <w:rsid w:val="007D3B82"/>
    <w:rsid w:val="007D4776"/>
    <w:rsid w:val="007D5EFA"/>
    <w:rsid w:val="007D6090"/>
    <w:rsid w:val="007E0B48"/>
    <w:rsid w:val="007E18A5"/>
    <w:rsid w:val="007E2568"/>
    <w:rsid w:val="007E2BC7"/>
    <w:rsid w:val="007E6449"/>
    <w:rsid w:val="007F1519"/>
    <w:rsid w:val="007F1F15"/>
    <w:rsid w:val="007F3B31"/>
    <w:rsid w:val="007F472F"/>
    <w:rsid w:val="007F48A9"/>
    <w:rsid w:val="007F5B7C"/>
    <w:rsid w:val="007F5E07"/>
    <w:rsid w:val="007F7DFF"/>
    <w:rsid w:val="00800451"/>
    <w:rsid w:val="00800FDD"/>
    <w:rsid w:val="00802B47"/>
    <w:rsid w:val="008038CA"/>
    <w:rsid w:val="00803E87"/>
    <w:rsid w:val="00805521"/>
    <w:rsid w:val="00805BD1"/>
    <w:rsid w:val="00805C28"/>
    <w:rsid w:val="008100F5"/>
    <w:rsid w:val="0081072D"/>
    <w:rsid w:val="0081392B"/>
    <w:rsid w:val="008145E8"/>
    <w:rsid w:val="008155A7"/>
    <w:rsid w:val="008169FB"/>
    <w:rsid w:val="00825155"/>
    <w:rsid w:val="00826157"/>
    <w:rsid w:val="00826C6D"/>
    <w:rsid w:val="0083054F"/>
    <w:rsid w:val="00830761"/>
    <w:rsid w:val="0083105F"/>
    <w:rsid w:val="008329B5"/>
    <w:rsid w:val="00834AAD"/>
    <w:rsid w:val="00837334"/>
    <w:rsid w:val="00837980"/>
    <w:rsid w:val="00840A5F"/>
    <w:rsid w:val="00840F5C"/>
    <w:rsid w:val="00841352"/>
    <w:rsid w:val="00842395"/>
    <w:rsid w:val="00842EE5"/>
    <w:rsid w:val="00843B1E"/>
    <w:rsid w:val="00845CDE"/>
    <w:rsid w:val="0084737B"/>
    <w:rsid w:val="00847949"/>
    <w:rsid w:val="00852DB4"/>
    <w:rsid w:val="0085471A"/>
    <w:rsid w:val="00854C83"/>
    <w:rsid w:val="00855EEF"/>
    <w:rsid w:val="0085654D"/>
    <w:rsid w:val="0086034A"/>
    <w:rsid w:val="008611D3"/>
    <w:rsid w:val="00861B22"/>
    <w:rsid w:val="00861E70"/>
    <w:rsid w:val="00864112"/>
    <w:rsid w:val="0086489A"/>
    <w:rsid w:val="00867DBC"/>
    <w:rsid w:val="00870390"/>
    <w:rsid w:val="00871A17"/>
    <w:rsid w:val="00872D98"/>
    <w:rsid w:val="00873C96"/>
    <w:rsid w:val="00874B2C"/>
    <w:rsid w:val="00875B16"/>
    <w:rsid w:val="008763FE"/>
    <w:rsid w:val="008812E8"/>
    <w:rsid w:val="00881770"/>
    <w:rsid w:val="00881924"/>
    <w:rsid w:val="00881A5B"/>
    <w:rsid w:val="00883DEA"/>
    <w:rsid w:val="00884004"/>
    <w:rsid w:val="00885DCE"/>
    <w:rsid w:val="00885FD6"/>
    <w:rsid w:val="00886E15"/>
    <w:rsid w:val="0088728D"/>
    <w:rsid w:val="00887E1F"/>
    <w:rsid w:val="00891127"/>
    <w:rsid w:val="00891223"/>
    <w:rsid w:val="008921B7"/>
    <w:rsid w:val="00895270"/>
    <w:rsid w:val="00895445"/>
    <w:rsid w:val="00895AD3"/>
    <w:rsid w:val="00897337"/>
    <w:rsid w:val="008A07EC"/>
    <w:rsid w:val="008A0C35"/>
    <w:rsid w:val="008A1FCB"/>
    <w:rsid w:val="008A401A"/>
    <w:rsid w:val="008A42C6"/>
    <w:rsid w:val="008A4BF7"/>
    <w:rsid w:val="008A51D2"/>
    <w:rsid w:val="008A6533"/>
    <w:rsid w:val="008A74E7"/>
    <w:rsid w:val="008B3730"/>
    <w:rsid w:val="008B3BE0"/>
    <w:rsid w:val="008B40FF"/>
    <w:rsid w:val="008B5137"/>
    <w:rsid w:val="008B6C66"/>
    <w:rsid w:val="008C132C"/>
    <w:rsid w:val="008C1C23"/>
    <w:rsid w:val="008C328F"/>
    <w:rsid w:val="008C3CC0"/>
    <w:rsid w:val="008C73FF"/>
    <w:rsid w:val="008C7884"/>
    <w:rsid w:val="008D0C51"/>
    <w:rsid w:val="008D1E27"/>
    <w:rsid w:val="008D4520"/>
    <w:rsid w:val="008D46CD"/>
    <w:rsid w:val="008D6096"/>
    <w:rsid w:val="008E00D0"/>
    <w:rsid w:val="008E1923"/>
    <w:rsid w:val="008E2F7E"/>
    <w:rsid w:val="008E3FB6"/>
    <w:rsid w:val="008E4892"/>
    <w:rsid w:val="008E4D4A"/>
    <w:rsid w:val="008E62A1"/>
    <w:rsid w:val="008E7830"/>
    <w:rsid w:val="008E7D32"/>
    <w:rsid w:val="008F2638"/>
    <w:rsid w:val="008F29CC"/>
    <w:rsid w:val="008F2A50"/>
    <w:rsid w:val="008F2A52"/>
    <w:rsid w:val="008F2F4F"/>
    <w:rsid w:val="008F30E1"/>
    <w:rsid w:val="008F4D77"/>
    <w:rsid w:val="008F601D"/>
    <w:rsid w:val="008F6369"/>
    <w:rsid w:val="008F6B61"/>
    <w:rsid w:val="008F6BD1"/>
    <w:rsid w:val="009002BB"/>
    <w:rsid w:val="00900674"/>
    <w:rsid w:val="00900C9B"/>
    <w:rsid w:val="0090245A"/>
    <w:rsid w:val="00902D3E"/>
    <w:rsid w:val="00906B43"/>
    <w:rsid w:val="009102B0"/>
    <w:rsid w:val="00910460"/>
    <w:rsid w:val="00910E2D"/>
    <w:rsid w:val="00912563"/>
    <w:rsid w:val="00912613"/>
    <w:rsid w:val="00914296"/>
    <w:rsid w:val="0091429D"/>
    <w:rsid w:val="00914499"/>
    <w:rsid w:val="0091475D"/>
    <w:rsid w:val="009161DD"/>
    <w:rsid w:val="0091751E"/>
    <w:rsid w:val="00917BF7"/>
    <w:rsid w:val="00921D3D"/>
    <w:rsid w:val="00922522"/>
    <w:rsid w:val="009232E0"/>
    <w:rsid w:val="00926839"/>
    <w:rsid w:val="009270C8"/>
    <w:rsid w:val="00930D89"/>
    <w:rsid w:val="0093275A"/>
    <w:rsid w:val="00935485"/>
    <w:rsid w:val="00935804"/>
    <w:rsid w:val="009359E0"/>
    <w:rsid w:val="009403E1"/>
    <w:rsid w:val="0094249D"/>
    <w:rsid w:val="0094356C"/>
    <w:rsid w:val="00943A76"/>
    <w:rsid w:val="00943AE6"/>
    <w:rsid w:val="00944B5C"/>
    <w:rsid w:val="00945A8C"/>
    <w:rsid w:val="00945C57"/>
    <w:rsid w:val="00945D05"/>
    <w:rsid w:val="0094770F"/>
    <w:rsid w:val="00947F27"/>
    <w:rsid w:val="009510D6"/>
    <w:rsid w:val="00951B47"/>
    <w:rsid w:val="00952232"/>
    <w:rsid w:val="00953AA7"/>
    <w:rsid w:val="00954AB8"/>
    <w:rsid w:val="00954ECD"/>
    <w:rsid w:val="009565B2"/>
    <w:rsid w:val="0095661B"/>
    <w:rsid w:val="00956B4C"/>
    <w:rsid w:val="00957870"/>
    <w:rsid w:val="009611F3"/>
    <w:rsid w:val="009615D5"/>
    <w:rsid w:val="009629AE"/>
    <w:rsid w:val="00962C23"/>
    <w:rsid w:val="00962C75"/>
    <w:rsid w:val="00963161"/>
    <w:rsid w:val="00963906"/>
    <w:rsid w:val="00963E2E"/>
    <w:rsid w:val="00964E28"/>
    <w:rsid w:val="009661C5"/>
    <w:rsid w:val="00966443"/>
    <w:rsid w:val="00966C19"/>
    <w:rsid w:val="00970228"/>
    <w:rsid w:val="009705F0"/>
    <w:rsid w:val="00972B62"/>
    <w:rsid w:val="00973838"/>
    <w:rsid w:val="0097597E"/>
    <w:rsid w:val="009759DB"/>
    <w:rsid w:val="00975FE9"/>
    <w:rsid w:val="00977A80"/>
    <w:rsid w:val="009807C4"/>
    <w:rsid w:val="009835DC"/>
    <w:rsid w:val="00984642"/>
    <w:rsid w:val="00987E20"/>
    <w:rsid w:val="00990B23"/>
    <w:rsid w:val="00992863"/>
    <w:rsid w:val="009931BB"/>
    <w:rsid w:val="00995EE7"/>
    <w:rsid w:val="00996535"/>
    <w:rsid w:val="009971D2"/>
    <w:rsid w:val="00997551"/>
    <w:rsid w:val="009A001C"/>
    <w:rsid w:val="009A10DF"/>
    <w:rsid w:val="009A283A"/>
    <w:rsid w:val="009A64D5"/>
    <w:rsid w:val="009B0C88"/>
    <w:rsid w:val="009B2093"/>
    <w:rsid w:val="009B20DA"/>
    <w:rsid w:val="009B30B0"/>
    <w:rsid w:val="009B3CBD"/>
    <w:rsid w:val="009B597E"/>
    <w:rsid w:val="009B74E2"/>
    <w:rsid w:val="009C1B83"/>
    <w:rsid w:val="009C35B8"/>
    <w:rsid w:val="009C3D51"/>
    <w:rsid w:val="009C40B3"/>
    <w:rsid w:val="009C448D"/>
    <w:rsid w:val="009C4493"/>
    <w:rsid w:val="009C4706"/>
    <w:rsid w:val="009C5744"/>
    <w:rsid w:val="009C5EEF"/>
    <w:rsid w:val="009C67DE"/>
    <w:rsid w:val="009C699E"/>
    <w:rsid w:val="009C6DCF"/>
    <w:rsid w:val="009C7DFF"/>
    <w:rsid w:val="009D2F17"/>
    <w:rsid w:val="009D31BC"/>
    <w:rsid w:val="009D61DF"/>
    <w:rsid w:val="009D6B91"/>
    <w:rsid w:val="009D7345"/>
    <w:rsid w:val="009D7D8B"/>
    <w:rsid w:val="009E16FC"/>
    <w:rsid w:val="009E36BE"/>
    <w:rsid w:val="009E3C95"/>
    <w:rsid w:val="009E6A83"/>
    <w:rsid w:val="009E6E68"/>
    <w:rsid w:val="009E7289"/>
    <w:rsid w:val="009F0BED"/>
    <w:rsid w:val="009F34C7"/>
    <w:rsid w:val="009F450D"/>
    <w:rsid w:val="009F59D8"/>
    <w:rsid w:val="009F7854"/>
    <w:rsid w:val="009F7B8B"/>
    <w:rsid w:val="00A026FE"/>
    <w:rsid w:val="00A02ACD"/>
    <w:rsid w:val="00A02E69"/>
    <w:rsid w:val="00A035E6"/>
    <w:rsid w:val="00A03605"/>
    <w:rsid w:val="00A05235"/>
    <w:rsid w:val="00A06D39"/>
    <w:rsid w:val="00A074C4"/>
    <w:rsid w:val="00A10FB0"/>
    <w:rsid w:val="00A121C8"/>
    <w:rsid w:val="00A129E0"/>
    <w:rsid w:val="00A13E4B"/>
    <w:rsid w:val="00A1568D"/>
    <w:rsid w:val="00A17041"/>
    <w:rsid w:val="00A171C9"/>
    <w:rsid w:val="00A205CB"/>
    <w:rsid w:val="00A20A4B"/>
    <w:rsid w:val="00A20DE8"/>
    <w:rsid w:val="00A20F14"/>
    <w:rsid w:val="00A226FF"/>
    <w:rsid w:val="00A22BE8"/>
    <w:rsid w:val="00A231C2"/>
    <w:rsid w:val="00A23BF2"/>
    <w:rsid w:val="00A25DDE"/>
    <w:rsid w:val="00A27784"/>
    <w:rsid w:val="00A32301"/>
    <w:rsid w:val="00A352B3"/>
    <w:rsid w:val="00A35799"/>
    <w:rsid w:val="00A401F8"/>
    <w:rsid w:val="00A40374"/>
    <w:rsid w:val="00A40529"/>
    <w:rsid w:val="00A41176"/>
    <w:rsid w:val="00A43CF1"/>
    <w:rsid w:val="00A4460A"/>
    <w:rsid w:val="00A457CC"/>
    <w:rsid w:val="00A46F91"/>
    <w:rsid w:val="00A47847"/>
    <w:rsid w:val="00A510E4"/>
    <w:rsid w:val="00A51B92"/>
    <w:rsid w:val="00A523EE"/>
    <w:rsid w:val="00A52D03"/>
    <w:rsid w:val="00A53078"/>
    <w:rsid w:val="00A54D7D"/>
    <w:rsid w:val="00A557EC"/>
    <w:rsid w:val="00A571B6"/>
    <w:rsid w:val="00A607A9"/>
    <w:rsid w:val="00A60990"/>
    <w:rsid w:val="00A6194C"/>
    <w:rsid w:val="00A624F5"/>
    <w:rsid w:val="00A62D3D"/>
    <w:rsid w:val="00A630C0"/>
    <w:rsid w:val="00A64A27"/>
    <w:rsid w:val="00A65BFA"/>
    <w:rsid w:val="00A66C5A"/>
    <w:rsid w:val="00A6712F"/>
    <w:rsid w:val="00A7253F"/>
    <w:rsid w:val="00A74F09"/>
    <w:rsid w:val="00A75318"/>
    <w:rsid w:val="00A75F1B"/>
    <w:rsid w:val="00A76CFA"/>
    <w:rsid w:val="00A77F48"/>
    <w:rsid w:val="00A80089"/>
    <w:rsid w:val="00A80A0D"/>
    <w:rsid w:val="00A8117E"/>
    <w:rsid w:val="00A82E04"/>
    <w:rsid w:val="00A85983"/>
    <w:rsid w:val="00A8732B"/>
    <w:rsid w:val="00A906DE"/>
    <w:rsid w:val="00A90DF8"/>
    <w:rsid w:val="00A924EC"/>
    <w:rsid w:val="00A94EB1"/>
    <w:rsid w:val="00A964A3"/>
    <w:rsid w:val="00A9736A"/>
    <w:rsid w:val="00A97E01"/>
    <w:rsid w:val="00AA01EB"/>
    <w:rsid w:val="00AA04FE"/>
    <w:rsid w:val="00AA0EC3"/>
    <w:rsid w:val="00AA0F9F"/>
    <w:rsid w:val="00AA5D6D"/>
    <w:rsid w:val="00AA6B81"/>
    <w:rsid w:val="00AA6E9C"/>
    <w:rsid w:val="00AA7C3F"/>
    <w:rsid w:val="00AA7D8F"/>
    <w:rsid w:val="00AB19D6"/>
    <w:rsid w:val="00AB1B24"/>
    <w:rsid w:val="00AB2AB8"/>
    <w:rsid w:val="00AB3272"/>
    <w:rsid w:val="00AB33C0"/>
    <w:rsid w:val="00AB59E9"/>
    <w:rsid w:val="00AB5AE9"/>
    <w:rsid w:val="00AB63F8"/>
    <w:rsid w:val="00AB6C93"/>
    <w:rsid w:val="00AB7B9C"/>
    <w:rsid w:val="00AC0024"/>
    <w:rsid w:val="00AC0076"/>
    <w:rsid w:val="00AC1F5B"/>
    <w:rsid w:val="00AC69B7"/>
    <w:rsid w:val="00AC75BE"/>
    <w:rsid w:val="00AC75C2"/>
    <w:rsid w:val="00AD0FA9"/>
    <w:rsid w:val="00AD129B"/>
    <w:rsid w:val="00AD154B"/>
    <w:rsid w:val="00AD372C"/>
    <w:rsid w:val="00AD3BAA"/>
    <w:rsid w:val="00AD4087"/>
    <w:rsid w:val="00AD5070"/>
    <w:rsid w:val="00AE0C09"/>
    <w:rsid w:val="00AE3C48"/>
    <w:rsid w:val="00AE4D13"/>
    <w:rsid w:val="00AE617F"/>
    <w:rsid w:val="00AF24DE"/>
    <w:rsid w:val="00AF2C92"/>
    <w:rsid w:val="00AF2F3D"/>
    <w:rsid w:val="00AF38F8"/>
    <w:rsid w:val="00AF493D"/>
    <w:rsid w:val="00AF49BA"/>
    <w:rsid w:val="00AF53C8"/>
    <w:rsid w:val="00AF742B"/>
    <w:rsid w:val="00B00377"/>
    <w:rsid w:val="00B03B36"/>
    <w:rsid w:val="00B04689"/>
    <w:rsid w:val="00B057DA"/>
    <w:rsid w:val="00B06208"/>
    <w:rsid w:val="00B06E3B"/>
    <w:rsid w:val="00B102DA"/>
    <w:rsid w:val="00B1579B"/>
    <w:rsid w:val="00B15FF8"/>
    <w:rsid w:val="00B204E8"/>
    <w:rsid w:val="00B21D3A"/>
    <w:rsid w:val="00B22A31"/>
    <w:rsid w:val="00B2359D"/>
    <w:rsid w:val="00B2538A"/>
    <w:rsid w:val="00B25DCB"/>
    <w:rsid w:val="00B265D3"/>
    <w:rsid w:val="00B2788D"/>
    <w:rsid w:val="00B278CB"/>
    <w:rsid w:val="00B27F9F"/>
    <w:rsid w:val="00B30CAF"/>
    <w:rsid w:val="00B322DB"/>
    <w:rsid w:val="00B34166"/>
    <w:rsid w:val="00B34A5E"/>
    <w:rsid w:val="00B34F5F"/>
    <w:rsid w:val="00B3616D"/>
    <w:rsid w:val="00B36181"/>
    <w:rsid w:val="00B36F1B"/>
    <w:rsid w:val="00B4048C"/>
    <w:rsid w:val="00B41DEA"/>
    <w:rsid w:val="00B42183"/>
    <w:rsid w:val="00B4221F"/>
    <w:rsid w:val="00B4367A"/>
    <w:rsid w:val="00B47C62"/>
    <w:rsid w:val="00B5021F"/>
    <w:rsid w:val="00B51038"/>
    <w:rsid w:val="00B54ADE"/>
    <w:rsid w:val="00B54F51"/>
    <w:rsid w:val="00B555FA"/>
    <w:rsid w:val="00B557EC"/>
    <w:rsid w:val="00B5705E"/>
    <w:rsid w:val="00B57AB3"/>
    <w:rsid w:val="00B57CAA"/>
    <w:rsid w:val="00B6055B"/>
    <w:rsid w:val="00B622BF"/>
    <w:rsid w:val="00B67176"/>
    <w:rsid w:val="00B7420F"/>
    <w:rsid w:val="00B7505B"/>
    <w:rsid w:val="00B75094"/>
    <w:rsid w:val="00B758B9"/>
    <w:rsid w:val="00B776E1"/>
    <w:rsid w:val="00B8059A"/>
    <w:rsid w:val="00B817A6"/>
    <w:rsid w:val="00B834D4"/>
    <w:rsid w:val="00B850AC"/>
    <w:rsid w:val="00B875AE"/>
    <w:rsid w:val="00B90672"/>
    <w:rsid w:val="00B92B5F"/>
    <w:rsid w:val="00B9423E"/>
    <w:rsid w:val="00B943A3"/>
    <w:rsid w:val="00B954B2"/>
    <w:rsid w:val="00B974E6"/>
    <w:rsid w:val="00BA0C00"/>
    <w:rsid w:val="00BA144B"/>
    <w:rsid w:val="00BA20E6"/>
    <w:rsid w:val="00BA241A"/>
    <w:rsid w:val="00BA3C19"/>
    <w:rsid w:val="00BA3C4D"/>
    <w:rsid w:val="00BA4015"/>
    <w:rsid w:val="00BA5815"/>
    <w:rsid w:val="00BA63B7"/>
    <w:rsid w:val="00BA7824"/>
    <w:rsid w:val="00BB14EE"/>
    <w:rsid w:val="00BB2C50"/>
    <w:rsid w:val="00BB2C92"/>
    <w:rsid w:val="00BC2BCB"/>
    <w:rsid w:val="00BC30F5"/>
    <w:rsid w:val="00BC3E74"/>
    <w:rsid w:val="00BC47D2"/>
    <w:rsid w:val="00BC54F0"/>
    <w:rsid w:val="00BC6C07"/>
    <w:rsid w:val="00BD13E3"/>
    <w:rsid w:val="00BD3353"/>
    <w:rsid w:val="00BD6C64"/>
    <w:rsid w:val="00BD72F6"/>
    <w:rsid w:val="00BE1141"/>
    <w:rsid w:val="00BE2680"/>
    <w:rsid w:val="00BE3197"/>
    <w:rsid w:val="00BE4365"/>
    <w:rsid w:val="00BE6C88"/>
    <w:rsid w:val="00BF08FB"/>
    <w:rsid w:val="00BF0AE1"/>
    <w:rsid w:val="00BF0F19"/>
    <w:rsid w:val="00BF1A9D"/>
    <w:rsid w:val="00BF1C7E"/>
    <w:rsid w:val="00BF2FEC"/>
    <w:rsid w:val="00BF3AFA"/>
    <w:rsid w:val="00BF436F"/>
    <w:rsid w:val="00BF43BD"/>
    <w:rsid w:val="00BF6033"/>
    <w:rsid w:val="00BF62FF"/>
    <w:rsid w:val="00BF6821"/>
    <w:rsid w:val="00BF6BA6"/>
    <w:rsid w:val="00BF6D72"/>
    <w:rsid w:val="00C0036F"/>
    <w:rsid w:val="00C01640"/>
    <w:rsid w:val="00C077F1"/>
    <w:rsid w:val="00C1089A"/>
    <w:rsid w:val="00C10BD9"/>
    <w:rsid w:val="00C11390"/>
    <w:rsid w:val="00C11AA8"/>
    <w:rsid w:val="00C12B81"/>
    <w:rsid w:val="00C13A4A"/>
    <w:rsid w:val="00C13DA8"/>
    <w:rsid w:val="00C15177"/>
    <w:rsid w:val="00C204D2"/>
    <w:rsid w:val="00C20CFD"/>
    <w:rsid w:val="00C20EA4"/>
    <w:rsid w:val="00C224E5"/>
    <w:rsid w:val="00C2302E"/>
    <w:rsid w:val="00C2464B"/>
    <w:rsid w:val="00C24B8F"/>
    <w:rsid w:val="00C25593"/>
    <w:rsid w:val="00C267FD"/>
    <w:rsid w:val="00C30991"/>
    <w:rsid w:val="00C31F1D"/>
    <w:rsid w:val="00C3239C"/>
    <w:rsid w:val="00C3288D"/>
    <w:rsid w:val="00C343C0"/>
    <w:rsid w:val="00C36682"/>
    <w:rsid w:val="00C36A3B"/>
    <w:rsid w:val="00C40729"/>
    <w:rsid w:val="00C40A4A"/>
    <w:rsid w:val="00C40E62"/>
    <w:rsid w:val="00C41293"/>
    <w:rsid w:val="00C43F9A"/>
    <w:rsid w:val="00C4454E"/>
    <w:rsid w:val="00C4467F"/>
    <w:rsid w:val="00C458D8"/>
    <w:rsid w:val="00C4648D"/>
    <w:rsid w:val="00C473AC"/>
    <w:rsid w:val="00C4746C"/>
    <w:rsid w:val="00C50880"/>
    <w:rsid w:val="00C50CD2"/>
    <w:rsid w:val="00C5160E"/>
    <w:rsid w:val="00C51FE1"/>
    <w:rsid w:val="00C52768"/>
    <w:rsid w:val="00C5326B"/>
    <w:rsid w:val="00C5650A"/>
    <w:rsid w:val="00C6056D"/>
    <w:rsid w:val="00C60613"/>
    <w:rsid w:val="00C60FA5"/>
    <w:rsid w:val="00C63BC4"/>
    <w:rsid w:val="00C65094"/>
    <w:rsid w:val="00C70283"/>
    <w:rsid w:val="00C70D15"/>
    <w:rsid w:val="00C71B3E"/>
    <w:rsid w:val="00C7286C"/>
    <w:rsid w:val="00C73B66"/>
    <w:rsid w:val="00C742F7"/>
    <w:rsid w:val="00C75158"/>
    <w:rsid w:val="00C752DB"/>
    <w:rsid w:val="00C75C83"/>
    <w:rsid w:val="00C80153"/>
    <w:rsid w:val="00C80760"/>
    <w:rsid w:val="00C80A5A"/>
    <w:rsid w:val="00C82BAE"/>
    <w:rsid w:val="00C835BE"/>
    <w:rsid w:val="00C836F1"/>
    <w:rsid w:val="00C85397"/>
    <w:rsid w:val="00C87B57"/>
    <w:rsid w:val="00C92C7C"/>
    <w:rsid w:val="00C92EE3"/>
    <w:rsid w:val="00C930D9"/>
    <w:rsid w:val="00C97BB1"/>
    <w:rsid w:val="00CA0686"/>
    <w:rsid w:val="00CA08F9"/>
    <w:rsid w:val="00CA0BB4"/>
    <w:rsid w:val="00CA1AD6"/>
    <w:rsid w:val="00CA224D"/>
    <w:rsid w:val="00CA27AC"/>
    <w:rsid w:val="00CA5744"/>
    <w:rsid w:val="00CB0300"/>
    <w:rsid w:val="00CB05FB"/>
    <w:rsid w:val="00CB0D95"/>
    <w:rsid w:val="00CB0FEB"/>
    <w:rsid w:val="00CB1929"/>
    <w:rsid w:val="00CB1C82"/>
    <w:rsid w:val="00CB4D39"/>
    <w:rsid w:val="00CB4DEE"/>
    <w:rsid w:val="00CB5CDA"/>
    <w:rsid w:val="00CB6145"/>
    <w:rsid w:val="00CC0378"/>
    <w:rsid w:val="00CC21BC"/>
    <w:rsid w:val="00CC7C68"/>
    <w:rsid w:val="00CD118D"/>
    <w:rsid w:val="00CD2340"/>
    <w:rsid w:val="00CD4107"/>
    <w:rsid w:val="00CD5193"/>
    <w:rsid w:val="00CD6BA4"/>
    <w:rsid w:val="00CE0890"/>
    <w:rsid w:val="00CE35B2"/>
    <w:rsid w:val="00CE3A3B"/>
    <w:rsid w:val="00CE3DD2"/>
    <w:rsid w:val="00CE414C"/>
    <w:rsid w:val="00CF1985"/>
    <w:rsid w:val="00CF2E88"/>
    <w:rsid w:val="00CF3033"/>
    <w:rsid w:val="00CF3621"/>
    <w:rsid w:val="00CF3C49"/>
    <w:rsid w:val="00CF4C02"/>
    <w:rsid w:val="00CF5716"/>
    <w:rsid w:val="00CF6913"/>
    <w:rsid w:val="00CF70E0"/>
    <w:rsid w:val="00CF74FD"/>
    <w:rsid w:val="00D02149"/>
    <w:rsid w:val="00D0309C"/>
    <w:rsid w:val="00D04F67"/>
    <w:rsid w:val="00D05063"/>
    <w:rsid w:val="00D051A0"/>
    <w:rsid w:val="00D05E42"/>
    <w:rsid w:val="00D12447"/>
    <w:rsid w:val="00D13897"/>
    <w:rsid w:val="00D1458A"/>
    <w:rsid w:val="00D15449"/>
    <w:rsid w:val="00D17887"/>
    <w:rsid w:val="00D2043B"/>
    <w:rsid w:val="00D209E8"/>
    <w:rsid w:val="00D22BD6"/>
    <w:rsid w:val="00D22E92"/>
    <w:rsid w:val="00D231D9"/>
    <w:rsid w:val="00D25F32"/>
    <w:rsid w:val="00D300FA"/>
    <w:rsid w:val="00D3192F"/>
    <w:rsid w:val="00D32344"/>
    <w:rsid w:val="00D325AB"/>
    <w:rsid w:val="00D33241"/>
    <w:rsid w:val="00D334DB"/>
    <w:rsid w:val="00D33802"/>
    <w:rsid w:val="00D33889"/>
    <w:rsid w:val="00D34012"/>
    <w:rsid w:val="00D3481D"/>
    <w:rsid w:val="00D36A1E"/>
    <w:rsid w:val="00D37A97"/>
    <w:rsid w:val="00D43250"/>
    <w:rsid w:val="00D43734"/>
    <w:rsid w:val="00D4396F"/>
    <w:rsid w:val="00D4517C"/>
    <w:rsid w:val="00D46381"/>
    <w:rsid w:val="00D4752B"/>
    <w:rsid w:val="00D50351"/>
    <w:rsid w:val="00D5130C"/>
    <w:rsid w:val="00D51F58"/>
    <w:rsid w:val="00D52C1D"/>
    <w:rsid w:val="00D57775"/>
    <w:rsid w:val="00D57A9B"/>
    <w:rsid w:val="00D60D64"/>
    <w:rsid w:val="00D6161A"/>
    <w:rsid w:val="00D61D8D"/>
    <w:rsid w:val="00D620F9"/>
    <w:rsid w:val="00D623C5"/>
    <w:rsid w:val="00D6310C"/>
    <w:rsid w:val="00D637F7"/>
    <w:rsid w:val="00D63ACB"/>
    <w:rsid w:val="00D643C5"/>
    <w:rsid w:val="00D64C19"/>
    <w:rsid w:val="00D66C2C"/>
    <w:rsid w:val="00D670F7"/>
    <w:rsid w:val="00D714D7"/>
    <w:rsid w:val="00D736EF"/>
    <w:rsid w:val="00D746E1"/>
    <w:rsid w:val="00D74B3D"/>
    <w:rsid w:val="00D80C31"/>
    <w:rsid w:val="00D83435"/>
    <w:rsid w:val="00D8343F"/>
    <w:rsid w:val="00D84164"/>
    <w:rsid w:val="00D84B38"/>
    <w:rsid w:val="00D86654"/>
    <w:rsid w:val="00D86C6F"/>
    <w:rsid w:val="00D87249"/>
    <w:rsid w:val="00D90F46"/>
    <w:rsid w:val="00D91723"/>
    <w:rsid w:val="00D92628"/>
    <w:rsid w:val="00D92678"/>
    <w:rsid w:val="00D936ED"/>
    <w:rsid w:val="00D93930"/>
    <w:rsid w:val="00D94BAE"/>
    <w:rsid w:val="00D95617"/>
    <w:rsid w:val="00D973A7"/>
    <w:rsid w:val="00D978A5"/>
    <w:rsid w:val="00D97A97"/>
    <w:rsid w:val="00DA1685"/>
    <w:rsid w:val="00DA2146"/>
    <w:rsid w:val="00DA353A"/>
    <w:rsid w:val="00DA3931"/>
    <w:rsid w:val="00DB17DA"/>
    <w:rsid w:val="00DB216B"/>
    <w:rsid w:val="00DB2406"/>
    <w:rsid w:val="00DB32E8"/>
    <w:rsid w:val="00DB3CA6"/>
    <w:rsid w:val="00DB3DA3"/>
    <w:rsid w:val="00DB5C55"/>
    <w:rsid w:val="00DB684C"/>
    <w:rsid w:val="00DC0948"/>
    <w:rsid w:val="00DC0A74"/>
    <w:rsid w:val="00DC0C11"/>
    <w:rsid w:val="00DC331B"/>
    <w:rsid w:val="00DC46E0"/>
    <w:rsid w:val="00DC5C7F"/>
    <w:rsid w:val="00DC68EA"/>
    <w:rsid w:val="00DC74B8"/>
    <w:rsid w:val="00DD506D"/>
    <w:rsid w:val="00DD5479"/>
    <w:rsid w:val="00DD5E02"/>
    <w:rsid w:val="00DE38FB"/>
    <w:rsid w:val="00DE651A"/>
    <w:rsid w:val="00DE7495"/>
    <w:rsid w:val="00DF1FBF"/>
    <w:rsid w:val="00DF2D64"/>
    <w:rsid w:val="00DF37AB"/>
    <w:rsid w:val="00DF45A9"/>
    <w:rsid w:val="00DF64B1"/>
    <w:rsid w:val="00E00B6B"/>
    <w:rsid w:val="00E02B60"/>
    <w:rsid w:val="00E058CA"/>
    <w:rsid w:val="00E06E82"/>
    <w:rsid w:val="00E06EF8"/>
    <w:rsid w:val="00E125D4"/>
    <w:rsid w:val="00E14A6F"/>
    <w:rsid w:val="00E1522C"/>
    <w:rsid w:val="00E1708E"/>
    <w:rsid w:val="00E21D79"/>
    <w:rsid w:val="00E21DC0"/>
    <w:rsid w:val="00E220CC"/>
    <w:rsid w:val="00E22591"/>
    <w:rsid w:val="00E230A7"/>
    <w:rsid w:val="00E23CA2"/>
    <w:rsid w:val="00E2539C"/>
    <w:rsid w:val="00E259E8"/>
    <w:rsid w:val="00E259F6"/>
    <w:rsid w:val="00E25F48"/>
    <w:rsid w:val="00E26A91"/>
    <w:rsid w:val="00E2775E"/>
    <w:rsid w:val="00E30F56"/>
    <w:rsid w:val="00E31C57"/>
    <w:rsid w:val="00E3219A"/>
    <w:rsid w:val="00E32CE8"/>
    <w:rsid w:val="00E33E7B"/>
    <w:rsid w:val="00E357A7"/>
    <w:rsid w:val="00E359CD"/>
    <w:rsid w:val="00E35B00"/>
    <w:rsid w:val="00E36912"/>
    <w:rsid w:val="00E3724F"/>
    <w:rsid w:val="00E373C0"/>
    <w:rsid w:val="00E40FF6"/>
    <w:rsid w:val="00E4203C"/>
    <w:rsid w:val="00E421B5"/>
    <w:rsid w:val="00E432F4"/>
    <w:rsid w:val="00E4578E"/>
    <w:rsid w:val="00E457E2"/>
    <w:rsid w:val="00E45EC2"/>
    <w:rsid w:val="00E46A5F"/>
    <w:rsid w:val="00E50587"/>
    <w:rsid w:val="00E51AF3"/>
    <w:rsid w:val="00E528BF"/>
    <w:rsid w:val="00E52CA3"/>
    <w:rsid w:val="00E52D5E"/>
    <w:rsid w:val="00E55A85"/>
    <w:rsid w:val="00E64154"/>
    <w:rsid w:val="00E64F18"/>
    <w:rsid w:val="00E67796"/>
    <w:rsid w:val="00E677FF"/>
    <w:rsid w:val="00E67985"/>
    <w:rsid w:val="00E70B91"/>
    <w:rsid w:val="00E70CE9"/>
    <w:rsid w:val="00E71E36"/>
    <w:rsid w:val="00E733D3"/>
    <w:rsid w:val="00E75933"/>
    <w:rsid w:val="00E75FC8"/>
    <w:rsid w:val="00E77CB4"/>
    <w:rsid w:val="00E77F75"/>
    <w:rsid w:val="00E804E8"/>
    <w:rsid w:val="00E853E5"/>
    <w:rsid w:val="00E875BA"/>
    <w:rsid w:val="00E8787F"/>
    <w:rsid w:val="00E87AC2"/>
    <w:rsid w:val="00E91FFF"/>
    <w:rsid w:val="00E959DD"/>
    <w:rsid w:val="00E95E33"/>
    <w:rsid w:val="00E967AA"/>
    <w:rsid w:val="00E96B3C"/>
    <w:rsid w:val="00EA02B9"/>
    <w:rsid w:val="00EA1607"/>
    <w:rsid w:val="00EA25C8"/>
    <w:rsid w:val="00EA265A"/>
    <w:rsid w:val="00EA31BA"/>
    <w:rsid w:val="00EA3F8A"/>
    <w:rsid w:val="00EA4D57"/>
    <w:rsid w:val="00EA6039"/>
    <w:rsid w:val="00EA62D6"/>
    <w:rsid w:val="00EB09E1"/>
    <w:rsid w:val="00EB308B"/>
    <w:rsid w:val="00EB374C"/>
    <w:rsid w:val="00EB48AF"/>
    <w:rsid w:val="00EB5E36"/>
    <w:rsid w:val="00EB6262"/>
    <w:rsid w:val="00EB6270"/>
    <w:rsid w:val="00EB62E8"/>
    <w:rsid w:val="00EB62F9"/>
    <w:rsid w:val="00EB64BD"/>
    <w:rsid w:val="00EB73B7"/>
    <w:rsid w:val="00EC175B"/>
    <w:rsid w:val="00EC515F"/>
    <w:rsid w:val="00EC65C0"/>
    <w:rsid w:val="00EC732C"/>
    <w:rsid w:val="00ED01C0"/>
    <w:rsid w:val="00ED1877"/>
    <w:rsid w:val="00ED2693"/>
    <w:rsid w:val="00EE0F84"/>
    <w:rsid w:val="00EE18A6"/>
    <w:rsid w:val="00EE3A5C"/>
    <w:rsid w:val="00EE4B7B"/>
    <w:rsid w:val="00EE4BCF"/>
    <w:rsid w:val="00EE4E70"/>
    <w:rsid w:val="00EE5030"/>
    <w:rsid w:val="00EF350E"/>
    <w:rsid w:val="00EF353B"/>
    <w:rsid w:val="00EF4AC6"/>
    <w:rsid w:val="00EF54D5"/>
    <w:rsid w:val="00EF6C27"/>
    <w:rsid w:val="00EF77A8"/>
    <w:rsid w:val="00EF7F58"/>
    <w:rsid w:val="00F0048E"/>
    <w:rsid w:val="00F04154"/>
    <w:rsid w:val="00F064B6"/>
    <w:rsid w:val="00F0658A"/>
    <w:rsid w:val="00F102CF"/>
    <w:rsid w:val="00F120A9"/>
    <w:rsid w:val="00F12886"/>
    <w:rsid w:val="00F12AE6"/>
    <w:rsid w:val="00F14936"/>
    <w:rsid w:val="00F16C9F"/>
    <w:rsid w:val="00F16CAA"/>
    <w:rsid w:val="00F175A7"/>
    <w:rsid w:val="00F17DB5"/>
    <w:rsid w:val="00F20362"/>
    <w:rsid w:val="00F20CA6"/>
    <w:rsid w:val="00F220D6"/>
    <w:rsid w:val="00F23089"/>
    <w:rsid w:val="00F251F8"/>
    <w:rsid w:val="00F255E8"/>
    <w:rsid w:val="00F27222"/>
    <w:rsid w:val="00F30F75"/>
    <w:rsid w:val="00F31C93"/>
    <w:rsid w:val="00F3231C"/>
    <w:rsid w:val="00F32CD1"/>
    <w:rsid w:val="00F36D73"/>
    <w:rsid w:val="00F440FD"/>
    <w:rsid w:val="00F46AEE"/>
    <w:rsid w:val="00F473C2"/>
    <w:rsid w:val="00F47F69"/>
    <w:rsid w:val="00F5074D"/>
    <w:rsid w:val="00F5241A"/>
    <w:rsid w:val="00F5267C"/>
    <w:rsid w:val="00F53821"/>
    <w:rsid w:val="00F53C45"/>
    <w:rsid w:val="00F543FC"/>
    <w:rsid w:val="00F545CB"/>
    <w:rsid w:val="00F54A1E"/>
    <w:rsid w:val="00F56590"/>
    <w:rsid w:val="00F622E9"/>
    <w:rsid w:val="00F62F18"/>
    <w:rsid w:val="00F63444"/>
    <w:rsid w:val="00F63EF0"/>
    <w:rsid w:val="00F64DD8"/>
    <w:rsid w:val="00F65830"/>
    <w:rsid w:val="00F6591B"/>
    <w:rsid w:val="00F66473"/>
    <w:rsid w:val="00F67398"/>
    <w:rsid w:val="00F67A12"/>
    <w:rsid w:val="00F67A79"/>
    <w:rsid w:val="00F70213"/>
    <w:rsid w:val="00F70E0E"/>
    <w:rsid w:val="00F725FD"/>
    <w:rsid w:val="00F726FB"/>
    <w:rsid w:val="00F72751"/>
    <w:rsid w:val="00F7297E"/>
    <w:rsid w:val="00F72D6C"/>
    <w:rsid w:val="00F73293"/>
    <w:rsid w:val="00F732D3"/>
    <w:rsid w:val="00F73554"/>
    <w:rsid w:val="00F75338"/>
    <w:rsid w:val="00F816EB"/>
    <w:rsid w:val="00F81CB9"/>
    <w:rsid w:val="00F82D64"/>
    <w:rsid w:val="00F8408A"/>
    <w:rsid w:val="00F91821"/>
    <w:rsid w:val="00F9324C"/>
    <w:rsid w:val="00F93BAE"/>
    <w:rsid w:val="00F96DBB"/>
    <w:rsid w:val="00F973F1"/>
    <w:rsid w:val="00FA12B7"/>
    <w:rsid w:val="00FA20F8"/>
    <w:rsid w:val="00FA22D3"/>
    <w:rsid w:val="00FA2E3C"/>
    <w:rsid w:val="00FA4541"/>
    <w:rsid w:val="00FA6826"/>
    <w:rsid w:val="00FA79EA"/>
    <w:rsid w:val="00FB0921"/>
    <w:rsid w:val="00FB1797"/>
    <w:rsid w:val="00FB2A97"/>
    <w:rsid w:val="00FB2D4A"/>
    <w:rsid w:val="00FB6874"/>
    <w:rsid w:val="00FB6FBD"/>
    <w:rsid w:val="00FC0333"/>
    <w:rsid w:val="00FC097F"/>
    <w:rsid w:val="00FC2D84"/>
    <w:rsid w:val="00FC3AA5"/>
    <w:rsid w:val="00FC5F19"/>
    <w:rsid w:val="00FC63B8"/>
    <w:rsid w:val="00FC66B4"/>
    <w:rsid w:val="00FC78DD"/>
    <w:rsid w:val="00FC7FC6"/>
    <w:rsid w:val="00FD02A5"/>
    <w:rsid w:val="00FD0B00"/>
    <w:rsid w:val="00FD1AEA"/>
    <w:rsid w:val="00FD1EB8"/>
    <w:rsid w:val="00FD3B2A"/>
    <w:rsid w:val="00FD4027"/>
    <w:rsid w:val="00FD460D"/>
    <w:rsid w:val="00FD51B8"/>
    <w:rsid w:val="00FD51E6"/>
    <w:rsid w:val="00FD7223"/>
    <w:rsid w:val="00FD7309"/>
    <w:rsid w:val="00FD7AE1"/>
    <w:rsid w:val="00FE1089"/>
    <w:rsid w:val="00FE2A96"/>
    <w:rsid w:val="00FE3A0D"/>
    <w:rsid w:val="00FE3D41"/>
    <w:rsid w:val="00FE3F59"/>
    <w:rsid w:val="00FE682A"/>
    <w:rsid w:val="00FE6D34"/>
    <w:rsid w:val="00FE781E"/>
    <w:rsid w:val="00FF0165"/>
    <w:rsid w:val="00FF4618"/>
    <w:rsid w:val="00FF51D2"/>
    <w:rsid w:val="00FF636A"/>
    <w:rsid w:val="00FF731D"/>
    <w:rsid w:val="00FF77CF"/>
    <w:rsid w:val="00FF7C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ce8dc,#cce6dc"/>
    </o:shapedefaults>
    <o:shapelayout v:ext="edit">
      <o:idmap v:ext="edit" data="1"/>
    </o:shapelayout>
  </w:shapeDefaults>
  <w:decimalSymbol w:val="."/>
  <w:listSeparator w:val=","/>
  <w14:docId w14:val="7728B59F"/>
  <w15:docId w15:val="{66F30AC3-C071-4AB8-BA57-A9A946A2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D5"/>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link w:val="20"/>
    <w:qFormat/>
    <w:rsid w:val="00EF54D5"/>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pPr>
      <w:spacing w:line="360" w:lineRule="exact"/>
      <w:jc w:val="both"/>
    </w:pPr>
    <w:rPr>
      <w:rFonts w:ascii="標楷體" w:eastAsia="標楷體"/>
    </w:rPr>
  </w:style>
  <w:style w:type="paragraph" w:styleId="a6">
    <w:name w:val="Plain Text"/>
    <w:basedOn w:val="a"/>
    <w:rPr>
      <w:rFonts w:ascii="細明體" w:eastAsia="細明體" w:hAnsi="Courier New"/>
      <w:szCs w:val="20"/>
    </w:rPr>
  </w:style>
  <w:style w:type="paragraph" w:styleId="21">
    <w:name w:val="Body Text 2"/>
    <w:basedOn w:val="a"/>
    <w:pPr>
      <w:ind w:rightChars="-439" w:right="-1054"/>
    </w:pPr>
    <w:rPr>
      <w:rFonts w:ascii="標楷體" w:eastAsia="標楷體"/>
    </w:rPr>
  </w:style>
  <w:style w:type="paragraph" w:styleId="3">
    <w:name w:val="Body Text 3"/>
    <w:basedOn w:val="a"/>
    <w:pPr>
      <w:spacing w:line="500" w:lineRule="exact"/>
      <w:jc w:val="both"/>
    </w:pPr>
    <w:rPr>
      <w:rFonts w:ascii="標楷體" w:eastAsia="標楷體"/>
      <w:sz w:val="28"/>
    </w:r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Body Text Indent"/>
    <w:basedOn w:val="a"/>
    <w:pPr>
      <w:spacing w:beforeLines="25" w:before="90" w:line="500" w:lineRule="exact"/>
      <w:ind w:firstLineChars="200" w:firstLine="560"/>
      <w:jc w:val="both"/>
    </w:pPr>
    <w:rPr>
      <w:rFonts w:ascii="標楷體" w:eastAsia="標楷體"/>
      <w:sz w:val="28"/>
    </w:rPr>
  </w:style>
  <w:style w:type="paragraph" w:styleId="ab">
    <w:name w:val="Block Text"/>
    <w:basedOn w:val="a"/>
    <w:pPr>
      <w:kinsoku w:val="0"/>
      <w:adjustRightInd w:val="0"/>
      <w:spacing w:line="360" w:lineRule="atLeast"/>
      <w:ind w:left="960" w:right="1055" w:hanging="960"/>
      <w:textAlignment w:val="baseline"/>
    </w:pPr>
    <w:rPr>
      <w:rFonts w:ascii="標楷體" w:eastAsia="標楷體"/>
      <w:kern w:val="0"/>
      <w:sz w:val="32"/>
      <w:szCs w:val="20"/>
    </w:rPr>
  </w:style>
  <w:style w:type="paragraph" w:styleId="ac">
    <w:name w:val="header"/>
    <w:aliases w:val="頁首 字元 字元,頁首 字元 字元 字元"/>
    <w:basedOn w:val="a"/>
    <w:pPr>
      <w:tabs>
        <w:tab w:val="center" w:pos="4153"/>
        <w:tab w:val="right" w:pos="8306"/>
      </w:tabs>
      <w:snapToGrid w:val="0"/>
    </w:pPr>
    <w:rPr>
      <w:sz w:val="20"/>
      <w:szCs w:val="20"/>
    </w:rPr>
  </w:style>
  <w:style w:type="paragraph" w:styleId="22">
    <w:name w:val="Body Text Indent 2"/>
    <w:basedOn w:val="a"/>
    <w:pPr>
      <w:spacing w:line="360" w:lineRule="auto"/>
      <w:ind w:firstLine="840"/>
      <w:jc w:val="both"/>
    </w:pPr>
    <w:rPr>
      <w:rFonts w:ascii="標楷體" w:eastAsia="標楷體"/>
      <w:sz w:val="28"/>
    </w:rPr>
  </w:style>
  <w:style w:type="paragraph" w:styleId="30">
    <w:name w:val="Body Text Indent 3"/>
    <w:basedOn w:val="a"/>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d">
    <w:name w:val="內文表格"/>
    <w:basedOn w:val="a"/>
    <w:pPr>
      <w:spacing w:beforeLines="10" w:before="54"/>
      <w:jc w:val="both"/>
    </w:pPr>
    <w:rPr>
      <w:rFonts w:ascii="標楷體" w:eastAsia="標楷體"/>
    </w:rPr>
  </w:style>
  <w:style w:type="paragraph" w:customStyle="1" w:styleId="11">
    <w:name w:val="1."/>
    <w:basedOn w:val="a"/>
    <w:autoRedefine/>
    <w:pPr>
      <w:spacing w:line="400" w:lineRule="exact"/>
      <w:ind w:firstLineChars="500" w:firstLine="1200"/>
      <w:jc w:val="both"/>
    </w:pPr>
    <w:rPr>
      <w:rFonts w:ascii="標楷體" w:eastAsia="標楷體"/>
    </w:rPr>
  </w:style>
  <w:style w:type="paragraph" w:customStyle="1" w:styleId="ae">
    <w:name w:val="註"/>
    <w:basedOn w:val="10"/>
    <w:pPr>
      <w:spacing w:beforeLines="0" w:before="0" w:line="280" w:lineRule="exact"/>
      <w:ind w:left="20"/>
      <w:jc w:val="both"/>
    </w:pPr>
    <w:rPr>
      <w:sz w:val="18"/>
    </w:rPr>
  </w:style>
  <w:style w:type="paragraph" w:customStyle="1" w:styleId="af">
    <w:name w:val="表格數字"/>
    <w:basedOn w:val="10"/>
    <w:pPr>
      <w:spacing w:beforeLines="0" w:before="0"/>
      <w:ind w:rightChars="20" w:right="48"/>
      <w:jc w:val="right"/>
    </w:pPr>
    <w:rPr>
      <w:sz w:val="18"/>
    </w:rPr>
  </w:style>
  <w:style w:type="paragraph" w:customStyle="1" w:styleId="af0">
    <w:name w:val="表頭"/>
    <w:basedOn w:val="a"/>
    <w:autoRedefine/>
    <w:pPr>
      <w:spacing w:line="400" w:lineRule="exact"/>
      <w:jc w:val="center"/>
    </w:pPr>
    <w:rPr>
      <w:rFonts w:ascii="標楷體" w:eastAsia="標楷體"/>
      <w:spacing w:val="20"/>
      <w:sz w:val="32"/>
      <w:u w:val="single"/>
    </w:rPr>
  </w:style>
  <w:style w:type="paragraph" w:customStyle="1" w:styleId="af1">
    <w:name w:val="中華民國"/>
    <w:basedOn w:val="a"/>
    <w:autoRedefine/>
    <w:pPr>
      <w:spacing w:line="400" w:lineRule="exact"/>
      <w:jc w:val="center"/>
    </w:pPr>
    <w:rPr>
      <w:rFonts w:ascii="標楷體" w:eastAsia="標楷體"/>
      <w:spacing w:val="80"/>
    </w:rPr>
  </w:style>
  <w:style w:type="paragraph" w:customStyle="1" w:styleId="af2">
    <w:name w:val="表格單位"/>
    <w:basedOn w:val="a"/>
    <w:autoRedefine/>
    <w:pPr>
      <w:snapToGrid w:val="0"/>
      <w:spacing w:afterLines="10" w:after="54"/>
      <w:ind w:leftChars="20" w:left="48" w:rightChars="20" w:right="48"/>
      <w:jc w:val="right"/>
    </w:pPr>
    <w:rPr>
      <w:rFonts w:ascii="標楷體" w:eastAsia="標楷體"/>
      <w:kern w:val="0"/>
    </w:rPr>
  </w:style>
  <w:style w:type="paragraph" w:customStyle="1" w:styleId="af3">
    <w:name w:val="敬啟者："/>
    <w:pPr>
      <w:widowControl w:val="0"/>
    </w:pPr>
    <w:rPr>
      <w:kern w:val="2"/>
      <w:sz w:val="24"/>
      <w:szCs w:val="24"/>
    </w:rPr>
  </w:style>
  <w:style w:type="paragraph" w:customStyle="1" w:styleId="af4">
    <w:name w:val="內文之表頭"/>
    <w:basedOn w:val="af5"/>
    <w:pPr>
      <w:ind w:rightChars="20" w:right="48"/>
      <w:jc w:val="distribute"/>
    </w:pPr>
  </w:style>
  <w:style w:type="paragraph" w:customStyle="1" w:styleId="af5">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6">
    <w:name w:val="甲乙丙"/>
    <w:basedOn w:val="a"/>
    <w:rsid w:val="002357ED"/>
    <w:pPr>
      <w:spacing w:after="360" w:line="360" w:lineRule="auto"/>
      <w:jc w:val="center"/>
    </w:pPr>
    <w:rPr>
      <w:rFonts w:ascii="標楷體" w:eastAsia="標楷體"/>
      <w:b/>
      <w:spacing w:val="-10"/>
      <w:sz w:val="40"/>
      <w:szCs w:val="20"/>
    </w:rPr>
  </w:style>
  <w:style w:type="table" w:styleId="af7">
    <w:name w:val="Table Grid"/>
    <w:aliases w:val="表格細,表格規格"/>
    <w:basedOn w:val="a1"/>
    <w:uiPriority w:val="39"/>
    <w:qFormat/>
    <w:rsid w:val="00DC33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semiHidden/>
    <w:rsid w:val="00583BBF"/>
    <w:rPr>
      <w:rFonts w:ascii="Arial" w:hAnsi="Arial"/>
      <w:sz w:val="18"/>
      <w:szCs w:val="18"/>
    </w:rPr>
  </w:style>
  <w:style w:type="paragraph" w:customStyle="1" w:styleId="-A">
    <w:name w:val="註-A"/>
    <w:basedOn w:val="ae"/>
    <w:rsid w:val="00970228"/>
    <w:pPr>
      <w:spacing w:line="240" w:lineRule="exact"/>
      <w:ind w:leftChars="0" w:left="806" w:hanging="403"/>
    </w:pPr>
    <w:rPr>
      <w:sz w:val="20"/>
    </w:rPr>
  </w:style>
  <w:style w:type="character" w:customStyle="1" w:styleId="20">
    <w:name w:val="標題 2 字元"/>
    <w:link w:val="2"/>
    <w:uiPriority w:val="9"/>
    <w:semiHidden/>
    <w:rsid w:val="00EF54D5"/>
    <w:rPr>
      <w:rFonts w:ascii="Cambria" w:eastAsia="新細明體" w:hAnsi="Cambria" w:cs="Times New Roman"/>
      <w:b/>
      <w:bCs/>
      <w:kern w:val="2"/>
      <w:sz w:val="48"/>
      <w:szCs w:val="48"/>
    </w:rPr>
  </w:style>
  <w:style w:type="paragraph" w:customStyle="1" w:styleId="13">
    <w:name w:val="字元 字元1 字元 字元 字元 字元 字元 字元"/>
    <w:basedOn w:val="a"/>
    <w:rsid w:val="00EF54D5"/>
    <w:pPr>
      <w:widowControl/>
      <w:spacing w:after="160" w:line="240" w:lineRule="exact"/>
    </w:pPr>
    <w:rPr>
      <w:rFonts w:ascii="Verdana" w:hAnsi="Verdana"/>
      <w:kern w:val="0"/>
      <w:sz w:val="20"/>
      <w:szCs w:val="20"/>
      <w:lang w:eastAsia="en-US"/>
    </w:rPr>
  </w:style>
  <w:style w:type="character" w:customStyle="1" w:styleId="a8">
    <w:name w:val="頁尾 字元"/>
    <w:link w:val="a7"/>
    <w:uiPriority w:val="99"/>
    <w:rsid w:val="003819A6"/>
    <w:rPr>
      <w:kern w:val="2"/>
    </w:rPr>
  </w:style>
  <w:style w:type="paragraph" w:customStyle="1" w:styleId="Default">
    <w:name w:val="Default"/>
    <w:rsid w:val="00430E87"/>
    <w:pPr>
      <w:widowControl w:val="0"/>
      <w:autoSpaceDE w:val="0"/>
      <w:autoSpaceDN w:val="0"/>
      <w:adjustRightInd w:val="0"/>
    </w:pPr>
    <w:rPr>
      <w:rFonts w:ascii="標楷體" w:eastAsia="標楷體" w:hAnsi="Calibri" w:cs="標楷體"/>
      <w:color w:val="000000"/>
      <w:sz w:val="24"/>
      <w:szCs w:val="24"/>
    </w:rPr>
  </w:style>
  <w:style w:type="paragraph" w:customStyle="1" w:styleId="af9">
    <w:name w:val="標題（一）"/>
    <w:basedOn w:val="a"/>
    <w:rsid w:val="00BA20E6"/>
    <w:pPr>
      <w:spacing w:beforeLines="20" w:before="20" w:afterLines="20" w:after="20" w:line="400" w:lineRule="exact"/>
      <w:ind w:firstLineChars="200" w:firstLine="200"/>
      <w:jc w:val="both"/>
    </w:pPr>
    <w:rPr>
      <w:rFonts w:eastAsia="標楷體" w:cs="新細明體"/>
      <w:b/>
      <w:bCs/>
      <w:sz w:val="28"/>
      <w:szCs w:val="28"/>
    </w:rPr>
  </w:style>
  <w:style w:type="character" w:styleId="afa">
    <w:name w:val="Strong"/>
    <w:basedOn w:val="a0"/>
    <w:uiPriority w:val="22"/>
    <w:qFormat/>
    <w:rsid w:val="005B2CFB"/>
    <w:rPr>
      <w:b/>
      <w:bCs/>
    </w:rPr>
  </w:style>
  <w:style w:type="paragraph" w:styleId="afb">
    <w:name w:val="List Paragraph"/>
    <w:basedOn w:val="a"/>
    <w:link w:val="afc"/>
    <w:uiPriority w:val="34"/>
    <w:qFormat/>
    <w:rsid w:val="00A129E0"/>
    <w:pPr>
      <w:ind w:leftChars="200" w:left="480"/>
    </w:pPr>
    <w:rPr>
      <w:rFonts w:ascii="Calibri" w:hAnsi="Calibri"/>
      <w:szCs w:val="22"/>
    </w:rPr>
  </w:style>
  <w:style w:type="character" w:customStyle="1" w:styleId="afc">
    <w:name w:val="清單段落 字元"/>
    <w:link w:val="afb"/>
    <w:uiPriority w:val="34"/>
    <w:locked/>
    <w:rsid w:val="00A129E0"/>
    <w:rPr>
      <w:rFonts w:ascii="Calibri" w:hAnsi="Calibri"/>
      <w:kern w:val="2"/>
      <w:sz w:val="24"/>
      <w:szCs w:val="22"/>
    </w:rPr>
  </w:style>
  <w:style w:type="paragraph" w:styleId="Web">
    <w:name w:val="Normal (Web)"/>
    <w:basedOn w:val="a"/>
    <w:uiPriority w:val="99"/>
    <w:semiHidden/>
    <w:unhideWhenUsed/>
    <w:rsid w:val="00F47F69"/>
    <w:pPr>
      <w:widowControl/>
      <w:spacing w:before="100" w:beforeAutospacing="1" w:after="100" w:afterAutospacing="1"/>
    </w:pPr>
    <w:rPr>
      <w:rFonts w:ascii="新細明體" w:hAnsi="新細明體" w:cs="新細明體"/>
      <w:kern w:val="0"/>
    </w:rPr>
  </w:style>
  <w:style w:type="table" w:customStyle="1" w:styleId="23">
    <w:name w:val="表格格線23"/>
    <w:basedOn w:val="a1"/>
    <w:next w:val="af7"/>
    <w:uiPriority w:val="39"/>
    <w:rsid w:val="006132C4"/>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7"/>
    <w:uiPriority w:val="39"/>
    <w:rsid w:val="00136127"/>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unhideWhenUsed/>
    <w:rsid w:val="00D86C6F"/>
    <w:rPr>
      <w:sz w:val="18"/>
      <w:szCs w:val="18"/>
    </w:rPr>
  </w:style>
  <w:style w:type="paragraph" w:styleId="afe">
    <w:name w:val="annotation text"/>
    <w:basedOn w:val="a"/>
    <w:link w:val="aff"/>
    <w:uiPriority w:val="99"/>
    <w:semiHidden/>
    <w:unhideWhenUsed/>
    <w:rsid w:val="00D86C6F"/>
  </w:style>
  <w:style w:type="character" w:customStyle="1" w:styleId="aff">
    <w:name w:val="註解文字 字元"/>
    <w:basedOn w:val="a0"/>
    <w:link w:val="afe"/>
    <w:uiPriority w:val="99"/>
    <w:semiHidden/>
    <w:rsid w:val="00D86C6F"/>
    <w:rPr>
      <w:kern w:val="2"/>
      <w:sz w:val="24"/>
      <w:szCs w:val="24"/>
    </w:rPr>
  </w:style>
  <w:style w:type="paragraph" w:styleId="aff0">
    <w:name w:val="annotation subject"/>
    <w:basedOn w:val="afe"/>
    <w:next w:val="afe"/>
    <w:link w:val="aff1"/>
    <w:uiPriority w:val="99"/>
    <w:semiHidden/>
    <w:unhideWhenUsed/>
    <w:rsid w:val="00D86C6F"/>
    <w:rPr>
      <w:b/>
      <w:bCs/>
    </w:rPr>
  </w:style>
  <w:style w:type="character" w:customStyle="1" w:styleId="aff1">
    <w:name w:val="註解主旨 字元"/>
    <w:basedOn w:val="aff"/>
    <w:link w:val="aff0"/>
    <w:uiPriority w:val="99"/>
    <w:semiHidden/>
    <w:rsid w:val="00D86C6F"/>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749338">
      <w:bodyDiv w:val="1"/>
      <w:marLeft w:val="0"/>
      <w:marRight w:val="0"/>
      <w:marTop w:val="0"/>
      <w:marBottom w:val="0"/>
      <w:divBdr>
        <w:top w:val="none" w:sz="0" w:space="0" w:color="auto"/>
        <w:left w:val="none" w:sz="0" w:space="0" w:color="auto"/>
        <w:bottom w:val="none" w:sz="0" w:space="0" w:color="auto"/>
        <w:right w:val="none" w:sz="0" w:space="0" w:color="auto"/>
      </w:divBdr>
    </w:div>
    <w:div w:id="1065640577">
      <w:bodyDiv w:val="1"/>
      <w:marLeft w:val="0"/>
      <w:marRight w:val="0"/>
      <w:marTop w:val="0"/>
      <w:marBottom w:val="0"/>
      <w:divBdr>
        <w:top w:val="none" w:sz="0" w:space="0" w:color="auto"/>
        <w:left w:val="none" w:sz="0" w:space="0" w:color="auto"/>
        <w:bottom w:val="none" w:sz="0" w:space="0" w:color="auto"/>
        <w:right w:val="none" w:sz="0" w:space="0" w:color="auto"/>
      </w:divBdr>
    </w:div>
    <w:div w:id="20488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0ACF8-5C23-4382-8DF6-4242DD87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13</Pages>
  <Words>10177</Words>
  <Characters>770</Characters>
  <Application>Microsoft Office Word</Application>
  <DocSecurity>0</DocSecurity>
  <Lines>6</Lines>
  <Paragraphs>21</Paragraphs>
  <ScaleCrop>false</ScaleCrop>
  <Company>Nao</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subject/>
  <dc:creator>Sta</dc:creator>
  <cp:keywords/>
  <cp:lastModifiedBy>蔡欣晏</cp:lastModifiedBy>
  <cp:revision>110</cp:revision>
  <cp:lastPrinted>2026-07-03T06:55:00Z</cp:lastPrinted>
  <dcterms:created xsi:type="dcterms:W3CDTF">2025-06-26T07:18:00Z</dcterms:created>
  <dcterms:modified xsi:type="dcterms:W3CDTF">2026-07-08T02:50:00Z</dcterms:modified>
</cp:coreProperties>
</file>