
<file path=[Content_Types].xml><?xml version="1.0" encoding="utf-8"?>
<Types xmlns="http://schemas.openxmlformats.org/package/2006/content-types">
  <Default Extension="png" ContentType="image/png"/>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charts/chart20.xml" ContentType="application/vnd.openxmlformats-officedocument.drawingml.chart+xml"/>
  <Override PartName="/word/charts/colors10.xml" ContentType="application/vnd.ms-office.chartcolorstyle+xml"/>
  <Override PartName="/word/charts/style10.xml" ContentType="application/vnd.ms-office.chartstyle+xml"/>
  <Override PartName="/word/theme/themeOverride10.xml" ContentType="application/vnd.openxmlformats-officedocument.themeOverride+xml"/>
  <Override PartName="/word/charts/colors20.xml" ContentType="application/vnd.ms-office.chartcolorstyle+xml"/>
  <Override PartName="/word/charts/style20.xml" ContentType="application/vnd.ms-office.chartstyle+xml"/>
  <Override PartName="/word/drawings/drawing10.xml" ContentType="application/vnd.openxmlformats-officedocument.drawingml.chartshap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E068" w14:textId="6453AD48" w:rsidR="0016264F" w:rsidRPr="00750DAB" w:rsidRDefault="0016264F" w:rsidP="008F2392">
      <w:pPr>
        <w:pStyle w:val="ae"/>
        <w:overflowPunct w:val="0"/>
        <w:spacing w:after="120" w:line="500" w:lineRule="exact"/>
      </w:pPr>
      <w:r w:rsidRPr="00750DAB">
        <w:rPr>
          <w:rFonts w:hint="eastAsia"/>
        </w:rPr>
        <w:t>陸、決算審核綜合成果</w:t>
      </w:r>
    </w:p>
    <w:p w14:paraId="6A0DDF47" w14:textId="267E7ECD" w:rsidR="0016264F" w:rsidRPr="00750DAB" w:rsidRDefault="0016264F" w:rsidP="003C76F0">
      <w:pPr>
        <w:overflowPunct w:val="0"/>
        <w:adjustRightInd w:val="0"/>
        <w:snapToGrid w:val="0"/>
        <w:spacing w:line="540" w:lineRule="exact"/>
        <w:ind w:firstLineChars="200" w:firstLine="560"/>
        <w:jc w:val="both"/>
        <w:rPr>
          <w:rFonts w:ascii="標楷體" w:hAnsi="標楷體"/>
          <w:sz w:val="28"/>
          <w:szCs w:val="28"/>
        </w:rPr>
      </w:pPr>
      <w:r w:rsidRPr="00750DAB">
        <w:rPr>
          <w:rFonts w:ascii="標楷體" w:hAnsi="標楷體" w:hint="eastAsia"/>
          <w:sz w:val="28"/>
          <w:szCs w:val="28"/>
        </w:rPr>
        <w:t>1</w:t>
      </w:r>
      <w:r w:rsidR="00026FE2" w:rsidRPr="00750DAB">
        <w:rPr>
          <w:rFonts w:ascii="標楷體" w:hAnsi="標楷體" w:hint="eastAsia"/>
          <w:sz w:val="28"/>
          <w:szCs w:val="28"/>
        </w:rPr>
        <w:t>1</w:t>
      </w:r>
      <w:r w:rsidR="00562871">
        <w:rPr>
          <w:rFonts w:ascii="標楷體" w:hAnsi="標楷體"/>
          <w:sz w:val="28"/>
          <w:szCs w:val="28"/>
        </w:rPr>
        <w:t>4</w:t>
      </w:r>
      <w:r w:rsidRPr="00750DAB">
        <w:rPr>
          <w:rFonts w:ascii="標楷體" w:hAnsi="標楷體" w:hint="eastAsia"/>
          <w:sz w:val="28"/>
          <w:szCs w:val="28"/>
        </w:rPr>
        <w:t>年度各國營事業營運情形，經本部審核結果，</w:t>
      </w:r>
      <w:r w:rsidR="00046B29" w:rsidRPr="00750DAB">
        <w:rPr>
          <w:rFonts w:ascii="標楷體" w:hAnsi="標楷體" w:hint="eastAsia"/>
          <w:sz w:val="28"/>
          <w:szCs w:val="28"/>
        </w:rPr>
        <w:t>茲就財務審計、績效審計及稽察違失之成果，摘其要者</w:t>
      </w:r>
      <w:r w:rsidRPr="00750DAB">
        <w:rPr>
          <w:rFonts w:ascii="標楷體" w:hAnsi="標楷體" w:hint="eastAsia"/>
          <w:sz w:val="28"/>
          <w:szCs w:val="28"/>
        </w:rPr>
        <w:t>，</w:t>
      </w:r>
      <w:r w:rsidR="00046B29" w:rsidRPr="00750DAB">
        <w:rPr>
          <w:rFonts w:ascii="標楷體" w:hAnsi="標楷體" w:hint="eastAsia"/>
          <w:sz w:val="28"/>
          <w:szCs w:val="28"/>
        </w:rPr>
        <w:t>綜合</w:t>
      </w:r>
      <w:r w:rsidRPr="00750DAB">
        <w:rPr>
          <w:rFonts w:ascii="標楷體" w:hAnsi="標楷體" w:hint="eastAsia"/>
          <w:sz w:val="28"/>
          <w:szCs w:val="28"/>
        </w:rPr>
        <w:t>分述如次：</w:t>
      </w:r>
    </w:p>
    <w:p w14:paraId="313B9D68" w14:textId="77777777" w:rsidR="0016264F" w:rsidRPr="00750DAB" w:rsidRDefault="0016264F" w:rsidP="008F2392">
      <w:pPr>
        <w:pStyle w:val="aff9"/>
        <w:tabs>
          <w:tab w:val="left" w:pos="3686"/>
          <w:tab w:val="left" w:pos="3828"/>
        </w:tabs>
        <w:overflowPunct w:val="0"/>
        <w:adjustRightInd w:val="0"/>
        <w:snapToGrid w:val="0"/>
        <w:spacing w:before="72" w:after="72" w:line="540" w:lineRule="exact"/>
        <w:ind w:leftChars="0" w:left="0" w:firstLineChars="100" w:firstLine="320"/>
        <w:rPr>
          <w:rFonts w:ascii="標楷體" w:hAnsi="標楷體"/>
          <w:b w:val="0"/>
          <w:spacing w:val="-2"/>
          <w:kern w:val="0"/>
        </w:rPr>
      </w:pPr>
      <w:r w:rsidRPr="00750DAB">
        <w:rPr>
          <w:rFonts w:ascii="標楷體" w:hAnsi="標楷體" w:hint="eastAsia"/>
          <w:kern w:val="0"/>
        </w:rPr>
        <w:t>一、財務審計成果</w:t>
      </w:r>
    </w:p>
    <w:p w14:paraId="571266DC" w14:textId="7989A10C" w:rsidR="0016264F" w:rsidRPr="00750DAB" w:rsidRDefault="0016264F" w:rsidP="003C76F0">
      <w:pPr>
        <w:overflowPunct w:val="0"/>
        <w:adjustRightInd w:val="0"/>
        <w:snapToGrid w:val="0"/>
        <w:spacing w:afterLines="50" w:after="180" w:line="500" w:lineRule="exact"/>
        <w:ind w:firstLineChars="202" w:firstLine="566"/>
        <w:jc w:val="both"/>
        <w:rPr>
          <w:rFonts w:ascii="標楷體" w:hAnsi="標楷體"/>
          <w:snapToGrid w:val="0"/>
          <w:kern w:val="0"/>
          <w:sz w:val="28"/>
          <w:szCs w:val="20"/>
        </w:rPr>
      </w:pPr>
      <w:r w:rsidRPr="00750DAB">
        <w:rPr>
          <w:rFonts w:ascii="標楷體" w:hAnsi="標楷體" w:hint="eastAsia"/>
          <w:snapToGrid w:val="0"/>
          <w:kern w:val="0"/>
          <w:sz w:val="28"/>
          <w:szCs w:val="20"/>
        </w:rPr>
        <w:t>1</w:t>
      </w:r>
      <w:r w:rsidR="00026FE2" w:rsidRPr="00750DAB">
        <w:rPr>
          <w:rFonts w:ascii="標楷體" w:hAnsi="標楷體" w:hint="eastAsia"/>
          <w:snapToGrid w:val="0"/>
          <w:kern w:val="0"/>
          <w:sz w:val="28"/>
          <w:szCs w:val="20"/>
        </w:rPr>
        <w:t>1</w:t>
      </w:r>
      <w:r w:rsidR="00562871">
        <w:rPr>
          <w:rFonts w:ascii="標楷體" w:hAnsi="標楷體"/>
          <w:snapToGrid w:val="0"/>
          <w:kern w:val="0"/>
          <w:sz w:val="28"/>
          <w:szCs w:val="20"/>
        </w:rPr>
        <w:t>4</w:t>
      </w:r>
      <w:r w:rsidRPr="00750DAB">
        <w:rPr>
          <w:rFonts w:ascii="標楷體" w:hAnsi="標楷體" w:hint="eastAsia"/>
          <w:snapToGrid w:val="0"/>
          <w:kern w:val="0"/>
          <w:sz w:val="28"/>
          <w:szCs w:val="20"/>
        </w:rPr>
        <w:t>年度國營事業決算所列營業收支，經本部審核結果，修正增列收入</w:t>
      </w:r>
      <w:r w:rsidR="00562871">
        <w:rPr>
          <w:rFonts w:ascii="標楷體" w:hAnsi="標楷體" w:hint="eastAsia"/>
          <w:snapToGrid w:val="0"/>
          <w:kern w:val="0"/>
          <w:sz w:val="28"/>
          <w:szCs w:val="20"/>
        </w:rPr>
        <w:t>2</w:t>
      </w:r>
      <w:r w:rsidR="00645EE1" w:rsidRPr="00750DAB">
        <w:rPr>
          <w:rFonts w:ascii="標楷體" w:hAnsi="標楷體" w:hint="eastAsia"/>
          <w:snapToGrid w:val="0"/>
          <w:kern w:val="0"/>
          <w:sz w:val="28"/>
          <w:szCs w:val="20"/>
        </w:rPr>
        <w:t>億2</w:t>
      </w:r>
      <w:r w:rsidR="006A0A83" w:rsidRPr="00750DAB">
        <w:rPr>
          <w:rFonts w:ascii="標楷體" w:hAnsi="標楷體"/>
          <w:snapToGrid w:val="0"/>
          <w:kern w:val="0"/>
          <w:sz w:val="28"/>
          <w:szCs w:val="20"/>
        </w:rPr>
        <w:t>,</w:t>
      </w:r>
      <w:r w:rsidR="00562871">
        <w:rPr>
          <w:rFonts w:ascii="標楷體" w:hAnsi="標楷體"/>
          <w:snapToGrid w:val="0"/>
          <w:kern w:val="0"/>
          <w:sz w:val="28"/>
          <w:szCs w:val="20"/>
        </w:rPr>
        <w:t>871</w:t>
      </w:r>
      <w:r w:rsidR="00A77A65" w:rsidRPr="00750DAB">
        <w:rPr>
          <w:rFonts w:ascii="標楷體" w:hAnsi="標楷體" w:hint="eastAsia"/>
          <w:snapToGrid w:val="0"/>
          <w:kern w:val="0"/>
          <w:sz w:val="28"/>
          <w:szCs w:val="20"/>
        </w:rPr>
        <w:t>萬</w:t>
      </w:r>
      <w:r w:rsidRPr="00750DAB">
        <w:rPr>
          <w:rFonts w:ascii="標楷體" w:hAnsi="標楷體" w:hint="eastAsia"/>
          <w:snapToGrid w:val="0"/>
          <w:kern w:val="0"/>
          <w:sz w:val="28"/>
          <w:szCs w:val="20"/>
        </w:rPr>
        <w:t>餘元、減列收入</w:t>
      </w:r>
      <w:r w:rsidR="00562871">
        <w:rPr>
          <w:rFonts w:ascii="標楷體" w:hAnsi="標楷體" w:hint="eastAsia"/>
          <w:snapToGrid w:val="0"/>
          <w:kern w:val="0"/>
          <w:sz w:val="28"/>
          <w:szCs w:val="20"/>
        </w:rPr>
        <w:t>6</w:t>
      </w:r>
      <w:r w:rsidR="00562871">
        <w:rPr>
          <w:rFonts w:ascii="標楷體" w:hAnsi="標楷體"/>
          <w:snapToGrid w:val="0"/>
          <w:kern w:val="0"/>
          <w:sz w:val="28"/>
          <w:szCs w:val="20"/>
        </w:rPr>
        <w:t>,557</w:t>
      </w:r>
      <w:r w:rsidR="003A6DA6" w:rsidRPr="00750DAB">
        <w:rPr>
          <w:rFonts w:ascii="標楷體" w:hAnsi="標楷體" w:hint="eastAsia"/>
          <w:snapToGrid w:val="0"/>
          <w:kern w:val="0"/>
          <w:sz w:val="28"/>
          <w:szCs w:val="20"/>
        </w:rPr>
        <w:t>萬</w:t>
      </w:r>
      <w:r w:rsidRPr="00750DAB">
        <w:rPr>
          <w:rFonts w:ascii="標楷體" w:hAnsi="標楷體" w:hint="eastAsia"/>
          <w:snapToGrid w:val="0"/>
          <w:kern w:val="0"/>
          <w:sz w:val="28"/>
          <w:szCs w:val="20"/>
        </w:rPr>
        <w:t>餘元，修正增列支出</w:t>
      </w:r>
      <w:r w:rsidR="00562871">
        <w:rPr>
          <w:rFonts w:ascii="標楷體" w:hAnsi="標楷體" w:hint="eastAsia"/>
          <w:snapToGrid w:val="0"/>
          <w:kern w:val="0"/>
          <w:sz w:val="28"/>
          <w:szCs w:val="20"/>
        </w:rPr>
        <w:t>1</w:t>
      </w:r>
      <w:r w:rsidR="00A77A65" w:rsidRPr="00750DAB">
        <w:rPr>
          <w:rFonts w:ascii="標楷體" w:hAnsi="標楷體" w:hint="eastAsia"/>
          <w:snapToGrid w:val="0"/>
          <w:kern w:val="0"/>
          <w:sz w:val="28"/>
          <w:szCs w:val="20"/>
        </w:rPr>
        <w:t>,</w:t>
      </w:r>
      <w:r w:rsidR="00562871">
        <w:rPr>
          <w:rFonts w:ascii="標楷體" w:hAnsi="標楷體"/>
          <w:snapToGrid w:val="0"/>
          <w:kern w:val="0"/>
          <w:sz w:val="28"/>
          <w:szCs w:val="20"/>
        </w:rPr>
        <w:t>194</w:t>
      </w:r>
      <w:r w:rsidR="00A77A65" w:rsidRPr="00750DAB">
        <w:rPr>
          <w:rFonts w:ascii="標楷體" w:hAnsi="標楷體" w:hint="eastAsia"/>
          <w:snapToGrid w:val="0"/>
          <w:kern w:val="0"/>
          <w:sz w:val="28"/>
          <w:szCs w:val="20"/>
        </w:rPr>
        <w:t>萬</w:t>
      </w:r>
      <w:r w:rsidRPr="00750DAB">
        <w:rPr>
          <w:rFonts w:ascii="標楷體" w:hAnsi="標楷體" w:hint="eastAsia"/>
          <w:snapToGrid w:val="0"/>
          <w:kern w:val="0"/>
          <w:sz w:val="28"/>
          <w:szCs w:val="20"/>
        </w:rPr>
        <w:t>餘元、減列支出</w:t>
      </w:r>
      <w:r w:rsidR="00562871">
        <w:rPr>
          <w:rFonts w:ascii="標楷體" w:hAnsi="標楷體" w:hint="eastAsia"/>
          <w:snapToGrid w:val="0"/>
          <w:kern w:val="0"/>
          <w:sz w:val="28"/>
          <w:szCs w:val="20"/>
        </w:rPr>
        <w:t>3</w:t>
      </w:r>
      <w:r w:rsidRPr="00750DAB">
        <w:rPr>
          <w:rFonts w:ascii="標楷體" w:hAnsi="標楷體" w:hint="eastAsia"/>
          <w:snapToGrid w:val="0"/>
          <w:kern w:val="0"/>
          <w:sz w:val="28"/>
          <w:szCs w:val="20"/>
        </w:rPr>
        <w:t>億</w:t>
      </w:r>
      <w:r w:rsidR="00562871">
        <w:rPr>
          <w:rFonts w:ascii="標楷體" w:hAnsi="標楷體" w:hint="eastAsia"/>
          <w:snapToGrid w:val="0"/>
          <w:kern w:val="0"/>
          <w:sz w:val="28"/>
          <w:szCs w:val="20"/>
        </w:rPr>
        <w:t>9</w:t>
      </w:r>
      <w:r w:rsidR="00C54FFC" w:rsidRPr="00750DAB">
        <w:rPr>
          <w:rFonts w:ascii="標楷體" w:hAnsi="標楷體"/>
          <w:snapToGrid w:val="0"/>
          <w:kern w:val="0"/>
          <w:sz w:val="28"/>
          <w:szCs w:val="20"/>
        </w:rPr>
        <w:t>,</w:t>
      </w:r>
      <w:r w:rsidR="00DB605D" w:rsidRPr="00750DAB">
        <w:rPr>
          <w:rFonts w:ascii="標楷體" w:hAnsi="標楷體" w:hint="eastAsia"/>
          <w:snapToGrid w:val="0"/>
          <w:kern w:val="0"/>
          <w:sz w:val="28"/>
          <w:szCs w:val="20"/>
        </w:rPr>
        <w:t>8</w:t>
      </w:r>
      <w:r w:rsidR="00562871">
        <w:rPr>
          <w:rFonts w:ascii="標楷體" w:hAnsi="標楷體"/>
          <w:snapToGrid w:val="0"/>
          <w:kern w:val="0"/>
          <w:sz w:val="28"/>
          <w:szCs w:val="20"/>
        </w:rPr>
        <w:t>28</w:t>
      </w:r>
      <w:r w:rsidR="00A77A65" w:rsidRPr="00750DAB">
        <w:rPr>
          <w:rFonts w:ascii="標楷體" w:hAnsi="標楷體" w:hint="eastAsia"/>
          <w:snapToGrid w:val="0"/>
          <w:kern w:val="0"/>
          <w:sz w:val="28"/>
          <w:szCs w:val="20"/>
        </w:rPr>
        <w:t>萬</w:t>
      </w:r>
      <w:r w:rsidRPr="00750DAB">
        <w:rPr>
          <w:rFonts w:ascii="標楷體" w:hAnsi="標楷體" w:hint="eastAsia"/>
          <w:snapToGrid w:val="0"/>
          <w:kern w:val="0"/>
          <w:sz w:val="28"/>
          <w:szCs w:val="20"/>
        </w:rPr>
        <w:t>餘元，綜計</w:t>
      </w:r>
      <w:r w:rsidR="00ED4260">
        <w:rPr>
          <w:rFonts w:ascii="標楷體" w:hAnsi="標楷體" w:hint="eastAsia"/>
          <w:snapToGrid w:val="0"/>
          <w:kern w:val="0"/>
          <w:sz w:val="28"/>
          <w:szCs w:val="20"/>
        </w:rPr>
        <w:t>增</w:t>
      </w:r>
      <w:r w:rsidRPr="00750DAB">
        <w:rPr>
          <w:rFonts w:ascii="標楷體" w:hAnsi="標楷體" w:hint="eastAsia"/>
          <w:snapToGrid w:val="0"/>
          <w:kern w:val="0"/>
          <w:sz w:val="28"/>
          <w:szCs w:val="20"/>
        </w:rPr>
        <w:t>列稅前淨</w:t>
      </w:r>
      <w:r w:rsidR="00D5723A" w:rsidRPr="00750DAB">
        <w:rPr>
          <w:rFonts w:ascii="標楷體" w:hAnsi="標楷體" w:hint="eastAsia"/>
          <w:snapToGrid w:val="0"/>
          <w:kern w:val="0"/>
          <w:sz w:val="28"/>
          <w:szCs w:val="20"/>
        </w:rPr>
        <w:t>利</w:t>
      </w:r>
      <w:r w:rsidR="00562871">
        <w:rPr>
          <w:rFonts w:ascii="標楷體" w:hAnsi="標楷體" w:hint="eastAsia"/>
          <w:snapToGrid w:val="0"/>
          <w:kern w:val="0"/>
          <w:sz w:val="28"/>
          <w:szCs w:val="20"/>
        </w:rPr>
        <w:t>5</w:t>
      </w:r>
      <w:r w:rsidR="00C54FFC" w:rsidRPr="00750DAB">
        <w:rPr>
          <w:rFonts w:ascii="標楷體" w:hAnsi="標楷體" w:hint="eastAsia"/>
          <w:snapToGrid w:val="0"/>
          <w:kern w:val="0"/>
          <w:sz w:val="28"/>
          <w:szCs w:val="20"/>
        </w:rPr>
        <w:t>億</w:t>
      </w:r>
      <w:r w:rsidR="00562871">
        <w:rPr>
          <w:rFonts w:ascii="標楷體" w:hAnsi="標楷體" w:hint="eastAsia"/>
          <w:snapToGrid w:val="0"/>
          <w:kern w:val="0"/>
          <w:sz w:val="28"/>
          <w:szCs w:val="20"/>
        </w:rPr>
        <w:t>4</w:t>
      </w:r>
      <w:r w:rsidR="00562871">
        <w:rPr>
          <w:rFonts w:ascii="標楷體" w:hAnsi="標楷體"/>
          <w:snapToGrid w:val="0"/>
          <w:kern w:val="0"/>
          <w:sz w:val="28"/>
          <w:szCs w:val="20"/>
        </w:rPr>
        <w:t>,949</w:t>
      </w:r>
      <w:r w:rsidR="00A77A65" w:rsidRPr="00750DAB">
        <w:rPr>
          <w:rFonts w:ascii="標楷體" w:hAnsi="標楷體" w:hint="eastAsia"/>
          <w:snapToGrid w:val="0"/>
          <w:kern w:val="0"/>
          <w:sz w:val="28"/>
          <w:szCs w:val="20"/>
        </w:rPr>
        <w:t>萬</w:t>
      </w:r>
      <w:r w:rsidRPr="00750DAB">
        <w:rPr>
          <w:rFonts w:ascii="標楷體" w:hAnsi="標楷體" w:hint="eastAsia"/>
          <w:snapToGrid w:val="0"/>
          <w:kern w:val="0"/>
          <w:sz w:val="28"/>
          <w:szCs w:val="20"/>
        </w:rPr>
        <w:t>餘元。1</w:t>
      </w:r>
      <w:r w:rsidR="005E7EFA" w:rsidRPr="00750DAB">
        <w:rPr>
          <w:rFonts w:ascii="標楷體" w:hAnsi="標楷體" w:hint="eastAsia"/>
          <w:snapToGrid w:val="0"/>
          <w:kern w:val="0"/>
          <w:sz w:val="28"/>
          <w:szCs w:val="20"/>
        </w:rPr>
        <w:t>1</w:t>
      </w:r>
      <w:r w:rsidR="00562871">
        <w:rPr>
          <w:rFonts w:ascii="標楷體" w:hAnsi="標楷體"/>
          <w:snapToGrid w:val="0"/>
          <w:kern w:val="0"/>
          <w:sz w:val="28"/>
          <w:szCs w:val="20"/>
        </w:rPr>
        <w:t>4</w:t>
      </w:r>
      <w:r w:rsidRPr="00750DAB">
        <w:rPr>
          <w:rFonts w:ascii="標楷體" w:hAnsi="標楷體" w:hint="eastAsia"/>
          <w:snapToGrid w:val="0"/>
          <w:kern w:val="0"/>
          <w:sz w:val="28"/>
          <w:szCs w:val="20"/>
        </w:rPr>
        <w:t>年度所有應行修正事項內容，詳</w:t>
      </w:r>
      <w:r w:rsidRPr="00750DAB">
        <w:rPr>
          <w:rFonts w:ascii="標楷體" w:hAnsi="標楷體" w:hint="eastAsia"/>
          <w:snapToGrid w:val="0"/>
          <w:kern w:val="0"/>
          <w:sz w:val="28"/>
          <w:szCs w:val="20"/>
          <w:lang w:eastAsia="zh-HK"/>
        </w:rPr>
        <w:t>丁</w:t>
      </w:r>
      <w:r w:rsidRPr="00750DAB">
        <w:rPr>
          <w:rFonts w:ascii="標楷體" w:hAnsi="標楷體" w:hint="eastAsia"/>
          <w:snapToGrid w:val="0"/>
          <w:kern w:val="0"/>
          <w:sz w:val="28"/>
          <w:szCs w:val="20"/>
        </w:rPr>
        <w:t>、拾</w:t>
      </w:r>
      <w:r w:rsidRPr="00750DAB">
        <w:rPr>
          <w:rFonts w:ascii="標楷體" w:hAnsi="標楷體" w:hint="eastAsia"/>
          <w:snapToGrid w:val="0"/>
          <w:kern w:val="0"/>
          <w:sz w:val="28"/>
          <w:szCs w:val="20"/>
          <w:lang w:eastAsia="zh-HK"/>
        </w:rPr>
        <w:t>柒</w:t>
      </w:r>
      <w:r w:rsidRPr="00750DAB">
        <w:rPr>
          <w:rFonts w:ascii="標楷體" w:hAnsi="標楷體" w:hint="eastAsia"/>
          <w:snapToGrid w:val="0"/>
          <w:kern w:val="0"/>
          <w:sz w:val="28"/>
          <w:szCs w:val="20"/>
        </w:rPr>
        <w:t>「修正事項明細表」。</w:t>
      </w:r>
    </w:p>
    <w:p w14:paraId="7800FC15" w14:textId="77777777" w:rsidR="0016264F" w:rsidRPr="00750DAB" w:rsidRDefault="0016264F" w:rsidP="00251B5E">
      <w:pPr>
        <w:pStyle w:val="aff9"/>
        <w:tabs>
          <w:tab w:val="left" w:pos="3686"/>
          <w:tab w:val="left" w:pos="3828"/>
        </w:tabs>
        <w:overflowPunct w:val="0"/>
        <w:adjustRightInd w:val="0"/>
        <w:snapToGrid w:val="0"/>
        <w:spacing w:before="72" w:after="72" w:line="480" w:lineRule="exact"/>
        <w:ind w:leftChars="0" w:left="0" w:firstLineChars="100" w:firstLine="320"/>
        <w:rPr>
          <w:rFonts w:ascii="標楷體" w:hAnsi="標楷體"/>
          <w:kern w:val="0"/>
        </w:rPr>
      </w:pPr>
      <w:r w:rsidRPr="00750DAB">
        <w:rPr>
          <w:rFonts w:ascii="標楷體" w:hAnsi="標楷體" w:hint="eastAsia"/>
          <w:kern w:val="0"/>
        </w:rPr>
        <w:t>二、績效審計成果</w:t>
      </w:r>
    </w:p>
    <w:p w14:paraId="58D39CA0" w14:textId="3845BC75" w:rsidR="00DE4F95" w:rsidRPr="00750DAB" w:rsidRDefault="00076795" w:rsidP="00251B5E">
      <w:pPr>
        <w:tabs>
          <w:tab w:val="left" w:pos="1560"/>
        </w:tabs>
        <w:overflowPunct w:val="0"/>
        <w:adjustRightInd w:val="0"/>
        <w:snapToGrid w:val="0"/>
        <w:spacing w:line="480" w:lineRule="exact"/>
        <w:ind w:firstLineChars="200" w:firstLine="561"/>
        <w:jc w:val="both"/>
        <w:rPr>
          <w:rFonts w:ascii="標楷體" w:hAnsi="標楷體"/>
          <w:b/>
          <w:sz w:val="28"/>
          <w:szCs w:val="28"/>
        </w:rPr>
      </w:pPr>
      <w:r w:rsidRPr="00750DAB">
        <w:rPr>
          <w:rFonts w:ascii="標楷體" w:hAnsi="標楷體" w:hint="eastAsia"/>
          <w:b/>
          <w:sz w:val="28"/>
          <w:szCs w:val="28"/>
        </w:rPr>
        <w:t>（</w:t>
      </w:r>
      <w:r w:rsidR="00DE4F95" w:rsidRPr="00750DAB">
        <w:rPr>
          <w:rFonts w:ascii="標楷體" w:hAnsi="標楷體" w:hint="eastAsia"/>
          <w:b/>
          <w:sz w:val="28"/>
          <w:szCs w:val="28"/>
        </w:rPr>
        <w:t>一</w:t>
      </w:r>
      <w:r w:rsidRPr="00750DAB">
        <w:rPr>
          <w:rFonts w:ascii="標楷體" w:hAnsi="標楷體" w:hint="eastAsia"/>
          <w:b/>
          <w:sz w:val="28"/>
          <w:szCs w:val="28"/>
        </w:rPr>
        <w:t>）</w:t>
      </w:r>
      <w:r w:rsidR="00D42D6E" w:rsidRPr="00750DAB">
        <w:rPr>
          <w:rFonts w:ascii="標楷體" w:hAnsi="標楷體"/>
          <w:b/>
          <w:sz w:val="28"/>
          <w:szCs w:val="28"/>
        </w:rPr>
        <w:t xml:space="preserve"> </w:t>
      </w:r>
      <w:r w:rsidR="00C26F44" w:rsidRPr="00750DAB">
        <w:rPr>
          <w:rFonts w:ascii="標楷體" w:hAnsi="標楷體"/>
          <w:b/>
          <w:sz w:val="28"/>
          <w:szCs w:val="28"/>
        </w:rPr>
        <w:t xml:space="preserve"> </w:t>
      </w:r>
      <w:r w:rsidR="00DE4F95" w:rsidRPr="00750DAB">
        <w:rPr>
          <w:rFonts w:ascii="標楷體" w:hAnsi="標楷體" w:hint="eastAsia"/>
          <w:b/>
          <w:sz w:val="28"/>
          <w:szCs w:val="28"/>
        </w:rPr>
        <w:t>增進財務效能之建議</w:t>
      </w:r>
    </w:p>
    <w:p w14:paraId="492C8EA6" w14:textId="5D9479D8" w:rsidR="00B96ABB" w:rsidRPr="00750DAB" w:rsidRDefault="00DE4F95" w:rsidP="003C76F0">
      <w:pPr>
        <w:overflowPunct w:val="0"/>
        <w:adjustRightInd w:val="0"/>
        <w:snapToGrid w:val="0"/>
        <w:spacing w:line="480" w:lineRule="exact"/>
        <w:ind w:firstLineChars="200" w:firstLine="560"/>
        <w:jc w:val="both"/>
        <w:rPr>
          <w:rFonts w:ascii="標楷體" w:hAnsi="標楷體"/>
          <w:sz w:val="28"/>
          <w:szCs w:val="28"/>
        </w:rPr>
      </w:pPr>
      <w:r w:rsidRPr="00750DAB">
        <w:rPr>
          <w:rFonts w:ascii="標楷體" w:hAnsi="標楷體" w:hint="eastAsia"/>
          <w:sz w:val="28"/>
          <w:szCs w:val="28"/>
        </w:rPr>
        <w:t>依審計法第70條及預算法第28條規定，審計機關於政府</w:t>
      </w:r>
      <w:r w:rsidR="00C864E1" w:rsidRPr="00750DAB">
        <w:rPr>
          <w:rFonts w:ascii="標楷體" w:hAnsi="標楷體" w:hint="eastAsia"/>
          <w:sz w:val="28"/>
          <w:szCs w:val="28"/>
        </w:rPr>
        <w:t>編</w:t>
      </w:r>
      <w:r w:rsidRPr="00750DAB">
        <w:rPr>
          <w:rFonts w:ascii="標楷體" w:hAnsi="標楷體" w:hint="eastAsia"/>
          <w:sz w:val="28"/>
          <w:szCs w:val="28"/>
        </w:rPr>
        <w:t>擬下年度概算前，應提供審核以前年度預算執行之有關資料，及對財務上增進效能與減少不經濟支出之建議意見，以供行政院作為決定下年度施政方針之參考。本部對行政院所提有關國營事業建議意見</w:t>
      </w:r>
      <w:r w:rsidR="008F04DB" w:rsidRPr="00750DAB">
        <w:rPr>
          <w:rFonts w:ascii="標楷體" w:hAnsi="標楷體" w:hint="eastAsia"/>
          <w:sz w:val="28"/>
          <w:szCs w:val="28"/>
        </w:rPr>
        <w:t>1項，係</w:t>
      </w:r>
      <w:r w:rsidR="0041302B" w:rsidRPr="0041302B">
        <w:rPr>
          <w:rFonts w:ascii="標楷體" w:hAnsi="標楷體" w:hint="eastAsia"/>
          <w:sz w:val="28"/>
          <w:szCs w:val="28"/>
        </w:rPr>
        <w:t>國營事業重大購建固定資產計畫執行，攸關國家經濟發展、人民生活品質與事業經營績效，惟部分計畫因事前規劃與可行性評估作業未盡周延，致執行進度落後或面臨停辦風險，並衍生鉅額不經濟支出情事；又計畫完成後經濟效益仍有逾半數未達預期目標，甚逾回收年限仍未收回投資成本，允宜督促研謀善策，強化計畫評估、執行控管機制，俾確保計畫如期如質完成，並增進計畫經濟效益，帶動國家整體經濟發展</w:t>
      </w:r>
      <w:r w:rsidR="00847B70" w:rsidRPr="00750DAB">
        <w:rPr>
          <w:rFonts w:ascii="標楷體" w:hAnsi="標楷體" w:hint="eastAsia"/>
          <w:sz w:val="28"/>
          <w:szCs w:val="28"/>
        </w:rPr>
        <w:t>。</w:t>
      </w:r>
    </w:p>
    <w:p w14:paraId="1B071B2B" w14:textId="77777777" w:rsidR="0016264F" w:rsidRPr="00750DAB" w:rsidRDefault="00586345" w:rsidP="00251B5E">
      <w:pPr>
        <w:overflowPunct w:val="0"/>
        <w:adjustRightInd w:val="0"/>
        <w:snapToGrid w:val="0"/>
        <w:spacing w:line="480" w:lineRule="exact"/>
        <w:ind w:firstLineChars="200" w:firstLine="561"/>
        <w:jc w:val="both"/>
        <w:rPr>
          <w:rFonts w:ascii="標楷體" w:hAnsi="標楷體"/>
          <w:b/>
          <w:spacing w:val="4"/>
          <w:sz w:val="28"/>
          <w:szCs w:val="28"/>
        </w:rPr>
      </w:pPr>
      <w:r w:rsidRPr="00750DAB">
        <w:rPr>
          <w:rFonts w:ascii="標楷體" w:hAnsi="標楷體" w:hint="eastAsia"/>
          <w:b/>
          <w:sz w:val="28"/>
          <w:szCs w:val="28"/>
        </w:rPr>
        <w:t>（</w:t>
      </w:r>
      <w:r w:rsidR="008611ED" w:rsidRPr="00750DAB">
        <w:rPr>
          <w:rFonts w:ascii="標楷體" w:hAnsi="標楷體" w:hint="eastAsia"/>
          <w:b/>
          <w:sz w:val="28"/>
          <w:szCs w:val="28"/>
        </w:rPr>
        <w:t>二</w:t>
      </w:r>
      <w:r w:rsidRPr="00750DAB">
        <w:rPr>
          <w:rFonts w:ascii="標楷體" w:hAnsi="標楷體" w:hint="eastAsia"/>
          <w:b/>
          <w:sz w:val="28"/>
          <w:szCs w:val="28"/>
        </w:rPr>
        <w:t>）</w:t>
      </w:r>
      <w:r w:rsidR="00752E49" w:rsidRPr="00750DAB">
        <w:rPr>
          <w:rFonts w:ascii="標楷體" w:hAnsi="標楷體" w:hint="eastAsia"/>
          <w:b/>
          <w:sz w:val="28"/>
          <w:szCs w:val="28"/>
        </w:rPr>
        <w:t xml:space="preserve">　</w:t>
      </w:r>
      <w:r w:rsidR="0016264F" w:rsidRPr="00750DAB">
        <w:rPr>
          <w:rFonts w:ascii="標楷體" w:hAnsi="標楷體" w:hint="eastAsia"/>
          <w:b/>
          <w:sz w:val="28"/>
          <w:szCs w:val="28"/>
        </w:rPr>
        <w:t>未盡職責或效能過低事項之查報</w:t>
      </w:r>
    </w:p>
    <w:p w14:paraId="7AAA0CAC" w14:textId="19316A74" w:rsidR="0016264F" w:rsidRPr="00750DAB" w:rsidRDefault="0016264F" w:rsidP="003C76F0">
      <w:pPr>
        <w:overflowPunct w:val="0"/>
        <w:adjustRightInd w:val="0"/>
        <w:snapToGrid w:val="0"/>
        <w:spacing w:line="500" w:lineRule="exact"/>
        <w:ind w:firstLineChars="200" w:firstLine="560"/>
        <w:jc w:val="both"/>
        <w:rPr>
          <w:rFonts w:ascii="標楷體" w:hAnsi="標楷體"/>
          <w:sz w:val="28"/>
          <w:szCs w:val="28"/>
        </w:rPr>
      </w:pPr>
      <w:r w:rsidRPr="00750DAB">
        <w:rPr>
          <w:rFonts w:ascii="標楷體" w:hAnsi="標楷體" w:hint="eastAsia"/>
          <w:sz w:val="28"/>
          <w:szCs w:val="28"/>
        </w:rPr>
        <w:t>考核各國營事業營運績效，認為有未盡職責或效能過低情事，經於1</w:t>
      </w:r>
      <w:r w:rsidR="00BF4DCE" w:rsidRPr="00750DAB">
        <w:rPr>
          <w:rFonts w:ascii="標楷體" w:hAnsi="標楷體" w:hint="eastAsia"/>
          <w:sz w:val="28"/>
          <w:szCs w:val="28"/>
        </w:rPr>
        <w:t>1</w:t>
      </w:r>
      <w:r w:rsidR="005441A0">
        <w:rPr>
          <w:rFonts w:ascii="標楷體" w:hAnsi="標楷體"/>
          <w:sz w:val="28"/>
          <w:szCs w:val="28"/>
        </w:rPr>
        <w:t>4</w:t>
      </w:r>
      <w:r w:rsidRPr="00750DAB">
        <w:rPr>
          <w:rFonts w:ascii="標楷體" w:hAnsi="標楷體" w:hint="eastAsia"/>
          <w:sz w:val="28"/>
          <w:szCs w:val="28"/>
        </w:rPr>
        <w:t>年度依審計法第69條第1項前段規定通知其上級機關長官，並報告監察院者計</w:t>
      </w:r>
      <w:r w:rsidR="00FE7199">
        <w:rPr>
          <w:rFonts w:ascii="標楷體" w:hAnsi="標楷體" w:hint="eastAsia"/>
          <w:sz w:val="28"/>
          <w:szCs w:val="28"/>
        </w:rPr>
        <w:t>6</w:t>
      </w:r>
      <w:r w:rsidRPr="00750DAB">
        <w:rPr>
          <w:rFonts w:ascii="標楷體" w:hAnsi="標楷體" w:hint="eastAsia"/>
          <w:sz w:val="28"/>
          <w:szCs w:val="28"/>
        </w:rPr>
        <w:t>件</w:t>
      </w:r>
      <w:r w:rsidR="00771FCB" w:rsidRPr="00750DAB">
        <w:rPr>
          <w:rFonts w:ascii="標楷體" w:hAnsi="標楷體" w:hint="eastAsia"/>
          <w:sz w:val="28"/>
          <w:szCs w:val="28"/>
        </w:rPr>
        <w:t>（</w:t>
      </w:r>
      <w:r w:rsidRPr="00750DAB">
        <w:rPr>
          <w:rFonts w:ascii="標楷體" w:hAnsi="標楷體" w:hint="eastAsia"/>
          <w:sz w:val="28"/>
          <w:szCs w:val="28"/>
        </w:rPr>
        <w:t>陳報期間為1</w:t>
      </w:r>
      <w:r w:rsidR="0091407A" w:rsidRPr="00750DAB">
        <w:rPr>
          <w:rFonts w:ascii="標楷體" w:hAnsi="標楷體" w:hint="eastAsia"/>
          <w:sz w:val="28"/>
          <w:szCs w:val="28"/>
        </w:rPr>
        <w:t>1</w:t>
      </w:r>
      <w:r w:rsidR="005441A0">
        <w:rPr>
          <w:rFonts w:ascii="標楷體" w:hAnsi="標楷體"/>
          <w:sz w:val="28"/>
          <w:szCs w:val="28"/>
        </w:rPr>
        <w:t>4</w:t>
      </w:r>
      <w:r w:rsidRPr="00750DAB">
        <w:rPr>
          <w:rFonts w:ascii="標楷體" w:hAnsi="標楷體" w:hint="eastAsia"/>
          <w:sz w:val="28"/>
          <w:szCs w:val="28"/>
        </w:rPr>
        <w:t>年1月1日至12月31日</w:t>
      </w:r>
      <w:r w:rsidR="00771FCB" w:rsidRPr="00750DAB">
        <w:rPr>
          <w:rFonts w:ascii="標楷體" w:hAnsi="標楷體" w:hint="eastAsia"/>
          <w:sz w:val="28"/>
          <w:szCs w:val="28"/>
        </w:rPr>
        <w:t>）</w:t>
      </w:r>
      <w:r w:rsidR="00AC7C7D" w:rsidRPr="00750DAB">
        <w:rPr>
          <w:rFonts w:ascii="標楷體" w:hAnsi="標楷體" w:hint="eastAsia"/>
          <w:sz w:val="28"/>
          <w:szCs w:val="28"/>
        </w:rPr>
        <w:t>。茲分述如次</w:t>
      </w:r>
      <w:r w:rsidRPr="00750DAB">
        <w:rPr>
          <w:rFonts w:ascii="標楷體" w:hAnsi="標楷體" w:hint="eastAsia"/>
          <w:sz w:val="28"/>
          <w:szCs w:val="28"/>
        </w:rPr>
        <w:t>：</w:t>
      </w:r>
    </w:p>
    <w:p w14:paraId="4BAB3C96" w14:textId="772D0427" w:rsidR="00F31330" w:rsidRPr="00E17DB3" w:rsidRDefault="00F31330" w:rsidP="003C76F0">
      <w:pPr>
        <w:pStyle w:val="1"/>
        <w:kinsoku/>
        <w:autoSpaceDE/>
        <w:autoSpaceDN/>
        <w:spacing w:beforeLines="10" w:before="36" w:line="500" w:lineRule="exact"/>
        <w:ind w:firstLineChars="455" w:firstLine="1275"/>
        <w:rPr>
          <w:rFonts w:hAnsi="標楷體"/>
          <w:sz w:val="28"/>
          <w:szCs w:val="28"/>
        </w:rPr>
      </w:pPr>
      <w:r>
        <w:rPr>
          <w:rFonts w:hAnsi="標楷體"/>
          <w:b/>
          <w:sz w:val="28"/>
          <w:szCs w:val="28"/>
        </w:rPr>
        <w:t>1</w:t>
      </w:r>
      <w:r w:rsidRPr="00E17DB3">
        <w:rPr>
          <w:rFonts w:hAnsi="標楷體" w:hint="eastAsia"/>
          <w:b/>
          <w:sz w:val="28"/>
          <w:szCs w:val="28"/>
        </w:rPr>
        <w:t xml:space="preserve">.　</w:t>
      </w:r>
      <w:r w:rsidRPr="004F3E7C">
        <w:rPr>
          <w:rFonts w:hAnsi="標楷體" w:hint="eastAsia"/>
          <w:b/>
          <w:sz w:val="28"/>
          <w:szCs w:val="28"/>
        </w:rPr>
        <w:t>臺</w:t>
      </w:r>
      <w:r w:rsidRPr="00421843">
        <w:rPr>
          <w:rFonts w:hAnsi="標楷體" w:hint="eastAsia"/>
          <w:b/>
          <w:sz w:val="28"/>
          <w:szCs w:val="28"/>
        </w:rPr>
        <w:t>灣菸酒公司桃園印刷廠辦理凸版商標輪轉印刷系統生產作業</w:t>
      </w:r>
      <w:r w:rsidRPr="00E17DB3">
        <w:rPr>
          <w:rFonts w:hAnsi="標楷體" w:hint="eastAsia"/>
          <w:b/>
          <w:sz w:val="28"/>
          <w:szCs w:val="28"/>
        </w:rPr>
        <w:t>，</w:t>
      </w:r>
      <w:r w:rsidRPr="00421843">
        <w:rPr>
          <w:rFonts w:hAnsi="標楷體" w:hint="eastAsia"/>
          <w:sz w:val="28"/>
          <w:szCs w:val="28"/>
        </w:rPr>
        <w:t>設備購置總經費1,900萬元，核有辦理驗收作業未詳實記錄是否符合品質規範，且驗收合格後，未妥為調配新產線所需人力，即暫緩試製作業，復於疫情期間未因應國內防疫政策調整酒標研製之可行方案，逕長期擱置自黏式標貼開發作業，致該系統至112年</w:t>
      </w:r>
      <w:r w:rsidRPr="00421843">
        <w:rPr>
          <w:rFonts w:hAnsi="標楷體" w:hint="eastAsia"/>
          <w:sz w:val="28"/>
          <w:szCs w:val="28"/>
        </w:rPr>
        <w:lastRenderedPageBreak/>
        <w:t>1月始正式投產，距驗收合格已歷時4年餘，且投產後產能連年低落，未達設備購置預期效益；又未依內部控制制度規範，落實檢討該系統預期效益達成情形，該公司亦乏相關督導考核作為，任由系統購置後長期閒置且生產效能欠彰</w:t>
      </w:r>
      <w:r w:rsidRPr="00E17DB3">
        <w:rPr>
          <w:rFonts w:hAnsi="標楷體" w:hint="eastAsia"/>
          <w:spacing w:val="-3"/>
          <w:sz w:val="28"/>
          <w:szCs w:val="28"/>
        </w:rPr>
        <w:t>。</w:t>
      </w:r>
    </w:p>
    <w:p w14:paraId="034018EB" w14:textId="2152CE7B" w:rsidR="00F31330" w:rsidRPr="00E17DB3" w:rsidRDefault="00F31330" w:rsidP="003C76F0">
      <w:pPr>
        <w:pStyle w:val="1"/>
        <w:kinsoku/>
        <w:autoSpaceDE/>
        <w:autoSpaceDN/>
        <w:spacing w:line="460" w:lineRule="exact"/>
        <w:ind w:firstLineChars="455" w:firstLine="1275"/>
        <w:rPr>
          <w:rFonts w:hAnsi="標楷體"/>
          <w:sz w:val="28"/>
          <w:szCs w:val="28"/>
        </w:rPr>
      </w:pPr>
      <w:r>
        <w:rPr>
          <w:rFonts w:hAnsi="標楷體"/>
          <w:b/>
          <w:sz w:val="28"/>
          <w:szCs w:val="28"/>
        </w:rPr>
        <w:t>2</w:t>
      </w:r>
      <w:r w:rsidRPr="00E17DB3">
        <w:rPr>
          <w:rFonts w:hAnsi="標楷體" w:hint="eastAsia"/>
          <w:b/>
          <w:sz w:val="28"/>
          <w:szCs w:val="28"/>
        </w:rPr>
        <w:t xml:space="preserve">.　</w:t>
      </w:r>
      <w:r w:rsidRPr="004F3E7C">
        <w:rPr>
          <w:rFonts w:hAnsi="標楷體" w:hint="eastAsia"/>
          <w:b/>
          <w:sz w:val="28"/>
          <w:szCs w:val="28"/>
        </w:rPr>
        <w:t>臺</w:t>
      </w:r>
      <w:r w:rsidRPr="00153EBB">
        <w:rPr>
          <w:rFonts w:hAnsi="標楷體" w:hint="eastAsia"/>
          <w:b/>
          <w:sz w:val="28"/>
          <w:szCs w:val="28"/>
        </w:rPr>
        <w:t>灣菸酒公司及所屬竹南啤酒廠辦理「竹南製瓶場增設製瓶生產線」</w:t>
      </w:r>
      <w:r w:rsidRPr="00E17DB3">
        <w:rPr>
          <w:rFonts w:hAnsi="標楷體" w:hint="eastAsia"/>
          <w:b/>
          <w:sz w:val="28"/>
          <w:szCs w:val="28"/>
        </w:rPr>
        <w:t>，</w:t>
      </w:r>
      <w:r w:rsidRPr="00153EBB">
        <w:rPr>
          <w:rFonts w:hAnsi="標楷體" w:hint="eastAsia"/>
          <w:sz w:val="28"/>
          <w:szCs w:val="28"/>
        </w:rPr>
        <w:t>總經費4億6,400萬元，核有未依規定及審酌不利擴產之風險，妥為評估投資效益，即編列預算，又未詳實蒐集市場設備規格資訊，致須追加預算配合重建窯爐，亦未核實編列窯爐重建所需預算，經檢討變更原採購項目重新辦理招標，致耽延預算執行進度，且有不當減項發包情事；復未於採購契約明訂瓶支合格率驗收標準計算方式，及未按契約規範審查設計圖說、施作計畫書等，衍生履約爭議，影響預算執行效率；又未妥為因應製瓶場存有人力不足以負荷雙線生產之風險，致產線擴充後仍多以單線生產，未能充分運用設備產能，加以操作人員訓練不足，肇生設備毀損情事，且112及113年度瓶支平均生產良率僅約5成，低於產線擴充前之良率，致合格瓶支生產數量不增反減，生產成本較預計大幅增加</w:t>
      </w:r>
      <w:r w:rsidRPr="00E17DB3">
        <w:rPr>
          <w:rFonts w:hAnsi="標楷體" w:hint="eastAsia"/>
          <w:sz w:val="28"/>
          <w:szCs w:val="28"/>
        </w:rPr>
        <w:t>。</w:t>
      </w:r>
    </w:p>
    <w:p w14:paraId="4D089B5B" w14:textId="00C7FAF0" w:rsidR="00F31330" w:rsidRPr="00E17DB3" w:rsidRDefault="00F31330" w:rsidP="003C76F0">
      <w:pPr>
        <w:pStyle w:val="1"/>
        <w:kinsoku/>
        <w:autoSpaceDE/>
        <w:autoSpaceDN/>
        <w:spacing w:line="460" w:lineRule="exact"/>
        <w:ind w:firstLineChars="455" w:firstLine="1275"/>
        <w:rPr>
          <w:rFonts w:hAnsi="標楷體"/>
          <w:sz w:val="28"/>
          <w:szCs w:val="28"/>
        </w:rPr>
      </w:pPr>
      <w:r>
        <w:rPr>
          <w:rFonts w:hAnsi="標楷體"/>
          <w:b/>
          <w:sz w:val="28"/>
          <w:szCs w:val="28"/>
        </w:rPr>
        <w:t>3</w:t>
      </w:r>
      <w:r w:rsidRPr="00E17DB3">
        <w:rPr>
          <w:rFonts w:hAnsi="標楷體" w:hint="eastAsia"/>
          <w:b/>
          <w:sz w:val="28"/>
          <w:szCs w:val="28"/>
        </w:rPr>
        <w:t xml:space="preserve">.　</w:t>
      </w:r>
      <w:r w:rsidRPr="00387D7D">
        <w:rPr>
          <w:rFonts w:hAnsi="標楷體" w:hint="eastAsia"/>
          <w:b/>
          <w:sz w:val="28"/>
          <w:szCs w:val="28"/>
        </w:rPr>
        <w:t>台</w:t>
      </w:r>
      <w:r w:rsidRPr="00117DA7">
        <w:rPr>
          <w:rFonts w:hAnsi="標楷體" w:hint="eastAsia"/>
          <w:b/>
          <w:sz w:val="28"/>
          <w:szCs w:val="28"/>
        </w:rPr>
        <w:t>灣電力公司辦理綠能第一期計畫</w:t>
      </w:r>
      <w:r w:rsidRPr="00E17DB3">
        <w:rPr>
          <w:rFonts w:hAnsi="標楷體" w:hint="eastAsia"/>
          <w:b/>
          <w:sz w:val="28"/>
          <w:szCs w:val="28"/>
        </w:rPr>
        <w:t>，</w:t>
      </w:r>
      <w:r w:rsidRPr="00117DA7">
        <w:rPr>
          <w:rFonts w:hAnsi="標楷體" w:hint="eastAsia"/>
          <w:sz w:val="28"/>
          <w:szCs w:val="28"/>
        </w:rPr>
        <w:t>總經費91億6,220萬元，核有未依規定辦理12處短期可行廠址（裝置容量合計209.90MW）之選址評估，致部分案場取消辦理或縮減規模，裝置容量合計減少152.57MW，且造成已支出之前置工程經費425萬餘元未能發揮效益；又可行性報告盤點16處備選廠址（裝置容量合計546.20MW），倘短期可行廠址遇不可抗力等因素無法推動時，由備選廠址擇優更替，惟該16處備選場址因涉及生態開發等因素亦未能成案，無法及時填補裝置容量空缺</w:t>
      </w:r>
      <w:r w:rsidRPr="00E17DB3">
        <w:rPr>
          <w:rFonts w:hAnsi="標楷體" w:hint="eastAsia"/>
          <w:spacing w:val="-4"/>
          <w:sz w:val="28"/>
          <w:szCs w:val="28"/>
        </w:rPr>
        <w:t>。</w:t>
      </w:r>
    </w:p>
    <w:p w14:paraId="5E3CBD70" w14:textId="12F269C9" w:rsidR="00F31330" w:rsidRPr="00E17DB3" w:rsidRDefault="00F31330" w:rsidP="003C76F0">
      <w:pPr>
        <w:pStyle w:val="1"/>
        <w:kinsoku/>
        <w:autoSpaceDE/>
        <w:autoSpaceDN/>
        <w:spacing w:beforeLines="10" w:before="36" w:line="460" w:lineRule="exact"/>
        <w:ind w:firstLineChars="455" w:firstLine="1275"/>
        <w:rPr>
          <w:rFonts w:hAnsi="標楷體"/>
          <w:sz w:val="28"/>
          <w:szCs w:val="28"/>
        </w:rPr>
      </w:pPr>
      <w:r>
        <w:rPr>
          <w:rFonts w:hAnsi="標楷體"/>
          <w:b/>
          <w:sz w:val="28"/>
          <w:szCs w:val="28"/>
        </w:rPr>
        <w:t>4</w:t>
      </w:r>
      <w:r w:rsidRPr="00E17DB3">
        <w:rPr>
          <w:rFonts w:hAnsi="標楷體" w:hint="eastAsia"/>
          <w:b/>
          <w:sz w:val="28"/>
          <w:szCs w:val="28"/>
        </w:rPr>
        <w:t xml:space="preserve">.　</w:t>
      </w:r>
      <w:r w:rsidRPr="006C29FB">
        <w:rPr>
          <w:rFonts w:hAnsi="標楷體" w:hint="eastAsia"/>
          <w:b/>
          <w:sz w:val="28"/>
          <w:szCs w:val="28"/>
        </w:rPr>
        <w:t>台</w:t>
      </w:r>
      <w:r w:rsidRPr="00117DA7">
        <w:rPr>
          <w:rFonts w:hAnsi="標楷體" w:hint="eastAsia"/>
          <w:b/>
          <w:sz w:val="28"/>
          <w:szCs w:val="28"/>
        </w:rPr>
        <w:t>灣中油公司辦理「M11001煉製事業部大林廠增產0.3wt％超低硫燃料油及改質瀝青生產中心投資計畫」</w:t>
      </w:r>
      <w:r w:rsidRPr="00E17DB3">
        <w:rPr>
          <w:rFonts w:hAnsi="標楷體" w:hint="eastAsia"/>
          <w:b/>
          <w:sz w:val="28"/>
          <w:szCs w:val="28"/>
        </w:rPr>
        <w:t>，</w:t>
      </w:r>
      <w:r w:rsidRPr="00117DA7">
        <w:rPr>
          <w:rFonts w:hAnsi="標楷體" w:hint="eastAsia"/>
          <w:sz w:val="28"/>
          <w:szCs w:val="28"/>
        </w:rPr>
        <w:t>執行期程為110年7月至114年12月，總經費70億1,859萬餘元，核有開發規劃初始及計畫核定後，未審慎評估興建工場經費，暨審酌國內物價變動可能影響計畫執行效益之風險警訊，仍辦理工場基本設計之勞務採購案，終因須大幅增加總投資金額未符效益而停辦，致未能達成計畫目標，且已執行之基本設計費1億8,708萬餘元虛擲，形成不經濟支出；審議修正計畫初期，已存有面臨計畫停辦之風險，未積極辦理計畫繼續或停止進行之效益評估分析，且明知計畫投資金額須大幅增加仍辦理區外工程發包作業，區外工程施工期間亦未採納修正計畫審議會審議委員之預警意見，仍同意承商施作長達1年3個月餘始暫停施工，致已投資之損失高達9.68億元。</w:t>
      </w:r>
      <w:r w:rsidRPr="003B3679">
        <w:rPr>
          <w:rFonts w:hAnsi="標楷體" w:hint="eastAsia"/>
          <w:spacing w:val="-4"/>
          <w:sz w:val="28"/>
          <w:szCs w:val="28"/>
        </w:rPr>
        <w:t>（本案業經監察院糾正，截至115年</w:t>
      </w:r>
      <w:r w:rsidRPr="00A161E0">
        <w:rPr>
          <w:rFonts w:hAnsi="標楷體" w:hint="eastAsia"/>
          <w:spacing w:val="-4"/>
          <w:sz w:val="28"/>
          <w:szCs w:val="28"/>
        </w:rPr>
        <w:t>6月30日</w:t>
      </w:r>
      <w:r w:rsidRPr="003B3679">
        <w:rPr>
          <w:rFonts w:hAnsi="標楷體" w:hint="eastAsia"/>
          <w:spacing w:val="-4"/>
          <w:sz w:val="28"/>
          <w:szCs w:val="28"/>
        </w:rPr>
        <w:t>尚未刊登監察院公報）</w:t>
      </w:r>
    </w:p>
    <w:p w14:paraId="5B3C5830" w14:textId="7BF40FEC" w:rsidR="00F31330" w:rsidRPr="00E17DB3" w:rsidRDefault="00F31330" w:rsidP="00251B5E">
      <w:pPr>
        <w:pStyle w:val="1"/>
        <w:kinsoku/>
        <w:autoSpaceDE/>
        <w:autoSpaceDN/>
        <w:spacing w:line="480" w:lineRule="exact"/>
        <w:ind w:firstLineChars="455" w:firstLine="1275"/>
        <w:rPr>
          <w:rFonts w:hAnsi="標楷體"/>
          <w:sz w:val="28"/>
          <w:szCs w:val="28"/>
        </w:rPr>
      </w:pPr>
      <w:r>
        <w:rPr>
          <w:rFonts w:hAnsi="標楷體"/>
          <w:b/>
          <w:sz w:val="28"/>
          <w:szCs w:val="28"/>
        </w:rPr>
        <w:lastRenderedPageBreak/>
        <w:t>5</w:t>
      </w:r>
      <w:r w:rsidRPr="00E17DB3">
        <w:rPr>
          <w:rFonts w:hAnsi="標楷體" w:hint="eastAsia"/>
          <w:b/>
          <w:sz w:val="28"/>
          <w:szCs w:val="28"/>
        </w:rPr>
        <w:t xml:space="preserve">.　</w:t>
      </w:r>
      <w:r w:rsidRPr="002A1E8B">
        <w:rPr>
          <w:rFonts w:hAnsi="標楷體" w:hint="eastAsia"/>
          <w:b/>
          <w:sz w:val="28"/>
          <w:szCs w:val="28"/>
        </w:rPr>
        <w:t>臺灣鐵路公司辦理油料管理及污染防治作業</w:t>
      </w:r>
      <w:r w:rsidRPr="00E17DB3">
        <w:rPr>
          <w:rFonts w:hAnsi="標楷體" w:hint="eastAsia"/>
          <w:b/>
          <w:sz w:val="28"/>
          <w:szCs w:val="28"/>
        </w:rPr>
        <w:t>，</w:t>
      </w:r>
      <w:r w:rsidRPr="002A1E8B">
        <w:rPr>
          <w:rFonts w:hAnsi="標楷體" w:hint="eastAsia"/>
          <w:spacing w:val="2"/>
          <w:sz w:val="28"/>
          <w:szCs w:val="28"/>
        </w:rPr>
        <w:t>核有該公司臺北機</w:t>
      </w:r>
      <w:r w:rsidRPr="00D15371">
        <w:rPr>
          <w:rFonts w:hAnsi="標楷體" w:hint="eastAsia"/>
          <w:spacing w:val="2"/>
          <w:sz w:val="28"/>
          <w:szCs w:val="28"/>
        </w:rPr>
        <w:t>務段及花蓮機務段未妥善維護設施正常運作，且未確實辦理加油及油料管理作業，並落實污染防治工作，致油料洩漏污染週邊土壤及地下水，復未積極採取應變措施控制污染情形，任令污染持續惡化，致須花費鉅額公帑與冗長期程進行後續整治改善；該公司七堵機務段長期以油罐車替代油槽儲存柴油，亦未訂定消防防災計畫，且油罐車停放處所及外圍區劃與規定有悖，復乏</w:t>
      </w:r>
      <w:r w:rsidRPr="002A1E8B">
        <w:rPr>
          <w:rFonts w:hAnsi="標楷體" w:hint="eastAsia"/>
          <w:spacing w:val="2"/>
          <w:sz w:val="28"/>
          <w:szCs w:val="28"/>
        </w:rPr>
        <w:t>防污設施及進行定期巡查與環境監測等，致儲油設施長期處於不安全狀態，增加公共安全危害風險</w:t>
      </w:r>
      <w:r w:rsidRPr="00E17DB3">
        <w:rPr>
          <w:rFonts w:hAnsi="標楷體" w:hint="eastAsia"/>
          <w:spacing w:val="2"/>
          <w:sz w:val="28"/>
          <w:szCs w:val="28"/>
        </w:rPr>
        <w:t>。</w:t>
      </w:r>
    </w:p>
    <w:p w14:paraId="351015DC" w14:textId="062DEC62" w:rsidR="00F31330" w:rsidRPr="00E17DB3" w:rsidRDefault="00F31330" w:rsidP="00251B5E">
      <w:pPr>
        <w:pStyle w:val="1"/>
        <w:kinsoku/>
        <w:autoSpaceDE/>
        <w:autoSpaceDN/>
        <w:spacing w:line="480" w:lineRule="exact"/>
        <w:ind w:firstLineChars="455" w:firstLine="1275"/>
        <w:rPr>
          <w:rFonts w:hAnsi="標楷體"/>
          <w:sz w:val="28"/>
          <w:szCs w:val="28"/>
        </w:rPr>
      </w:pPr>
      <w:r>
        <w:rPr>
          <w:rFonts w:hAnsi="標楷體"/>
          <w:b/>
          <w:sz w:val="28"/>
          <w:szCs w:val="28"/>
        </w:rPr>
        <w:t>6</w:t>
      </w:r>
      <w:r w:rsidRPr="00E17DB3">
        <w:rPr>
          <w:rFonts w:hAnsi="標楷體" w:hint="eastAsia"/>
          <w:b/>
          <w:sz w:val="28"/>
          <w:szCs w:val="28"/>
        </w:rPr>
        <w:t xml:space="preserve">.　</w:t>
      </w:r>
      <w:r w:rsidRPr="00FA2D26">
        <w:rPr>
          <w:rFonts w:hAnsi="標楷體" w:hint="eastAsia"/>
          <w:b/>
          <w:sz w:val="28"/>
          <w:szCs w:val="28"/>
        </w:rPr>
        <w:t>臺灣鐵路公司辦理鐵路行車安全改善計畫</w:t>
      </w:r>
      <w:r w:rsidRPr="00E17DB3">
        <w:rPr>
          <w:rFonts w:hAnsi="標楷體" w:hint="eastAsia"/>
          <w:b/>
          <w:sz w:val="28"/>
          <w:szCs w:val="28"/>
        </w:rPr>
        <w:t>，</w:t>
      </w:r>
      <w:r w:rsidRPr="00FA2D26">
        <w:rPr>
          <w:rFonts w:hAnsi="標楷體" w:hint="eastAsia"/>
          <w:sz w:val="28"/>
          <w:szCs w:val="28"/>
        </w:rPr>
        <w:t>計畫總經費275億2,236萬元，核有計畫執行期間，多項子計畫內容大幅變動，多件工程減作或增作，且有先期規劃作業欠周，虛耗公帑785萬餘元未能發揮預算執行效益、實際執行結果與原計畫內容差異甚巨、計畫與工程執行延誤未能達成原訂目標等情事，致未能充分發揮整體計畫執行成效；整體計畫及多項子計畫之經費執行情形未如預期，且有未依行政院所屬各機關個案計畫管制評核作業要點規定督促主辦單位確實檢討計畫及工程執行落後原委，研提具體因應對策，並由管考單位提出管考建議，又對於執行逾計畫期限，亦未依行政院所屬各機關中長程個案計畫編審要點規定辦理修正計畫，肇致原訂計畫目標未能充分達成</w:t>
      </w:r>
      <w:r w:rsidRPr="00E17DB3">
        <w:rPr>
          <w:rFonts w:hAnsi="標楷體" w:hint="eastAsia"/>
          <w:spacing w:val="-3"/>
          <w:sz w:val="28"/>
          <w:szCs w:val="28"/>
        </w:rPr>
        <w:t>。</w:t>
      </w:r>
    </w:p>
    <w:p w14:paraId="2696FF0D" w14:textId="610A307C" w:rsidR="000E4AF0" w:rsidRPr="00750DAB" w:rsidRDefault="0016264F" w:rsidP="00251B5E">
      <w:pPr>
        <w:overflowPunct w:val="0"/>
        <w:adjustRightInd w:val="0"/>
        <w:snapToGrid w:val="0"/>
        <w:spacing w:line="480" w:lineRule="exact"/>
        <w:ind w:firstLineChars="200" w:firstLine="560"/>
        <w:jc w:val="both"/>
        <w:rPr>
          <w:rFonts w:ascii="標楷體" w:hAnsi="標楷體"/>
          <w:sz w:val="28"/>
          <w:szCs w:val="28"/>
        </w:rPr>
      </w:pPr>
      <w:r w:rsidRPr="00750DAB">
        <w:rPr>
          <w:rFonts w:ascii="標楷體" w:hAnsi="標楷體" w:hint="eastAsia"/>
          <w:sz w:val="28"/>
          <w:szCs w:val="28"/>
        </w:rPr>
        <w:t>另本部於審核報告審編期間（1</w:t>
      </w:r>
      <w:r w:rsidR="00643EED" w:rsidRPr="00750DAB">
        <w:rPr>
          <w:rFonts w:ascii="標楷體" w:hAnsi="標楷體" w:hint="eastAsia"/>
          <w:sz w:val="28"/>
          <w:szCs w:val="28"/>
        </w:rPr>
        <w:t>1</w:t>
      </w:r>
      <w:r w:rsidR="00F31330">
        <w:rPr>
          <w:rFonts w:ascii="標楷體" w:hAnsi="標楷體"/>
          <w:sz w:val="28"/>
          <w:szCs w:val="28"/>
        </w:rPr>
        <w:t>5</w:t>
      </w:r>
      <w:r w:rsidRPr="00750DAB">
        <w:rPr>
          <w:rFonts w:ascii="標楷體" w:hAnsi="標楷體" w:hint="eastAsia"/>
          <w:sz w:val="28"/>
          <w:szCs w:val="28"/>
        </w:rPr>
        <w:t>年1月1日至6月30日）依法報告監察院者，計有</w:t>
      </w:r>
      <w:r w:rsidR="008157D4" w:rsidRPr="00750DAB">
        <w:rPr>
          <w:rFonts w:ascii="標楷體" w:hAnsi="標楷體" w:hint="eastAsia"/>
          <w:sz w:val="28"/>
          <w:szCs w:val="28"/>
        </w:rPr>
        <w:t>下列</w:t>
      </w:r>
      <w:r w:rsidR="00F31330">
        <w:rPr>
          <w:rFonts w:ascii="標楷體" w:hAnsi="標楷體" w:hint="eastAsia"/>
          <w:sz w:val="28"/>
          <w:szCs w:val="28"/>
        </w:rPr>
        <w:t>8</w:t>
      </w:r>
      <w:r w:rsidRPr="00750DAB">
        <w:rPr>
          <w:rFonts w:ascii="標楷體" w:hAnsi="標楷體" w:hint="eastAsia"/>
          <w:sz w:val="28"/>
          <w:szCs w:val="28"/>
        </w:rPr>
        <w:t>件</w:t>
      </w:r>
      <w:r w:rsidR="00586345" w:rsidRPr="00750DAB">
        <w:rPr>
          <w:rFonts w:ascii="標楷體" w:hAnsi="標楷體" w:hint="eastAsia"/>
          <w:sz w:val="28"/>
          <w:szCs w:val="28"/>
        </w:rPr>
        <w:t>（</w:t>
      </w:r>
      <w:r w:rsidR="006B27AE" w:rsidRPr="00750DAB">
        <w:rPr>
          <w:rFonts w:ascii="標楷體" w:hAnsi="標楷體" w:hint="eastAsia"/>
          <w:sz w:val="28"/>
          <w:szCs w:val="28"/>
        </w:rPr>
        <w:t>表1</w:t>
      </w:r>
      <w:r w:rsidR="00586345" w:rsidRPr="00750DAB">
        <w:rPr>
          <w:rFonts w:ascii="標楷體" w:hAnsi="標楷體" w:hint="eastAsia"/>
          <w:sz w:val="28"/>
          <w:szCs w:val="28"/>
        </w:rPr>
        <w:t>）</w:t>
      </w:r>
      <w:r w:rsidR="006B27AE" w:rsidRPr="00750DAB">
        <w:rPr>
          <w:rFonts w:ascii="標楷體" w:hAnsi="標楷體" w:hint="eastAsia"/>
          <w:sz w:val="28"/>
          <w:szCs w:val="28"/>
        </w:rPr>
        <w:t>：</w:t>
      </w:r>
    </w:p>
    <w:p w14:paraId="09C34E26" w14:textId="268E59F1" w:rsidR="006B27AE" w:rsidRPr="00750DAB" w:rsidRDefault="006B27AE" w:rsidP="008F2392">
      <w:pPr>
        <w:overflowPunct w:val="0"/>
        <w:adjustRightInd w:val="0"/>
        <w:snapToGrid w:val="0"/>
        <w:spacing w:beforeLines="50" w:before="180" w:afterLines="50" w:after="180" w:line="520" w:lineRule="exact"/>
        <w:ind w:left="673" w:hangingChars="280" w:hanging="673"/>
        <w:jc w:val="center"/>
        <w:rPr>
          <w:rFonts w:ascii="標楷體" w:hAnsi="標楷體"/>
          <w:b/>
          <w:bCs/>
        </w:rPr>
      </w:pPr>
      <w:r w:rsidRPr="00750DAB">
        <w:rPr>
          <w:rFonts w:ascii="標楷體" w:hAnsi="標楷體" w:hint="eastAsia"/>
          <w:b/>
          <w:bCs/>
        </w:rPr>
        <w:t>表1</w:t>
      </w:r>
      <w:r w:rsidR="00396FF0" w:rsidRPr="00750DAB">
        <w:rPr>
          <w:rFonts w:ascii="標楷體" w:hAnsi="標楷體" w:hint="eastAsia"/>
          <w:b/>
          <w:bCs/>
        </w:rPr>
        <w:t xml:space="preserve">  </w:t>
      </w:r>
      <w:r w:rsidR="00046B29" w:rsidRPr="00750DAB">
        <w:rPr>
          <w:rFonts w:ascii="標楷體" w:hAnsi="標楷體" w:hint="eastAsia"/>
          <w:b/>
          <w:bCs/>
          <w:spacing w:val="-10"/>
        </w:rPr>
        <w:t>審計部於</w:t>
      </w:r>
      <w:r w:rsidRPr="00750DAB">
        <w:rPr>
          <w:rFonts w:ascii="標楷體" w:hAnsi="標楷體" w:hint="eastAsia"/>
          <w:b/>
          <w:bCs/>
          <w:spacing w:val="-10"/>
        </w:rPr>
        <w:t>11</w:t>
      </w:r>
      <w:r w:rsidR="00F31330">
        <w:rPr>
          <w:rFonts w:ascii="標楷體" w:hAnsi="標楷體"/>
          <w:b/>
          <w:bCs/>
          <w:spacing w:val="-10"/>
        </w:rPr>
        <w:t>5</w:t>
      </w:r>
      <w:r w:rsidR="00396FF0" w:rsidRPr="00750DAB">
        <w:rPr>
          <w:rFonts w:ascii="標楷體" w:hAnsi="標楷體" w:hint="eastAsia"/>
          <w:b/>
          <w:bCs/>
          <w:spacing w:val="-10"/>
        </w:rPr>
        <w:t>年</w:t>
      </w:r>
      <w:r w:rsidRPr="00750DAB">
        <w:rPr>
          <w:rFonts w:ascii="標楷體" w:hAnsi="標楷體" w:hint="eastAsia"/>
          <w:b/>
          <w:bCs/>
          <w:spacing w:val="-10"/>
        </w:rPr>
        <w:t>1月1日至6月30日</w:t>
      </w:r>
      <w:r w:rsidR="00396FF0" w:rsidRPr="00750DAB">
        <w:rPr>
          <w:rFonts w:ascii="標楷體" w:hAnsi="標楷體" w:hint="eastAsia"/>
          <w:b/>
          <w:bCs/>
          <w:spacing w:val="-10"/>
        </w:rPr>
        <w:t>依審計法第69條第1項前段規定報告監察院案件</w:t>
      </w:r>
    </w:p>
    <w:tbl>
      <w:tblPr>
        <w:tblStyle w:val="a9"/>
        <w:tblW w:w="10206"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779"/>
        <w:gridCol w:w="9427"/>
      </w:tblGrid>
      <w:tr w:rsidR="00750DAB" w:rsidRPr="00996E07" w14:paraId="2AE32EFB" w14:textId="77777777" w:rsidTr="00251B5E">
        <w:trPr>
          <w:trHeight w:val="567"/>
          <w:tblHeader/>
          <w:jc w:val="center"/>
        </w:trPr>
        <w:tc>
          <w:tcPr>
            <w:tcW w:w="779" w:type="dxa"/>
            <w:tcBorders>
              <w:bottom w:val="nil"/>
            </w:tcBorders>
            <w:shd w:val="clear" w:color="auto" w:fill="B4C6E7" w:themeFill="accent5" w:themeFillTint="66"/>
            <w:vAlign w:val="center"/>
          </w:tcPr>
          <w:p w14:paraId="2499B2AA" w14:textId="77777777" w:rsidR="006B27AE" w:rsidRPr="00996E07" w:rsidRDefault="006B27AE" w:rsidP="00ED4260">
            <w:pPr>
              <w:overflowPunct w:val="0"/>
              <w:spacing w:line="200" w:lineRule="exact"/>
              <w:jc w:val="center"/>
              <w:rPr>
                <w:rFonts w:ascii="標楷體" w:eastAsia="標楷體" w:hAnsi="標楷體"/>
                <w:b/>
                <w:bCs/>
              </w:rPr>
            </w:pPr>
            <w:r w:rsidRPr="00996E07">
              <w:rPr>
                <w:rFonts w:ascii="標楷體" w:eastAsia="標楷體" w:hAnsi="標楷體" w:hint="eastAsia"/>
                <w:b/>
                <w:bCs/>
              </w:rPr>
              <w:t>項次</w:t>
            </w:r>
          </w:p>
        </w:tc>
        <w:tc>
          <w:tcPr>
            <w:tcW w:w="9427" w:type="dxa"/>
            <w:tcBorders>
              <w:bottom w:val="nil"/>
            </w:tcBorders>
            <w:shd w:val="clear" w:color="auto" w:fill="B4C6E7" w:themeFill="accent5" w:themeFillTint="66"/>
            <w:vAlign w:val="center"/>
          </w:tcPr>
          <w:p w14:paraId="3767F9B4" w14:textId="77777777" w:rsidR="006B27AE" w:rsidRPr="00996E07" w:rsidRDefault="006B27AE" w:rsidP="00ED4260">
            <w:pPr>
              <w:overflowPunct w:val="0"/>
              <w:spacing w:line="200" w:lineRule="exact"/>
              <w:jc w:val="center"/>
              <w:rPr>
                <w:rFonts w:ascii="標楷體" w:eastAsia="標楷體" w:hAnsi="標楷體"/>
                <w:b/>
                <w:bCs/>
              </w:rPr>
            </w:pPr>
            <w:r w:rsidRPr="00996E07">
              <w:rPr>
                <w:rFonts w:ascii="標楷體" w:eastAsia="標楷體" w:hAnsi="標楷體" w:hint="eastAsia"/>
                <w:b/>
                <w:bCs/>
              </w:rPr>
              <w:t>案</w:t>
            </w:r>
            <w:r w:rsidR="00333219" w:rsidRPr="00996E07">
              <w:rPr>
                <w:rFonts w:ascii="標楷體" w:eastAsia="標楷體" w:hAnsi="標楷體" w:hint="eastAsia"/>
                <w:b/>
                <w:bCs/>
              </w:rPr>
              <w:t xml:space="preserve">                 </w:t>
            </w:r>
            <w:r w:rsidRPr="00996E07">
              <w:rPr>
                <w:rFonts w:ascii="標楷體" w:eastAsia="標楷體" w:hAnsi="標楷體" w:hint="eastAsia"/>
                <w:b/>
                <w:bCs/>
              </w:rPr>
              <w:t>名</w:t>
            </w:r>
          </w:p>
        </w:tc>
      </w:tr>
      <w:tr w:rsidR="00F31330" w:rsidRPr="00996E07" w14:paraId="3237286C" w14:textId="77777777" w:rsidTr="003C76F0">
        <w:trPr>
          <w:trHeight w:val="482"/>
          <w:jc w:val="center"/>
        </w:trPr>
        <w:tc>
          <w:tcPr>
            <w:tcW w:w="779" w:type="dxa"/>
            <w:vAlign w:val="center"/>
          </w:tcPr>
          <w:p w14:paraId="688E1CB0" w14:textId="34AAA2A7" w:rsidR="00F31330" w:rsidRPr="00996E07" w:rsidRDefault="00F31330" w:rsidP="00996E07">
            <w:pPr>
              <w:overflowPunct w:val="0"/>
              <w:spacing w:line="300" w:lineRule="exact"/>
              <w:jc w:val="center"/>
              <w:rPr>
                <w:rFonts w:ascii="標楷體" w:eastAsia="標楷體" w:hAnsi="標楷體"/>
                <w:bCs/>
              </w:rPr>
            </w:pPr>
            <w:r w:rsidRPr="00996E07">
              <w:rPr>
                <w:rFonts w:ascii="標楷體" w:eastAsia="標楷體" w:hAnsi="標楷體" w:hint="eastAsia"/>
                <w:bCs/>
              </w:rPr>
              <w:t>1</w:t>
            </w:r>
          </w:p>
        </w:tc>
        <w:tc>
          <w:tcPr>
            <w:tcW w:w="9427" w:type="dxa"/>
            <w:vAlign w:val="center"/>
          </w:tcPr>
          <w:p w14:paraId="2EEF6D0C" w14:textId="18E824FE" w:rsidR="00F31330" w:rsidRPr="00996E07" w:rsidRDefault="00F31330" w:rsidP="00996E07">
            <w:pPr>
              <w:overflowPunct w:val="0"/>
              <w:spacing w:line="300" w:lineRule="exact"/>
              <w:jc w:val="both"/>
              <w:rPr>
                <w:rFonts w:ascii="標楷體" w:eastAsia="標楷體" w:hAnsi="標楷體"/>
                <w:bCs/>
              </w:rPr>
            </w:pPr>
            <w:r w:rsidRPr="00996E07">
              <w:rPr>
                <w:rFonts w:ascii="標楷體" w:eastAsia="標楷體" w:hAnsi="標楷體" w:hint="eastAsia"/>
                <w:bCs/>
              </w:rPr>
              <w:t>臺灣菸酒公司及所屬嘉義酒廠辦理速食麵製麵工場及調理包生產線作業情形。</w:t>
            </w:r>
          </w:p>
        </w:tc>
      </w:tr>
      <w:tr w:rsidR="00F31330" w:rsidRPr="00996E07" w14:paraId="0B0B11F5" w14:textId="77777777" w:rsidTr="003C76F0">
        <w:trPr>
          <w:trHeight w:val="482"/>
          <w:jc w:val="center"/>
        </w:trPr>
        <w:tc>
          <w:tcPr>
            <w:tcW w:w="779" w:type="dxa"/>
            <w:shd w:val="clear" w:color="auto" w:fill="D9E2F3" w:themeFill="accent5" w:themeFillTint="33"/>
            <w:vAlign w:val="center"/>
          </w:tcPr>
          <w:p w14:paraId="09168085" w14:textId="2A72BAAF" w:rsidR="00F31330" w:rsidRPr="00996E07" w:rsidRDefault="00F31330" w:rsidP="00996E07">
            <w:pPr>
              <w:overflowPunct w:val="0"/>
              <w:adjustRightInd w:val="0"/>
              <w:snapToGrid w:val="0"/>
              <w:spacing w:line="300" w:lineRule="exact"/>
              <w:jc w:val="center"/>
              <w:rPr>
                <w:rFonts w:ascii="標楷體" w:eastAsia="標楷體" w:hAnsi="標楷體"/>
                <w:bCs/>
              </w:rPr>
            </w:pPr>
            <w:r w:rsidRPr="00996E07">
              <w:rPr>
                <w:rFonts w:ascii="標楷體" w:eastAsia="標楷體" w:hAnsi="標楷體" w:hint="eastAsia"/>
                <w:bCs/>
              </w:rPr>
              <w:t>2</w:t>
            </w:r>
          </w:p>
        </w:tc>
        <w:tc>
          <w:tcPr>
            <w:tcW w:w="9427" w:type="dxa"/>
            <w:shd w:val="clear" w:color="auto" w:fill="D9E2F3" w:themeFill="accent5" w:themeFillTint="33"/>
            <w:vAlign w:val="center"/>
          </w:tcPr>
          <w:p w14:paraId="3F4D1428" w14:textId="1CDFD13C" w:rsidR="00F31330" w:rsidRPr="00996E07" w:rsidRDefault="00F31330" w:rsidP="00996E07">
            <w:pPr>
              <w:overflowPunct w:val="0"/>
              <w:adjustRightInd w:val="0"/>
              <w:snapToGrid w:val="0"/>
              <w:spacing w:line="300" w:lineRule="exact"/>
              <w:jc w:val="both"/>
              <w:rPr>
                <w:rFonts w:ascii="標楷體" w:eastAsia="標楷體" w:hAnsi="標楷體"/>
                <w:bCs/>
              </w:rPr>
            </w:pPr>
            <w:r w:rsidRPr="00996E07">
              <w:rPr>
                <w:rFonts w:ascii="標楷體" w:eastAsia="標楷體" w:hAnsi="標楷體" w:hint="eastAsia"/>
              </w:rPr>
              <w:t>臺灣菸酒公司及所屬菸廠推動加熱菸產品上市及增設產線執行情形。</w:t>
            </w:r>
          </w:p>
        </w:tc>
      </w:tr>
      <w:tr w:rsidR="00F31330" w:rsidRPr="00996E07" w14:paraId="476C7545" w14:textId="77777777" w:rsidTr="003C76F0">
        <w:trPr>
          <w:trHeight w:val="482"/>
          <w:jc w:val="center"/>
        </w:trPr>
        <w:tc>
          <w:tcPr>
            <w:tcW w:w="779" w:type="dxa"/>
            <w:vAlign w:val="center"/>
          </w:tcPr>
          <w:p w14:paraId="42BCAC29" w14:textId="0082B813" w:rsidR="00F31330" w:rsidRPr="00996E07" w:rsidRDefault="00F31330" w:rsidP="00996E07">
            <w:pPr>
              <w:overflowPunct w:val="0"/>
              <w:adjustRightInd w:val="0"/>
              <w:snapToGrid w:val="0"/>
              <w:spacing w:line="300" w:lineRule="exact"/>
              <w:jc w:val="center"/>
              <w:rPr>
                <w:rFonts w:ascii="標楷體" w:eastAsia="標楷體" w:hAnsi="標楷體"/>
                <w:bCs/>
              </w:rPr>
            </w:pPr>
            <w:r w:rsidRPr="00996E07">
              <w:rPr>
                <w:rFonts w:ascii="標楷體" w:eastAsia="標楷體" w:hAnsi="標楷體" w:hint="eastAsia"/>
                <w:bCs/>
              </w:rPr>
              <w:t>3</w:t>
            </w:r>
          </w:p>
        </w:tc>
        <w:tc>
          <w:tcPr>
            <w:tcW w:w="9427" w:type="dxa"/>
            <w:vAlign w:val="center"/>
          </w:tcPr>
          <w:p w14:paraId="5B2577A9" w14:textId="516A9DAC" w:rsidR="00F31330" w:rsidRPr="00996E07" w:rsidRDefault="00F31330" w:rsidP="00996E07">
            <w:pPr>
              <w:overflowPunct w:val="0"/>
              <w:adjustRightInd w:val="0"/>
              <w:snapToGrid w:val="0"/>
              <w:spacing w:line="300" w:lineRule="exact"/>
              <w:jc w:val="both"/>
              <w:rPr>
                <w:rFonts w:ascii="標楷體" w:eastAsia="標楷體" w:hAnsi="標楷體"/>
                <w:bCs/>
              </w:rPr>
            </w:pPr>
            <w:r w:rsidRPr="00996E07">
              <w:rPr>
                <w:rFonts w:ascii="標楷體" w:eastAsia="標楷體" w:hAnsi="標楷體" w:hint="eastAsia"/>
              </w:rPr>
              <w:t>台灣電力公司辦理松湖超高壓變電所新建工程執行情形。</w:t>
            </w:r>
          </w:p>
        </w:tc>
      </w:tr>
      <w:tr w:rsidR="00F31330" w:rsidRPr="00996E07" w14:paraId="640CA80D" w14:textId="77777777" w:rsidTr="003C76F0">
        <w:trPr>
          <w:trHeight w:val="482"/>
          <w:jc w:val="center"/>
        </w:trPr>
        <w:tc>
          <w:tcPr>
            <w:tcW w:w="779" w:type="dxa"/>
            <w:shd w:val="clear" w:color="auto" w:fill="D9E2F3" w:themeFill="accent5" w:themeFillTint="33"/>
            <w:vAlign w:val="center"/>
          </w:tcPr>
          <w:p w14:paraId="26DBC0F8" w14:textId="608A0EE6" w:rsidR="00F31330" w:rsidRPr="00996E07" w:rsidRDefault="00F31330" w:rsidP="00996E07">
            <w:pPr>
              <w:overflowPunct w:val="0"/>
              <w:adjustRightInd w:val="0"/>
              <w:snapToGrid w:val="0"/>
              <w:spacing w:line="300" w:lineRule="exact"/>
              <w:jc w:val="center"/>
              <w:rPr>
                <w:rFonts w:ascii="標楷體" w:eastAsia="標楷體" w:hAnsi="標楷體"/>
                <w:bCs/>
              </w:rPr>
            </w:pPr>
            <w:r w:rsidRPr="00996E07">
              <w:rPr>
                <w:rFonts w:ascii="標楷體" w:eastAsia="標楷體" w:hAnsi="標楷體" w:hint="eastAsia"/>
                <w:bCs/>
              </w:rPr>
              <w:t>4</w:t>
            </w:r>
          </w:p>
        </w:tc>
        <w:tc>
          <w:tcPr>
            <w:tcW w:w="9427" w:type="dxa"/>
            <w:shd w:val="clear" w:color="auto" w:fill="D9E2F3" w:themeFill="accent5" w:themeFillTint="33"/>
            <w:vAlign w:val="center"/>
          </w:tcPr>
          <w:p w14:paraId="5786A8F5" w14:textId="022FB624" w:rsidR="00F31330" w:rsidRPr="00996E07" w:rsidRDefault="00F31330" w:rsidP="00996E07">
            <w:pPr>
              <w:overflowPunct w:val="0"/>
              <w:adjustRightInd w:val="0"/>
              <w:snapToGrid w:val="0"/>
              <w:spacing w:line="300" w:lineRule="exact"/>
              <w:jc w:val="both"/>
              <w:rPr>
                <w:rFonts w:ascii="標楷體" w:eastAsia="標楷體" w:hAnsi="標楷體"/>
                <w:bCs/>
              </w:rPr>
            </w:pPr>
            <w:r w:rsidRPr="00996E07">
              <w:rPr>
                <w:rFonts w:ascii="標楷體" w:eastAsia="標楷體" w:hAnsi="標楷體" w:hint="eastAsia"/>
              </w:rPr>
              <w:t>台灣中油公司辦理天然氣事業部第三座液化天然氣接收站投資計畫（含第二期計畫）執行情形。</w:t>
            </w:r>
          </w:p>
        </w:tc>
      </w:tr>
      <w:tr w:rsidR="00F31330" w:rsidRPr="00996E07" w14:paraId="596090FB" w14:textId="77777777" w:rsidTr="003C76F0">
        <w:trPr>
          <w:trHeight w:val="482"/>
          <w:jc w:val="center"/>
        </w:trPr>
        <w:tc>
          <w:tcPr>
            <w:tcW w:w="779" w:type="dxa"/>
            <w:vAlign w:val="center"/>
          </w:tcPr>
          <w:p w14:paraId="5497EDE3" w14:textId="7C587C04" w:rsidR="00F31330" w:rsidRPr="00996E07" w:rsidRDefault="00F31330" w:rsidP="00996E07">
            <w:pPr>
              <w:overflowPunct w:val="0"/>
              <w:adjustRightInd w:val="0"/>
              <w:snapToGrid w:val="0"/>
              <w:spacing w:line="300" w:lineRule="exact"/>
              <w:jc w:val="center"/>
              <w:rPr>
                <w:rFonts w:ascii="標楷體" w:eastAsia="標楷體" w:hAnsi="標楷體"/>
                <w:bCs/>
              </w:rPr>
            </w:pPr>
            <w:r w:rsidRPr="00996E07">
              <w:rPr>
                <w:rFonts w:ascii="標楷體" w:eastAsia="標楷體" w:hAnsi="標楷體" w:hint="eastAsia"/>
                <w:bCs/>
              </w:rPr>
              <w:t>5</w:t>
            </w:r>
          </w:p>
        </w:tc>
        <w:tc>
          <w:tcPr>
            <w:tcW w:w="9427" w:type="dxa"/>
            <w:vAlign w:val="center"/>
          </w:tcPr>
          <w:p w14:paraId="638DFE45" w14:textId="7B6B30B5" w:rsidR="00F31330" w:rsidRPr="00996E07" w:rsidRDefault="00F31330" w:rsidP="00996E07">
            <w:pPr>
              <w:overflowPunct w:val="0"/>
              <w:adjustRightInd w:val="0"/>
              <w:snapToGrid w:val="0"/>
              <w:spacing w:line="300" w:lineRule="exact"/>
              <w:jc w:val="both"/>
              <w:rPr>
                <w:rFonts w:ascii="標楷體" w:eastAsia="標楷體" w:hAnsi="標楷體"/>
                <w:bCs/>
              </w:rPr>
            </w:pPr>
            <w:r w:rsidRPr="00996E07">
              <w:rPr>
                <w:rFonts w:ascii="標楷體" w:eastAsia="標楷體" w:hAnsi="標楷體" w:hint="eastAsia"/>
              </w:rPr>
              <w:t>台灣糖業公司辦理平地造林計畫、土地巡查及內部管控作業執行情形。</w:t>
            </w:r>
          </w:p>
        </w:tc>
      </w:tr>
      <w:tr w:rsidR="00F31330" w:rsidRPr="00996E07" w14:paraId="49B8C4D5" w14:textId="77777777" w:rsidTr="003C76F0">
        <w:trPr>
          <w:trHeight w:val="482"/>
          <w:jc w:val="center"/>
        </w:trPr>
        <w:tc>
          <w:tcPr>
            <w:tcW w:w="779" w:type="dxa"/>
            <w:shd w:val="clear" w:color="auto" w:fill="D9E2F3" w:themeFill="accent5" w:themeFillTint="33"/>
            <w:vAlign w:val="center"/>
          </w:tcPr>
          <w:p w14:paraId="2955B840" w14:textId="1B1D4F89" w:rsidR="00F31330" w:rsidRPr="00996E07" w:rsidRDefault="00F31330" w:rsidP="00996E07">
            <w:pPr>
              <w:overflowPunct w:val="0"/>
              <w:adjustRightInd w:val="0"/>
              <w:snapToGrid w:val="0"/>
              <w:spacing w:line="300" w:lineRule="exact"/>
              <w:jc w:val="center"/>
              <w:rPr>
                <w:rFonts w:ascii="標楷體" w:eastAsia="標楷體" w:hAnsi="標楷體"/>
                <w:bCs/>
              </w:rPr>
            </w:pPr>
            <w:r w:rsidRPr="00996E07">
              <w:rPr>
                <w:rFonts w:ascii="標楷體" w:eastAsia="標楷體" w:hAnsi="標楷體" w:hint="eastAsia"/>
                <w:bCs/>
              </w:rPr>
              <w:t>6</w:t>
            </w:r>
          </w:p>
        </w:tc>
        <w:tc>
          <w:tcPr>
            <w:tcW w:w="9427" w:type="dxa"/>
            <w:shd w:val="clear" w:color="auto" w:fill="D9E2F3" w:themeFill="accent5" w:themeFillTint="33"/>
            <w:vAlign w:val="center"/>
          </w:tcPr>
          <w:p w14:paraId="588A38FA" w14:textId="5A388159" w:rsidR="00F31330" w:rsidRPr="00996E07" w:rsidRDefault="00F31330" w:rsidP="00996E07">
            <w:pPr>
              <w:overflowPunct w:val="0"/>
              <w:adjustRightInd w:val="0"/>
              <w:snapToGrid w:val="0"/>
              <w:spacing w:line="300" w:lineRule="exact"/>
              <w:jc w:val="both"/>
              <w:rPr>
                <w:rFonts w:ascii="標楷體" w:eastAsia="標楷體" w:hAnsi="標楷體"/>
                <w:bCs/>
              </w:rPr>
            </w:pPr>
            <w:r w:rsidRPr="00996E07">
              <w:rPr>
                <w:rFonts w:ascii="標楷體" w:eastAsia="標楷體" w:hAnsi="標楷體" w:hint="eastAsia"/>
              </w:rPr>
              <w:t>中華郵政公司推動郵政物流園區（機場捷運A7站）建置計畫執行情形。</w:t>
            </w:r>
          </w:p>
        </w:tc>
      </w:tr>
      <w:tr w:rsidR="00F31330" w:rsidRPr="00996E07" w14:paraId="7D6285FD" w14:textId="77777777" w:rsidTr="003C76F0">
        <w:trPr>
          <w:trHeight w:val="482"/>
          <w:jc w:val="center"/>
        </w:trPr>
        <w:tc>
          <w:tcPr>
            <w:tcW w:w="779" w:type="dxa"/>
            <w:vAlign w:val="center"/>
          </w:tcPr>
          <w:p w14:paraId="7B8F2CF9" w14:textId="5959468E" w:rsidR="00F31330" w:rsidRPr="00996E07" w:rsidRDefault="00F31330" w:rsidP="00996E07">
            <w:pPr>
              <w:overflowPunct w:val="0"/>
              <w:adjustRightInd w:val="0"/>
              <w:snapToGrid w:val="0"/>
              <w:spacing w:line="300" w:lineRule="exact"/>
              <w:jc w:val="center"/>
              <w:rPr>
                <w:rFonts w:ascii="標楷體" w:eastAsia="標楷體" w:hAnsi="標楷體"/>
                <w:bCs/>
              </w:rPr>
            </w:pPr>
            <w:r w:rsidRPr="00996E07">
              <w:rPr>
                <w:rFonts w:ascii="標楷體" w:eastAsia="標楷體" w:hAnsi="標楷體" w:hint="eastAsia"/>
                <w:bCs/>
              </w:rPr>
              <w:t>7</w:t>
            </w:r>
          </w:p>
        </w:tc>
        <w:tc>
          <w:tcPr>
            <w:tcW w:w="9427" w:type="dxa"/>
            <w:vAlign w:val="center"/>
          </w:tcPr>
          <w:p w14:paraId="3EBD408F" w14:textId="44C70BF9" w:rsidR="00F31330" w:rsidRPr="00996E07" w:rsidRDefault="00F31330" w:rsidP="00996E07">
            <w:pPr>
              <w:overflowPunct w:val="0"/>
              <w:adjustRightInd w:val="0"/>
              <w:snapToGrid w:val="0"/>
              <w:spacing w:line="300" w:lineRule="exact"/>
              <w:jc w:val="both"/>
              <w:rPr>
                <w:rFonts w:ascii="標楷體" w:eastAsia="標楷體" w:hAnsi="標楷體"/>
                <w:bCs/>
              </w:rPr>
            </w:pPr>
            <w:r w:rsidRPr="00996E07">
              <w:rPr>
                <w:rFonts w:ascii="標楷體" w:eastAsia="標楷體" w:hAnsi="標楷體" w:hint="eastAsia"/>
              </w:rPr>
              <w:t>臺銀人壽保險公司辦理理賠新系統作業平臺執行情形。</w:t>
            </w:r>
          </w:p>
        </w:tc>
      </w:tr>
      <w:tr w:rsidR="00F31330" w:rsidRPr="00996E07" w14:paraId="57B6D735" w14:textId="77777777" w:rsidTr="003C76F0">
        <w:trPr>
          <w:trHeight w:val="482"/>
          <w:jc w:val="center"/>
        </w:trPr>
        <w:tc>
          <w:tcPr>
            <w:tcW w:w="779" w:type="dxa"/>
            <w:shd w:val="clear" w:color="auto" w:fill="D9E2F3" w:themeFill="accent5" w:themeFillTint="33"/>
            <w:vAlign w:val="center"/>
          </w:tcPr>
          <w:p w14:paraId="1C0E81E0" w14:textId="50F4AE72" w:rsidR="00F31330" w:rsidRPr="00996E07" w:rsidRDefault="00F31330" w:rsidP="00996E07">
            <w:pPr>
              <w:overflowPunct w:val="0"/>
              <w:adjustRightInd w:val="0"/>
              <w:snapToGrid w:val="0"/>
              <w:spacing w:line="300" w:lineRule="exact"/>
              <w:jc w:val="center"/>
              <w:rPr>
                <w:rFonts w:ascii="標楷體" w:eastAsia="標楷體" w:hAnsi="標楷體"/>
                <w:bCs/>
              </w:rPr>
            </w:pPr>
            <w:r w:rsidRPr="00996E07">
              <w:rPr>
                <w:rFonts w:ascii="標楷體" w:eastAsia="標楷體" w:hAnsi="標楷體" w:hint="eastAsia"/>
                <w:bCs/>
              </w:rPr>
              <w:t>8</w:t>
            </w:r>
          </w:p>
        </w:tc>
        <w:tc>
          <w:tcPr>
            <w:tcW w:w="9427" w:type="dxa"/>
            <w:shd w:val="clear" w:color="auto" w:fill="D9E2F3" w:themeFill="accent5" w:themeFillTint="33"/>
            <w:vAlign w:val="center"/>
          </w:tcPr>
          <w:p w14:paraId="739935EE" w14:textId="232324BA" w:rsidR="00F31330" w:rsidRPr="00996E07" w:rsidRDefault="00F31330" w:rsidP="00996E07">
            <w:pPr>
              <w:overflowPunct w:val="0"/>
              <w:adjustRightInd w:val="0"/>
              <w:snapToGrid w:val="0"/>
              <w:spacing w:line="300" w:lineRule="exact"/>
              <w:jc w:val="both"/>
              <w:rPr>
                <w:rFonts w:ascii="標楷體" w:eastAsia="標楷體" w:hAnsi="標楷體"/>
                <w:bCs/>
              </w:rPr>
            </w:pPr>
            <w:r w:rsidRPr="00996E07">
              <w:rPr>
                <w:rFonts w:ascii="標楷體" w:eastAsia="標楷體" w:hAnsi="標楷體" w:hint="eastAsia"/>
              </w:rPr>
              <w:t>臺灣土地銀行公司辦理都市更新聯合貸款案情形。</w:t>
            </w:r>
          </w:p>
        </w:tc>
      </w:tr>
    </w:tbl>
    <w:p w14:paraId="68A6C6F2" w14:textId="77777777" w:rsidR="0016264F" w:rsidRPr="00750DAB" w:rsidRDefault="00586345" w:rsidP="008F2392">
      <w:pPr>
        <w:overflowPunct w:val="0"/>
        <w:adjustRightInd w:val="0"/>
        <w:snapToGrid w:val="0"/>
        <w:spacing w:line="580" w:lineRule="exact"/>
        <w:ind w:firstLineChars="200" w:firstLine="561"/>
        <w:jc w:val="both"/>
        <w:rPr>
          <w:rFonts w:ascii="標楷體" w:hAnsi="標楷體"/>
          <w:b/>
          <w:sz w:val="28"/>
          <w:szCs w:val="28"/>
        </w:rPr>
      </w:pPr>
      <w:r w:rsidRPr="00750DAB">
        <w:rPr>
          <w:rFonts w:ascii="標楷體" w:hAnsi="標楷體" w:hint="eastAsia"/>
          <w:b/>
          <w:sz w:val="28"/>
          <w:szCs w:val="28"/>
        </w:rPr>
        <w:lastRenderedPageBreak/>
        <w:t>（</w:t>
      </w:r>
      <w:r w:rsidR="00187D43" w:rsidRPr="00750DAB">
        <w:rPr>
          <w:rFonts w:ascii="標楷體" w:hAnsi="標楷體" w:hint="eastAsia"/>
          <w:b/>
          <w:sz w:val="28"/>
          <w:szCs w:val="28"/>
        </w:rPr>
        <w:t>三</w:t>
      </w:r>
      <w:r w:rsidRPr="00750DAB">
        <w:rPr>
          <w:rFonts w:ascii="標楷體" w:hAnsi="標楷體" w:hint="eastAsia"/>
          <w:b/>
          <w:sz w:val="28"/>
          <w:szCs w:val="28"/>
        </w:rPr>
        <w:t>）</w:t>
      </w:r>
      <w:r w:rsidR="00215656" w:rsidRPr="00750DAB">
        <w:rPr>
          <w:rFonts w:ascii="標楷體" w:hAnsi="標楷體" w:hint="eastAsia"/>
          <w:b/>
          <w:sz w:val="28"/>
          <w:szCs w:val="28"/>
        </w:rPr>
        <w:t xml:space="preserve">　</w:t>
      </w:r>
      <w:r w:rsidR="0016264F" w:rsidRPr="00750DAB">
        <w:rPr>
          <w:rFonts w:ascii="標楷體" w:hAnsi="標楷體" w:hint="eastAsia"/>
          <w:b/>
          <w:sz w:val="28"/>
          <w:szCs w:val="28"/>
        </w:rPr>
        <w:t>監督預算執行及考核財務效能之重要審核意見</w:t>
      </w:r>
    </w:p>
    <w:p w14:paraId="612B22FB" w14:textId="58CBEE61" w:rsidR="0016264F" w:rsidRPr="00750DAB" w:rsidRDefault="0016264F" w:rsidP="008F2392">
      <w:pPr>
        <w:overflowPunct w:val="0"/>
        <w:adjustRightInd w:val="0"/>
        <w:snapToGrid w:val="0"/>
        <w:spacing w:line="580" w:lineRule="exact"/>
        <w:ind w:firstLineChars="200" w:firstLine="560"/>
        <w:jc w:val="both"/>
        <w:rPr>
          <w:rFonts w:ascii="標楷體" w:hAnsi="標楷體"/>
          <w:snapToGrid w:val="0"/>
          <w:kern w:val="0"/>
          <w:sz w:val="28"/>
          <w:szCs w:val="28"/>
        </w:rPr>
      </w:pPr>
      <w:r w:rsidRPr="00750DAB">
        <w:rPr>
          <w:rFonts w:ascii="標楷體" w:hAnsi="標楷體" w:hint="eastAsia"/>
          <w:snapToGrid w:val="0"/>
          <w:kern w:val="0"/>
          <w:sz w:val="28"/>
          <w:szCs w:val="28"/>
        </w:rPr>
        <w:t>依審</w:t>
      </w:r>
      <w:r w:rsidRPr="00CD6AD3">
        <w:rPr>
          <w:rFonts w:ascii="標楷體" w:hAnsi="標楷體" w:hint="eastAsia"/>
          <w:snapToGrid w:val="0"/>
          <w:kern w:val="0"/>
          <w:sz w:val="28"/>
          <w:szCs w:val="28"/>
        </w:rPr>
        <w:t>計法規定監督各國營事業</w:t>
      </w:r>
      <w:r w:rsidR="008F04DB" w:rsidRPr="00CD6AD3">
        <w:rPr>
          <w:rFonts w:ascii="標楷體" w:hAnsi="標楷體" w:hint="eastAsia"/>
          <w:snapToGrid w:val="0"/>
          <w:kern w:val="0"/>
          <w:sz w:val="28"/>
          <w:szCs w:val="28"/>
        </w:rPr>
        <w:t>及行政法人等</w:t>
      </w:r>
      <w:r w:rsidRPr="00CD6AD3">
        <w:rPr>
          <w:rFonts w:ascii="標楷體" w:hAnsi="標楷體" w:hint="eastAsia"/>
          <w:snapToGrid w:val="0"/>
          <w:kern w:val="0"/>
          <w:sz w:val="28"/>
          <w:szCs w:val="28"/>
        </w:rPr>
        <w:t>預算執行及考核財務效能結果，提出審核意見於各該事業</w:t>
      </w:r>
      <w:r w:rsidR="008F04DB" w:rsidRPr="00CD6AD3">
        <w:rPr>
          <w:rFonts w:ascii="標楷體" w:hAnsi="標楷體" w:hint="eastAsia"/>
          <w:snapToGrid w:val="0"/>
          <w:kern w:val="0"/>
          <w:sz w:val="28"/>
          <w:szCs w:val="28"/>
        </w:rPr>
        <w:t>或法人</w:t>
      </w:r>
      <w:r w:rsidRPr="00CD6AD3">
        <w:rPr>
          <w:rFonts w:ascii="標楷體" w:hAnsi="標楷體" w:hint="eastAsia"/>
          <w:snapToGrid w:val="0"/>
          <w:kern w:val="0"/>
          <w:sz w:val="28"/>
          <w:szCs w:val="28"/>
        </w:rPr>
        <w:t>改進，擇其重要列入本報告有關章節者，</w:t>
      </w:r>
      <w:r w:rsidRPr="00CD6AD3">
        <w:rPr>
          <w:rFonts w:ascii="標楷體" w:hAnsi="標楷體" w:hint="eastAsia"/>
          <w:kern w:val="0"/>
          <w:sz w:val="28"/>
          <w:szCs w:val="28"/>
        </w:rPr>
        <w:t>共6類</w:t>
      </w:r>
      <w:r w:rsidR="009847A2" w:rsidRPr="00CD6AD3">
        <w:rPr>
          <w:rFonts w:ascii="標楷體" w:hAnsi="標楷體" w:hint="eastAsia"/>
          <w:snapToGrid w:val="0"/>
          <w:kern w:val="0"/>
          <w:sz w:val="28"/>
          <w:szCs w:val="28"/>
        </w:rPr>
        <w:t>1</w:t>
      </w:r>
      <w:r w:rsidR="002B6977" w:rsidRPr="00CD6AD3">
        <w:rPr>
          <w:rFonts w:ascii="標楷體" w:hAnsi="標楷體"/>
          <w:snapToGrid w:val="0"/>
          <w:kern w:val="0"/>
          <w:sz w:val="28"/>
          <w:szCs w:val="28"/>
        </w:rPr>
        <w:t>4</w:t>
      </w:r>
      <w:r w:rsidR="0087088B">
        <w:rPr>
          <w:rFonts w:ascii="標楷體" w:hAnsi="標楷體"/>
          <w:snapToGrid w:val="0"/>
          <w:kern w:val="0"/>
          <w:sz w:val="28"/>
          <w:szCs w:val="28"/>
        </w:rPr>
        <w:t>7</w:t>
      </w:r>
      <w:r w:rsidRPr="00CD6AD3">
        <w:rPr>
          <w:rFonts w:ascii="標楷體" w:hAnsi="標楷體" w:hint="eastAsia"/>
          <w:snapToGrid w:val="0"/>
          <w:kern w:val="0"/>
          <w:sz w:val="28"/>
          <w:szCs w:val="28"/>
          <w:lang w:eastAsia="zh-HK"/>
        </w:rPr>
        <w:t>項</w:t>
      </w:r>
      <w:r w:rsidRPr="00CD6AD3">
        <w:rPr>
          <w:rFonts w:ascii="標楷體" w:hAnsi="標楷體" w:hint="eastAsia"/>
          <w:snapToGrid w:val="0"/>
          <w:kern w:val="0"/>
          <w:sz w:val="28"/>
          <w:szCs w:val="28"/>
        </w:rPr>
        <w:t>（表</w:t>
      </w:r>
      <w:r w:rsidR="004242E5" w:rsidRPr="00CD6AD3">
        <w:rPr>
          <w:rFonts w:ascii="標楷體" w:hAnsi="標楷體" w:hint="eastAsia"/>
          <w:snapToGrid w:val="0"/>
          <w:kern w:val="0"/>
          <w:sz w:val="28"/>
          <w:szCs w:val="28"/>
        </w:rPr>
        <w:t>7</w:t>
      </w:r>
      <w:r w:rsidR="006519BD" w:rsidRPr="00CD6AD3">
        <w:rPr>
          <w:rFonts w:ascii="標楷體" w:hAnsi="標楷體" w:hint="eastAsia"/>
          <w:snapToGrid w:val="0"/>
          <w:kern w:val="0"/>
          <w:sz w:val="28"/>
          <w:szCs w:val="28"/>
        </w:rPr>
        <w:t>，甲</w:t>
      </w:r>
      <w:r w:rsidR="00A06F79" w:rsidRPr="00CD6AD3">
        <w:rPr>
          <w:rFonts w:ascii="標楷體" w:hAnsi="標楷體" w:hint="eastAsia"/>
          <w:snapToGrid w:val="0"/>
          <w:kern w:val="0"/>
          <w:sz w:val="28"/>
          <w:szCs w:val="28"/>
        </w:rPr>
        <w:t>－</w:t>
      </w:r>
      <w:r w:rsidR="00CC0221" w:rsidRPr="00CD6AD3">
        <w:rPr>
          <w:rFonts w:ascii="標楷體" w:hAnsi="標楷體" w:hint="eastAsia"/>
          <w:snapToGrid w:val="0"/>
          <w:kern w:val="0"/>
          <w:sz w:val="28"/>
          <w:szCs w:val="28"/>
        </w:rPr>
        <w:t>3</w:t>
      </w:r>
      <w:r w:rsidR="005E74E0">
        <w:rPr>
          <w:rFonts w:ascii="標楷體" w:hAnsi="標楷體"/>
          <w:snapToGrid w:val="0"/>
          <w:kern w:val="0"/>
          <w:sz w:val="28"/>
          <w:szCs w:val="28"/>
        </w:rPr>
        <w:t>4</w:t>
      </w:r>
      <w:r w:rsidR="006519BD" w:rsidRPr="00CD6AD3">
        <w:rPr>
          <w:rFonts w:ascii="標楷體" w:hAnsi="標楷體" w:hint="eastAsia"/>
          <w:snapToGrid w:val="0"/>
          <w:kern w:val="0"/>
          <w:sz w:val="28"/>
          <w:szCs w:val="28"/>
        </w:rPr>
        <w:t>頁</w:t>
      </w:r>
      <w:r w:rsidRPr="00CD6AD3">
        <w:rPr>
          <w:rFonts w:ascii="標楷體" w:hAnsi="標楷體" w:hint="eastAsia"/>
          <w:snapToGrid w:val="0"/>
          <w:kern w:val="0"/>
          <w:sz w:val="28"/>
          <w:szCs w:val="28"/>
        </w:rPr>
        <w:t>）：</w:t>
      </w:r>
    </w:p>
    <w:p w14:paraId="4EE9D4B2" w14:textId="381C0378" w:rsidR="00B01ABE" w:rsidRPr="00932BCA" w:rsidRDefault="0016264F" w:rsidP="008F2392">
      <w:pPr>
        <w:overflowPunct w:val="0"/>
        <w:adjustRightInd w:val="0"/>
        <w:snapToGrid w:val="0"/>
        <w:spacing w:line="556" w:lineRule="exact"/>
        <w:ind w:leftChars="9" w:left="22" w:firstLineChars="450" w:firstLine="1261"/>
        <w:jc w:val="both"/>
        <w:rPr>
          <w:rFonts w:ascii="標楷體" w:hAnsi="標楷體"/>
          <w:spacing w:val="-2"/>
          <w:sz w:val="28"/>
          <w:szCs w:val="28"/>
          <w:highlight w:val="yellow"/>
        </w:rPr>
      </w:pPr>
      <w:r w:rsidRPr="007741BE">
        <w:rPr>
          <w:rFonts w:ascii="標楷體" w:hAnsi="標楷體" w:hint="eastAsia"/>
          <w:b/>
          <w:sz w:val="28"/>
          <w:szCs w:val="28"/>
        </w:rPr>
        <w:t>1.</w:t>
      </w:r>
      <w:r w:rsidR="00752E49" w:rsidRPr="007741BE">
        <w:rPr>
          <w:rFonts w:ascii="標楷體" w:hAnsi="標楷體" w:hint="eastAsia"/>
          <w:b/>
          <w:sz w:val="28"/>
          <w:szCs w:val="28"/>
        </w:rPr>
        <w:t xml:space="preserve">　</w:t>
      </w:r>
      <w:r w:rsidRPr="007741BE">
        <w:rPr>
          <w:rFonts w:ascii="標楷體" w:hAnsi="標楷體" w:hint="eastAsia"/>
          <w:b/>
          <w:sz w:val="28"/>
          <w:szCs w:val="28"/>
        </w:rPr>
        <w:t>對於內部稽（審）核之實施提出意見者，</w:t>
      </w:r>
      <w:r w:rsidR="00D528D4" w:rsidRPr="007741BE">
        <w:rPr>
          <w:rFonts w:ascii="標楷體" w:hAnsi="標楷體" w:hint="eastAsia"/>
          <w:sz w:val="28"/>
          <w:szCs w:val="28"/>
        </w:rPr>
        <w:t>計</w:t>
      </w:r>
      <w:r w:rsidRPr="007741BE">
        <w:rPr>
          <w:rFonts w:ascii="標楷體" w:hAnsi="標楷體" w:hint="eastAsia"/>
          <w:sz w:val="28"/>
          <w:szCs w:val="28"/>
        </w:rPr>
        <w:t>有</w:t>
      </w:r>
      <w:r w:rsidR="00B079CA" w:rsidRPr="007741BE">
        <w:rPr>
          <w:rFonts w:ascii="標楷體" w:hAnsi="標楷體" w:hint="eastAsia"/>
          <w:sz w:val="28"/>
          <w:szCs w:val="28"/>
        </w:rPr>
        <w:t>臺灣銀行公司</w:t>
      </w:r>
      <w:r w:rsidR="002F516B" w:rsidRPr="007741BE">
        <w:rPr>
          <w:rFonts w:ascii="標楷體" w:hAnsi="標楷體" w:hint="eastAsia"/>
          <w:sz w:val="28"/>
          <w:szCs w:val="28"/>
        </w:rPr>
        <w:t>已就電子化收款業務建立虛擬帳號通報及監控機制，惟虛擬帳號交易經通報為警示案件</w:t>
      </w:r>
      <w:r w:rsidR="002F516B" w:rsidRPr="002F516B">
        <w:rPr>
          <w:rFonts w:ascii="標楷體" w:hAnsi="標楷體" w:hint="eastAsia"/>
          <w:sz w:val="28"/>
          <w:szCs w:val="28"/>
        </w:rPr>
        <w:t>未明顯下降，又部分虛擬帳號對應之實體帳戶頻繁遭圈存潛藏不當使用風險，允宜強化風險監控並檢視高風險客戶代收類別之必要性，以維護電子化收款業務安全</w:t>
      </w:r>
      <w:r w:rsidR="00742FF8" w:rsidRPr="002F516B">
        <w:rPr>
          <w:rFonts w:ascii="標楷體" w:hAnsi="標楷體" w:hint="eastAsia"/>
          <w:sz w:val="28"/>
          <w:szCs w:val="28"/>
        </w:rPr>
        <w:t>；</w:t>
      </w:r>
      <w:r w:rsidR="006C24A3" w:rsidRPr="002F516B">
        <w:rPr>
          <w:rFonts w:ascii="標楷體" w:hAnsi="標楷體" w:hint="eastAsia"/>
          <w:sz w:val="28"/>
          <w:szCs w:val="28"/>
        </w:rPr>
        <w:t>臺灣土地銀行公司</w:t>
      </w:r>
      <w:r w:rsidR="002F516B" w:rsidRPr="002F516B">
        <w:rPr>
          <w:rFonts w:ascii="標楷體" w:hAnsi="標楷體" w:hint="eastAsia"/>
          <w:sz w:val="28"/>
          <w:szCs w:val="28"/>
        </w:rPr>
        <w:t>遵循徵授信準則辦理聯合貸款案件之評估與審核，為確保債權之償還，已要求借戶於信託專戶存入自籌款項，及將房地差額價金納為貸款償還來源，惟未深入分析潛存財務風險，且僅以支出憑證作為資金動撥依據，復未剔除存有疑慮之支出憑證，又未及時掌握選配房地差額價金減收情形，終致轉銷呆帳10億餘元，允宜研謀改善</w:t>
      </w:r>
      <w:r w:rsidR="003A1763">
        <w:rPr>
          <w:rFonts w:ascii="標楷體" w:hAnsi="標楷體" w:hint="eastAsia"/>
          <w:sz w:val="28"/>
          <w:szCs w:val="28"/>
        </w:rPr>
        <w:t>；</w:t>
      </w:r>
      <w:r w:rsidR="003A1763" w:rsidRPr="00DE1242">
        <w:rPr>
          <w:rFonts w:ascii="標楷體" w:hAnsi="標楷體" w:hint="eastAsia"/>
          <w:sz w:val="28"/>
          <w:szCs w:val="28"/>
        </w:rPr>
        <w:t>文化</w:t>
      </w:r>
      <w:r w:rsidR="0087617F" w:rsidRPr="00DE1242">
        <w:rPr>
          <w:rFonts w:ascii="標楷體" w:hAnsi="標楷體" w:hint="eastAsia"/>
          <w:sz w:val="28"/>
          <w:szCs w:val="28"/>
        </w:rPr>
        <w:t>部</w:t>
      </w:r>
      <w:r w:rsidR="003A1763" w:rsidRPr="00DE1242">
        <w:rPr>
          <w:rFonts w:ascii="標楷體" w:hAnsi="標楷體" w:hint="eastAsia"/>
          <w:sz w:val="28"/>
          <w:szCs w:val="28"/>
        </w:rPr>
        <w:t>設置國家電影及視聽文化中心，有助國家電影與視聽資產之典藏、推廣及影視聽文化發展，惟尚未建立典藏品盤點作業及災害緊急處理程序等規範</w:t>
      </w:r>
      <w:r w:rsidR="00C838D2" w:rsidRPr="00DE1242">
        <w:rPr>
          <w:rFonts w:ascii="標楷體" w:hAnsi="標楷體" w:hint="eastAsia"/>
          <w:sz w:val="28"/>
          <w:szCs w:val="28"/>
        </w:rPr>
        <w:t>，又</w:t>
      </w:r>
      <w:r w:rsidR="003A1763" w:rsidRPr="00DE1242">
        <w:rPr>
          <w:rFonts w:ascii="標楷體" w:hAnsi="標楷體" w:hint="eastAsia"/>
          <w:sz w:val="28"/>
          <w:szCs w:val="28"/>
        </w:rPr>
        <w:t>接受外界寄存文物、委外經營餐飲空間及文創商品賣店履約管理未臻完善，允宜檢討改善</w:t>
      </w:r>
      <w:r w:rsidR="008F6244" w:rsidRPr="00B714E4">
        <w:rPr>
          <w:rFonts w:ascii="標楷體" w:hAnsi="標楷體" w:hint="eastAsia"/>
          <w:sz w:val="28"/>
          <w:szCs w:val="28"/>
        </w:rPr>
        <w:t>等</w:t>
      </w:r>
      <w:r w:rsidR="002B6977" w:rsidRPr="00B714E4">
        <w:rPr>
          <w:rFonts w:ascii="標楷體" w:hAnsi="標楷體" w:hint="eastAsia"/>
          <w:sz w:val="28"/>
          <w:szCs w:val="28"/>
        </w:rPr>
        <w:t>5</w:t>
      </w:r>
      <w:r w:rsidRPr="00B714E4">
        <w:rPr>
          <w:rFonts w:ascii="標楷體" w:hAnsi="標楷體" w:hint="eastAsia"/>
          <w:sz w:val="28"/>
          <w:szCs w:val="28"/>
        </w:rPr>
        <w:t>項</w:t>
      </w:r>
      <w:r w:rsidRPr="00B714E4">
        <w:rPr>
          <w:rFonts w:ascii="標楷體" w:hAnsi="標楷體" w:hint="eastAsia"/>
          <w:spacing w:val="-2"/>
          <w:sz w:val="28"/>
          <w:szCs w:val="28"/>
        </w:rPr>
        <w:t>。</w:t>
      </w:r>
    </w:p>
    <w:p w14:paraId="7B917E83" w14:textId="57F0C678" w:rsidR="00B01ABE" w:rsidRPr="00C10FAF" w:rsidRDefault="0016264F" w:rsidP="008F2392">
      <w:pPr>
        <w:overflowPunct w:val="0"/>
        <w:adjustRightInd w:val="0"/>
        <w:snapToGrid w:val="0"/>
        <w:spacing w:line="556" w:lineRule="exact"/>
        <w:ind w:leftChars="9" w:left="22" w:firstLineChars="450" w:firstLine="1261"/>
        <w:jc w:val="both"/>
        <w:rPr>
          <w:rFonts w:ascii="標楷體" w:hAnsi="標楷體"/>
          <w:sz w:val="28"/>
          <w:szCs w:val="28"/>
          <w:highlight w:val="yellow"/>
        </w:rPr>
      </w:pPr>
      <w:r w:rsidRPr="007741BE">
        <w:rPr>
          <w:rFonts w:ascii="標楷體" w:hAnsi="標楷體" w:hint="eastAsia"/>
          <w:b/>
          <w:sz w:val="28"/>
          <w:szCs w:val="28"/>
        </w:rPr>
        <w:t>2.</w:t>
      </w:r>
      <w:r w:rsidR="00752E49" w:rsidRPr="007741BE">
        <w:rPr>
          <w:rFonts w:ascii="標楷體" w:hAnsi="標楷體" w:hint="eastAsia"/>
          <w:b/>
          <w:sz w:val="28"/>
          <w:szCs w:val="28"/>
        </w:rPr>
        <w:t xml:space="preserve">　</w:t>
      </w:r>
      <w:r w:rsidRPr="007741BE">
        <w:rPr>
          <w:rFonts w:ascii="標楷體" w:hAnsi="標楷體" w:hint="eastAsia"/>
          <w:b/>
          <w:sz w:val="28"/>
          <w:szCs w:val="28"/>
        </w:rPr>
        <w:t>對於計畫之實施及預算之執行提出意見者，</w:t>
      </w:r>
      <w:r w:rsidRPr="007741BE">
        <w:rPr>
          <w:rFonts w:ascii="標楷體" w:hAnsi="標楷體" w:hint="eastAsia"/>
          <w:sz w:val="28"/>
          <w:szCs w:val="28"/>
        </w:rPr>
        <w:t>計有</w:t>
      </w:r>
      <w:r w:rsidR="004F60E8" w:rsidRPr="007741BE">
        <w:rPr>
          <w:rFonts w:ascii="標楷體" w:hAnsi="標楷體" w:hint="eastAsia"/>
          <w:sz w:val="28"/>
          <w:szCs w:val="28"/>
        </w:rPr>
        <w:t>中央銀行</w:t>
      </w:r>
      <w:r w:rsidR="007741BE" w:rsidRPr="007741BE">
        <w:rPr>
          <w:rFonts w:ascii="標楷體" w:hAnsi="標楷體" w:hint="eastAsia"/>
          <w:sz w:val="28"/>
          <w:szCs w:val="28"/>
        </w:rPr>
        <w:t>啟動新臺幣</w:t>
      </w:r>
      <w:r w:rsidR="007741BE" w:rsidRPr="00C10FAF">
        <w:rPr>
          <w:rFonts w:ascii="標楷體" w:hAnsi="標楷體" w:hint="eastAsia"/>
          <w:sz w:val="28"/>
          <w:szCs w:val="28"/>
        </w:rPr>
        <w:t>鈔券改版作業，規劃首張新版鈔券於主題擇定後2年半發行，目前處於圖稿設計階段，後續尚有多項作業須循序推動，又過渡期間之供應需求，亦有鈔券紙張賸餘及去化等問題，允宜妥為規劃相關作業與進度，並注意成本支出，俾達預期發行目標</w:t>
      </w:r>
      <w:r w:rsidR="004F60E8" w:rsidRPr="00C10FAF">
        <w:rPr>
          <w:rFonts w:ascii="標楷體" w:hAnsi="標楷體" w:hint="eastAsia"/>
          <w:sz w:val="28"/>
          <w:szCs w:val="28"/>
        </w:rPr>
        <w:t>；</w:t>
      </w:r>
      <w:r w:rsidR="00B475D6" w:rsidRPr="00DE1242">
        <w:rPr>
          <w:rFonts w:ascii="標楷體" w:hAnsi="標楷體" w:hint="eastAsia"/>
          <w:sz w:val="28"/>
          <w:szCs w:val="28"/>
        </w:rPr>
        <w:t>台灣中油公司</w:t>
      </w:r>
      <w:r w:rsidR="00E92AD9" w:rsidRPr="00DE1242">
        <w:rPr>
          <w:rFonts w:ascii="標楷體" w:hAnsi="標楷體" w:hint="eastAsia"/>
          <w:sz w:val="28"/>
          <w:szCs w:val="28"/>
        </w:rPr>
        <w:t>為滿足北部用氣需求，降低輸氣成本及風險，辦理「天然氣事業部第三座液化天然氣接收站投資計畫」（含第二期計畫），惟未審慎評估潛在開發風險，且為因應行政院三接外推方案，一再修正計畫，縮減開發規模、延長執行期程及巨幅調增投資總額，又部分採購案於開發方案與修正計畫未經核定前，逕行辦理招標作業，另海水取排管線風險評估與規劃未盡周延，影響整體計畫之執行，允宜研謀檢討改善</w:t>
      </w:r>
      <w:r w:rsidR="00FC2156" w:rsidRPr="00DE1242">
        <w:rPr>
          <w:rFonts w:ascii="標楷體" w:hAnsi="標楷體" w:hint="eastAsia"/>
          <w:sz w:val="28"/>
          <w:szCs w:val="28"/>
        </w:rPr>
        <w:t>；</w:t>
      </w:r>
      <w:r w:rsidR="00EE3D88" w:rsidRPr="007C1D23">
        <w:rPr>
          <w:rFonts w:ascii="標楷體" w:hAnsi="標楷體"/>
          <w:sz w:val="28"/>
          <w:szCs w:val="28"/>
        </w:rPr>
        <w:t>台</w:t>
      </w:r>
      <w:r w:rsidR="00EE3D88" w:rsidRPr="007C1D23">
        <w:rPr>
          <w:rFonts w:ascii="標楷體" w:hAnsi="標楷體"/>
          <w:sz w:val="28"/>
          <w:szCs w:val="28"/>
        </w:rPr>
        <w:lastRenderedPageBreak/>
        <w:t>灣</w:t>
      </w:r>
      <w:r w:rsidR="005D3516" w:rsidRPr="007C1D23">
        <w:rPr>
          <w:rFonts w:ascii="標楷體" w:hAnsi="標楷體" w:hint="eastAsia"/>
          <w:sz w:val="28"/>
          <w:szCs w:val="28"/>
        </w:rPr>
        <w:t>電力</w:t>
      </w:r>
      <w:r w:rsidR="00EE3D88" w:rsidRPr="007C1D23">
        <w:rPr>
          <w:rFonts w:ascii="標楷體" w:hAnsi="標楷體"/>
          <w:sz w:val="28"/>
          <w:szCs w:val="28"/>
        </w:rPr>
        <w:t>公司</w:t>
      </w:r>
      <w:r w:rsidR="00C74A0E" w:rsidRPr="007C1D23">
        <w:rPr>
          <w:rFonts w:ascii="標楷體" w:hAnsi="標楷體" w:hint="eastAsia"/>
          <w:sz w:val="28"/>
          <w:szCs w:val="28"/>
        </w:rPr>
        <w:t>核四計畫自103年4月停工封存已逾10年，惟轉型政策與燃料處置作業仍無進展，維運及燃料棒貯存成本持續累增，增加公司營運負荷</w:t>
      </w:r>
      <w:r w:rsidR="008270A8">
        <w:rPr>
          <w:rFonts w:ascii="標楷體" w:hAnsi="標楷體" w:hint="eastAsia"/>
          <w:sz w:val="28"/>
          <w:szCs w:val="28"/>
        </w:rPr>
        <w:t>；</w:t>
      </w:r>
      <w:r w:rsidR="00C74A0E" w:rsidRPr="007C1D23">
        <w:rPr>
          <w:rFonts w:ascii="標楷體" w:hAnsi="標楷體" w:hint="eastAsia"/>
          <w:sz w:val="28"/>
          <w:szCs w:val="28"/>
        </w:rPr>
        <w:t>又部分單位撥用核四庫存材料實績逐年減少，庫存材料去化面臨瓶頸，允宜研謀善策，以降低營運負擔</w:t>
      </w:r>
      <w:r w:rsidR="00761CBB" w:rsidRPr="001609D8">
        <w:rPr>
          <w:rFonts w:ascii="標楷體" w:hAnsi="標楷體" w:hint="eastAsia"/>
          <w:sz w:val="28"/>
          <w:szCs w:val="28"/>
        </w:rPr>
        <w:t>；</w:t>
      </w:r>
      <w:r w:rsidR="00AB0057" w:rsidRPr="001609D8">
        <w:rPr>
          <w:rFonts w:ascii="標楷體" w:hAnsi="標楷體" w:hint="eastAsia"/>
          <w:sz w:val="28"/>
          <w:szCs w:val="28"/>
        </w:rPr>
        <w:t>臺灣鐵路公司</w:t>
      </w:r>
      <w:r w:rsidR="00DF1420" w:rsidRPr="001609D8">
        <w:rPr>
          <w:rFonts w:ascii="標楷體" w:hAnsi="標楷體" w:hint="eastAsia"/>
          <w:sz w:val="28"/>
          <w:szCs w:val="28"/>
        </w:rPr>
        <w:t>為防止旅客跌落月台軌道，已規劃推動設置車站月台門及擬定相關防制措施，惟月台門設置進度容有提升空間，又現行防制旅客落軌之措施未發揮應有效益，允宜研謀改善，以維護旅客乘車安全</w:t>
      </w:r>
      <w:r w:rsidRPr="00C10FAF">
        <w:rPr>
          <w:rFonts w:ascii="標楷體" w:hAnsi="標楷體" w:hint="eastAsia"/>
          <w:sz w:val="28"/>
          <w:szCs w:val="28"/>
        </w:rPr>
        <w:t>等</w:t>
      </w:r>
      <w:r w:rsidR="00AA2DF2" w:rsidRPr="00C10FAF">
        <w:rPr>
          <w:rFonts w:ascii="標楷體" w:hAnsi="標楷體" w:hint="eastAsia"/>
          <w:sz w:val="28"/>
          <w:szCs w:val="28"/>
        </w:rPr>
        <w:t>5</w:t>
      </w:r>
      <w:r w:rsidR="003B5D95" w:rsidRPr="00C10FAF">
        <w:rPr>
          <w:rFonts w:ascii="標楷體" w:hAnsi="標楷體"/>
          <w:sz w:val="28"/>
          <w:szCs w:val="28"/>
        </w:rPr>
        <w:t>5</w:t>
      </w:r>
      <w:r w:rsidRPr="00C10FAF">
        <w:rPr>
          <w:rFonts w:ascii="標楷體" w:hAnsi="標楷體" w:hint="eastAsia"/>
          <w:sz w:val="28"/>
          <w:szCs w:val="28"/>
        </w:rPr>
        <w:t>項。</w:t>
      </w:r>
    </w:p>
    <w:p w14:paraId="17AF5D3B" w14:textId="47655589" w:rsidR="00B01ABE" w:rsidRPr="00C10FAF" w:rsidRDefault="0016264F" w:rsidP="003C76F0">
      <w:pPr>
        <w:overflowPunct w:val="0"/>
        <w:adjustRightInd w:val="0"/>
        <w:snapToGrid w:val="0"/>
        <w:spacing w:line="590" w:lineRule="exact"/>
        <w:ind w:leftChars="9" w:left="22" w:firstLineChars="450" w:firstLine="1261"/>
        <w:jc w:val="both"/>
        <w:rPr>
          <w:rFonts w:ascii="標楷體" w:hAnsi="標楷體"/>
          <w:sz w:val="28"/>
          <w:szCs w:val="28"/>
          <w:highlight w:val="yellow"/>
        </w:rPr>
      </w:pPr>
      <w:r w:rsidRPr="00C10FAF">
        <w:rPr>
          <w:rFonts w:ascii="標楷體" w:hAnsi="標楷體" w:hint="eastAsia"/>
          <w:b/>
          <w:sz w:val="28"/>
          <w:szCs w:val="28"/>
        </w:rPr>
        <w:t>3.</w:t>
      </w:r>
      <w:r w:rsidR="00752E49" w:rsidRPr="00C10FAF">
        <w:rPr>
          <w:rFonts w:ascii="標楷體" w:hAnsi="標楷體" w:hint="eastAsia"/>
          <w:b/>
          <w:sz w:val="28"/>
          <w:szCs w:val="28"/>
        </w:rPr>
        <w:t xml:space="preserve">　</w:t>
      </w:r>
      <w:r w:rsidRPr="00C10FAF">
        <w:rPr>
          <w:rFonts w:ascii="標楷體" w:hAnsi="標楷體" w:hint="eastAsia"/>
          <w:b/>
          <w:sz w:val="28"/>
          <w:szCs w:val="28"/>
        </w:rPr>
        <w:t>對於財務（物）之管理、運用提出意見者，</w:t>
      </w:r>
      <w:r w:rsidRPr="00C10FAF">
        <w:rPr>
          <w:rFonts w:ascii="標楷體" w:hAnsi="標楷體" w:hint="eastAsia"/>
          <w:sz w:val="28"/>
          <w:szCs w:val="28"/>
        </w:rPr>
        <w:t>計有</w:t>
      </w:r>
      <w:r w:rsidR="00BE08B4" w:rsidRPr="00C10FAF">
        <w:rPr>
          <w:rFonts w:ascii="標楷體" w:hAnsi="標楷體" w:hint="eastAsia"/>
          <w:sz w:val="28"/>
          <w:szCs w:val="28"/>
        </w:rPr>
        <w:t>台灣糖業公司</w:t>
      </w:r>
      <w:r w:rsidR="00624582" w:rsidRPr="00C10FAF">
        <w:rPr>
          <w:rFonts w:ascii="標楷體" w:hAnsi="標楷體" w:hint="eastAsia"/>
          <w:sz w:val="28"/>
          <w:szCs w:val="28"/>
        </w:rPr>
        <w:t>為開發利用非自用土地，增裕收入，已採行多元活化措施，惟合作開發或出租契約案終止情事頻仍，且部分自用土地屢遭棄置廢棄物或空置廠房發生入侵竊盜案件，又待活化土地面積仍巨，須支付地價稅高達11億餘元，部分停閉廠區待活化土地不減反增，被占用土地亦待積極清理，允宜研謀改善，以發揮資產運用效益</w:t>
      </w:r>
      <w:r w:rsidR="00BE08B4" w:rsidRPr="00C10FAF">
        <w:rPr>
          <w:rFonts w:ascii="標楷體" w:hAnsi="標楷體" w:hint="eastAsia"/>
          <w:sz w:val="28"/>
          <w:szCs w:val="28"/>
        </w:rPr>
        <w:t>；</w:t>
      </w:r>
      <w:r w:rsidR="00094DCA" w:rsidRPr="00C10FAF">
        <w:rPr>
          <w:rFonts w:ascii="標楷體" w:hAnsi="標楷體" w:hint="eastAsia"/>
          <w:sz w:val="28"/>
          <w:szCs w:val="28"/>
        </w:rPr>
        <w:t>中華郵政公司為強化資產管理運用，推動節餘空間盤點與活化作業，惟部分個案未有效活化，部分土地仍有低度利用及被占用等情，允宜滾動檢討，提升資產運用效能，增裕公司營收</w:t>
      </w:r>
      <w:r w:rsidR="004A6CE3" w:rsidRPr="00C10FAF">
        <w:rPr>
          <w:rFonts w:ascii="標楷體" w:hAnsi="標楷體" w:hint="eastAsia"/>
          <w:sz w:val="28"/>
          <w:szCs w:val="28"/>
        </w:rPr>
        <w:t>；</w:t>
      </w:r>
      <w:r w:rsidR="00AE069D" w:rsidRPr="00C10FAF">
        <w:rPr>
          <w:rFonts w:ascii="標楷體" w:hAnsi="標楷體" w:hint="eastAsia"/>
          <w:sz w:val="28"/>
          <w:szCs w:val="28"/>
        </w:rPr>
        <w:t>桃園國際機場公司辦理機場園區廢棄物焚化處理作業，以維持航空廢棄物即時處置量能，惟收支持續失衡，允宜研謀改善，以提升廢棄物處理機制之長期營運韌性</w:t>
      </w:r>
      <w:r w:rsidRPr="00C10FAF">
        <w:rPr>
          <w:rFonts w:ascii="標楷體" w:hAnsi="標楷體" w:hint="eastAsia"/>
          <w:sz w:val="28"/>
          <w:szCs w:val="28"/>
        </w:rPr>
        <w:t>等</w:t>
      </w:r>
      <w:r w:rsidR="005A0833" w:rsidRPr="00C10FAF">
        <w:rPr>
          <w:rFonts w:ascii="標楷體" w:hAnsi="標楷體" w:hint="eastAsia"/>
          <w:sz w:val="28"/>
          <w:szCs w:val="28"/>
        </w:rPr>
        <w:t>2</w:t>
      </w:r>
      <w:r w:rsidR="003B5D95" w:rsidRPr="00C10FAF">
        <w:rPr>
          <w:rFonts w:ascii="標楷體" w:hAnsi="標楷體"/>
          <w:sz w:val="28"/>
          <w:szCs w:val="28"/>
        </w:rPr>
        <w:t>3</w:t>
      </w:r>
      <w:r w:rsidRPr="00C10FAF">
        <w:rPr>
          <w:rFonts w:ascii="標楷體" w:hAnsi="標楷體" w:hint="eastAsia"/>
          <w:spacing w:val="-6"/>
          <w:sz w:val="28"/>
          <w:szCs w:val="28"/>
        </w:rPr>
        <w:t>項。</w:t>
      </w:r>
    </w:p>
    <w:p w14:paraId="3D985ACE" w14:textId="79497976" w:rsidR="00B01ABE" w:rsidRPr="0087617F" w:rsidRDefault="0016264F" w:rsidP="003C76F0">
      <w:pPr>
        <w:overflowPunct w:val="0"/>
        <w:adjustRightInd w:val="0"/>
        <w:snapToGrid w:val="0"/>
        <w:spacing w:line="590" w:lineRule="exact"/>
        <w:ind w:leftChars="9" w:left="22" w:firstLineChars="450" w:firstLine="1261"/>
        <w:jc w:val="both"/>
        <w:rPr>
          <w:rFonts w:ascii="標楷體" w:hAnsi="標楷體"/>
          <w:sz w:val="28"/>
          <w:szCs w:val="28"/>
        </w:rPr>
      </w:pPr>
      <w:r w:rsidRPr="00C10FAF">
        <w:rPr>
          <w:rFonts w:ascii="標楷體" w:hAnsi="標楷體" w:hint="eastAsia"/>
          <w:b/>
          <w:sz w:val="28"/>
          <w:szCs w:val="28"/>
        </w:rPr>
        <w:t>4.</w:t>
      </w:r>
      <w:r w:rsidR="00752E49" w:rsidRPr="00C10FAF">
        <w:rPr>
          <w:rFonts w:ascii="標楷體" w:hAnsi="標楷體" w:hint="eastAsia"/>
          <w:b/>
          <w:sz w:val="28"/>
          <w:szCs w:val="28"/>
        </w:rPr>
        <w:t xml:space="preserve">　</w:t>
      </w:r>
      <w:r w:rsidRPr="00C10FAF">
        <w:rPr>
          <w:rFonts w:ascii="標楷體" w:hAnsi="標楷體" w:hint="eastAsia"/>
          <w:b/>
          <w:sz w:val="28"/>
          <w:szCs w:val="28"/>
        </w:rPr>
        <w:t>對於產銷營運管理提出意見者，</w:t>
      </w:r>
      <w:r w:rsidRPr="00E73B80">
        <w:rPr>
          <w:rFonts w:ascii="標楷體" w:hAnsi="標楷體" w:hint="eastAsia"/>
          <w:sz w:val="28"/>
          <w:szCs w:val="28"/>
        </w:rPr>
        <w:t>計有</w:t>
      </w:r>
      <w:r w:rsidR="0087617F" w:rsidRPr="000F061C">
        <w:rPr>
          <w:rFonts w:ascii="標楷體" w:hAnsi="標楷體" w:hint="eastAsia"/>
          <w:sz w:val="28"/>
          <w:szCs w:val="28"/>
        </w:rPr>
        <w:t>台灣中油公司配合政府平穩物價政策，持續吸收油氣售價未能反映進口成本上漲之差額，致連年發生虧損，復因營運管理欠佳及鉅額償債現金流量需求等因素，加劇公司營運風險，另受中東戰事影響，進口液化天然氣來源存有重大不確定性，且油價公式之參數與占比未符實況，允宜督促研謀妥處；台灣</w:t>
      </w:r>
      <w:r w:rsidR="0087617F" w:rsidRPr="00E73B80">
        <w:rPr>
          <w:rFonts w:ascii="標楷體" w:hAnsi="標楷體" w:hint="eastAsia"/>
          <w:sz w:val="28"/>
          <w:szCs w:val="28"/>
        </w:rPr>
        <w:t>自來水公司營業收入呈逐年成長趨勢，惟不敷支應營運成本，致營運結果已連續3年發生虧損，且給水投資報酬率連年負值，又申請離島</w:t>
      </w:r>
      <w:r w:rsidR="0087617F" w:rsidRPr="00C10FAF">
        <w:rPr>
          <w:rFonts w:ascii="標楷體" w:hAnsi="標楷體" w:hint="eastAsia"/>
          <w:sz w:val="28"/>
          <w:szCs w:val="28"/>
        </w:rPr>
        <w:t>地區用水營運虧損補貼，累計撥補比率僅5成餘，允宜研謀善策妥處，俾維事業永續經營</w:t>
      </w:r>
      <w:r w:rsidR="0087617F">
        <w:rPr>
          <w:rFonts w:ascii="標楷體" w:hAnsi="標楷體" w:hint="eastAsia"/>
          <w:sz w:val="28"/>
          <w:szCs w:val="28"/>
        </w:rPr>
        <w:t>；</w:t>
      </w:r>
      <w:r w:rsidR="0030717B" w:rsidRPr="00C10FAF">
        <w:rPr>
          <w:rFonts w:ascii="標楷體" w:hAnsi="標楷體" w:hint="eastAsia"/>
          <w:sz w:val="28"/>
          <w:szCs w:val="28"/>
        </w:rPr>
        <w:t>財政部印刷廠</w:t>
      </w:r>
      <w:r w:rsidR="003145B0" w:rsidRPr="00C10FAF">
        <w:rPr>
          <w:rFonts w:ascii="標楷體" w:hAnsi="標楷體" w:hint="eastAsia"/>
          <w:sz w:val="28"/>
          <w:szCs w:val="28"/>
        </w:rPr>
        <w:t>運用印刷專業持續拓展印製業務，惟表格什件業務客源流失及營業毛利率下滑，侵蝕獲利能力，又部分空白統一發票項目銷毀率較預計或上年度增加，允宜研</w:t>
      </w:r>
      <w:r w:rsidR="003145B0" w:rsidRPr="00C10FAF">
        <w:rPr>
          <w:rFonts w:ascii="標楷體" w:hAnsi="標楷體" w:hint="eastAsia"/>
          <w:sz w:val="28"/>
          <w:szCs w:val="28"/>
        </w:rPr>
        <w:lastRenderedPageBreak/>
        <w:t>謀改善，以提升營收及減省不必要支出</w:t>
      </w:r>
      <w:r w:rsidR="00DC097D" w:rsidRPr="00C10FAF">
        <w:rPr>
          <w:rFonts w:ascii="標楷體" w:hAnsi="標楷體" w:hint="eastAsia"/>
          <w:sz w:val="28"/>
          <w:szCs w:val="28"/>
        </w:rPr>
        <w:t>；</w:t>
      </w:r>
      <w:r w:rsidR="002F05BC" w:rsidRPr="00C10FAF">
        <w:rPr>
          <w:rFonts w:ascii="標楷體" w:hAnsi="標楷體" w:hint="eastAsia"/>
          <w:sz w:val="28"/>
          <w:szCs w:val="28"/>
        </w:rPr>
        <w:t>中央存款保險公司依存款保險條例設置金融保險賠款特別準備金，並為反映金融機構經營風險，修正存款保險費率實施方案，惟特別準備金餘額占保額內存款比率遲未達法定目標，又115年適用之存款保險費率，近半數要保機構費率降低，影響準備金之積累，允宜研謀善策，儘速充實準備金，以有效保障存款人權益；</w:t>
      </w:r>
      <w:r w:rsidR="00673E5E" w:rsidRPr="00673E5E">
        <w:rPr>
          <w:rFonts w:ascii="標楷體" w:hAnsi="標楷體" w:hint="eastAsia"/>
          <w:sz w:val="28"/>
          <w:szCs w:val="28"/>
        </w:rPr>
        <w:t>臺灣港務公司近年營收持續成長，惟高雄港貨櫃吞吐量排名下滑，定期航運連結指數亦呈現下滑，允宜研謀改善</w:t>
      </w:r>
      <w:r w:rsidRPr="0087617F">
        <w:rPr>
          <w:rFonts w:ascii="標楷體" w:hAnsi="標楷體" w:hint="eastAsia"/>
          <w:sz w:val="28"/>
          <w:szCs w:val="28"/>
        </w:rPr>
        <w:t>等</w:t>
      </w:r>
      <w:r w:rsidR="002B6977" w:rsidRPr="0087617F">
        <w:rPr>
          <w:rFonts w:ascii="標楷體" w:hAnsi="標楷體" w:hint="eastAsia"/>
          <w:sz w:val="28"/>
          <w:szCs w:val="28"/>
        </w:rPr>
        <w:t>2</w:t>
      </w:r>
      <w:r w:rsidR="002B6977" w:rsidRPr="0087617F">
        <w:rPr>
          <w:rFonts w:ascii="標楷體" w:hAnsi="標楷體"/>
          <w:sz w:val="28"/>
          <w:szCs w:val="28"/>
        </w:rPr>
        <w:t>9</w:t>
      </w:r>
      <w:r w:rsidRPr="0087617F">
        <w:rPr>
          <w:rFonts w:ascii="標楷體" w:hAnsi="標楷體" w:hint="eastAsia"/>
          <w:sz w:val="28"/>
          <w:szCs w:val="28"/>
        </w:rPr>
        <w:t>項。</w:t>
      </w:r>
    </w:p>
    <w:p w14:paraId="18E0576C" w14:textId="7BD49F60" w:rsidR="00B01ABE" w:rsidRPr="00C10FAF" w:rsidRDefault="0016264F" w:rsidP="003C76F0">
      <w:pPr>
        <w:overflowPunct w:val="0"/>
        <w:adjustRightInd w:val="0"/>
        <w:snapToGrid w:val="0"/>
        <w:spacing w:line="610" w:lineRule="exact"/>
        <w:ind w:leftChars="9" w:left="22" w:firstLineChars="450" w:firstLine="1261"/>
        <w:jc w:val="both"/>
        <w:rPr>
          <w:rFonts w:ascii="標楷體" w:hAnsi="標楷體"/>
          <w:sz w:val="28"/>
          <w:szCs w:val="28"/>
        </w:rPr>
      </w:pPr>
      <w:r w:rsidRPr="00C10FAF">
        <w:rPr>
          <w:rFonts w:ascii="標楷體" w:hAnsi="標楷體" w:hint="eastAsia"/>
          <w:b/>
          <w:sz w:val="28"/>
          <w:szCs w:val="28"/>
        </w:rPr>
        <w:t>5.</w:t>
      </w:r>
      <w:r w:rsidR="00752E49" w:rsidRPr="00C10FAF">
        <w:rPr>
          <w:rFonts w:ascii="標楷體" w:hAnsi="標楷體" w:hint="eastAsia"/>
          <w:b/>
          <w:sz w:val="28"/>
          <w:szCs w:val="28"/>
        </w:rPr>
        <w:t xml:space="preserve">　</w:t>
      </w:r>
      <w:r w:rsidRPr="00C10FAF">
        <w:rPr>
          <w:rFonts w:ascii="標楷體" w:hAnsi="標楷體" w:hint="eastAsia"/>
          <w:b/>
          <w:sz w:val="28"/>
          <w:szCs w:val="28"/>
        </w:rPr>
        <w:t>對於採購作業提出意見者，</w:t>
      </w:r>
      <w:r w:rsidRPr="00C10FAF">
        <w:rPr>
          <w:rFonts w:ascii="標楷體" w:hAnsi="標楷體" w:hint="eastAsia"/>
          <w:sz w:val="28"/>
          <w:szCs w:val="28"/>
        </w:rPr>
        <w:t>計有</w:t>
      </w:r>
      <w:r w:rsidR="003C0385" w:rsidRPr="007C1D23">
        <w:rPr>
          <w:rFonts w:ascii="標楷體" w:hAnsi="標楷體" w:hint="eastAsia"/>
          <w:sz w:val="28"/>
          <w:szCs w:val="28"/>
        </w:rPr>
        <w:t>台灣電力公司</w:t>
      </w:r>
      <w:r w:rsidR="003C134F" w:rsidRPr="007C1D23">
        <w:rPr>
          <w:rFonts w:ascii="標楷體" w:hAnsi="標楷體" w:hint="eastAsia"/>
          <w:sz w:val="28"/>
          <w:szCs w:val="28"/>
        </w:rPr>
        <w:t>委外辦理低壓用戶用電裝置定檢工作已逾10年，惟仍沿用紙本表單作為紀錄文件，易有誤植或資料不易保存風險，且各區處自訂定檢契約規範與表單格式不一，又存有部分承攬商指派同一定檢人員同日於多個區處出工等異常情形，或新進人員尚未完成教育訓練即出工辦理定檢，或未依程序辦理定檢作業及表單填寫不實等情，允宜檢討改善，以維護用戶用電安全</w:t>
      </w:r>
      <w:r w:rsidR="00462F0F" w:rsidRPr="007C1D23">
        <w:rPr>
          <w:rFonts w:ascii="標楷體" w:hAnsi="標楷體" w:hint="eastAsia"/>
          <w:sz w:val="28"/>
          <w:szCs w:val="28"/>
        </w:rPr>
        <w:t>；</w:t>
      </w:r>
      <w:r w:rsidR="00E73B80" w:rsidRPr="00E73B80">
        <w:rPr>
          <w:rFonts w:ascii="標楷體" w:hAnsi="標楷體" w:hint="eastAsia"/>
          <w:sz w:val="28"/>
          <w:szCs w:val="28"/>
        </w:rPr>
        <w:t>臺灣菸酒公司</w:t>
      </w:r>
      <w:r w:rsidR="00D37067" w:rsidRPr="00E73B80">
        <w:rPr>
          <w:rFonts w:ascii="標楷體" w:hAnsi="標楷體" w:hint="eastAsia"/>
          <w:sz w:val="28"/>
          <w:szCs w:val="28"/>
        </w:rPr>
        <w:t>為期增裕營收辦理嘉義酒廠製麵工場專案計畫，惟未確實評估產製成本，因生產成本較預期大幅增加，致未達成自行生產速食麵之目標，衍生製麵工場產能利用率欠佳情形，復未依規定適時檢討調整產品價格，侵蝕營運獲利</w:t>
      </w:r>
      <w:r w:rsidR="00312865">
        <w:rPr>
          <w:rFonts w:ascii="標楷體" w:hAnsi="標楷體" w:hint="eastAsia"/>
          <w:sz w:val="28"/>
          <w:szCs w:val="28"/>
        </w:rPr>
        <w:t>，</w:t>
      </w:r>
      <w:r w:rsidR="00D37067" w:rsidRPr="00D37067">
        <w:rPr>
          <w:rFonts w:ascii="標楷體" w:hAnsi="標楷體" w:hint="eastAsia"/>
          <w:sz w:val="28"/>
          <w:szCs w:val="28"/>
        </w:rPr>
        <w:t>又購建調理包生產線未核實評估採購效益，未發揮設備應有之生產效能，允宜研謀改善</w:t>
      </w:r>
      <w:r w:rsidR="00D37067">
        <w:rPr>
          <w:rFonts w:ascii="標楷體" w:hAnsi="標楷體" w:hint="eastAsia"/>
          <w:sz w:val="28"/>
          <w:szCs w:val="28"/>
        </w:rPr>
        <w:t>；</w:t>
      </w:r>
      <w:r w:rsidR="005064C7" w:rsidRPr="00C10FAF">
        <w:rPr>
          <w:rFonts w:ascii="標楷體" w:hAnsi="標楷體" w:hint="eastAsia"/>
          <w:sz w:val="28"/>
          <w:szCs w:val="28"/>
        </w:rPr>
        <w:t>國防部與中科院已建立不良廠商等採購資訊通報機制，惟管制效果仍待檢討精進，及持續督促中科院擴大採購資訊公開作為，以強化跨機關資訊通報機制及風險預警功能，落實公開、公平採購原則</w:t>
      </w:r>
      <w:r w:rsidR="0002155F" w:rsidRPr="00C10FAF">
        <w:rPr>
          <w:rFonts w:ascii="標楷體" w:hAnsi="標楷體" w:hint="eastAsia"/>
          <w:sz w:val="28"/>
          <w:szCs w:val="28"/>
        </w:rPr>
        <w:t>等</w:t>
      </w:r>
      <w:r w:rsidR="00637365">
        <w:rPr>
          <w:rFonts w:ascii="標楷體" w:hAnsi="標楷體" w:hint="eastAsia"/>
          <w:sz w:val="28"/>
          <w:szCs w:val="28"/>
        </w:rPr>
        <w:t>8</w:t>
      </w:r>
      <w:r w:rsidRPr="00C10FAF">
        <w:rPr>
          <w:rFonts w:ascii="標楷體" w:hAnsi="標楷體" w:hint="eastAsia"/>
          <w:sz w:val="28"/>
          <w:szCs w:val="28"/>
        </w:rPr>
        <w:t>項。</w:t>
      </w:r>
    </w:p>
    <w:p w14:paraId="718681C1" w14:textId="63014F03" w:rsidR="0016264F" w:rsidRPr="00932BCA" w:rsidRDefault="0016264F" w:rsidP="003C76F0">
      <w:pPr>
        <w:overflowPunct w:val="0"/>
        <w:adjustRightInd w:val="0"/>
        <w:snapToGrid w:val="0"/>
        <w:spacing w:line="620" w:lineRule="exact"/>
        <w:ind w:leftChars="9" w:left="22" w:firstLineChars="450" w:firstLine="1261"/>
        <w:jc w:val="both"/>
        <w:rPr>
          <w:rFonts w:ascii="標楷體" w:hAnsi="標楷體"/>
          <w:sz w:val="28"/>
          <w:szCs w:val="28"/>
          <w:highlight w:val="yellow"/>
        </w:rPr>
      </w:pPr>
      <w:r w:rsidRPr="00C10FAF">
        <w:rPr>
          <w:rFonts w:ascii="標楷體" w:hAnsi="標楷體" w:hint="eastAsia"/>
          <w:b/>
          <w:sz w:val="28"/>
          <w:szCs w:val="28"/>
        </w:rPr>
        <w:t>6.</w:t>
      </w:r>
      <w:r w:rsidR="00752E49" w:rsidRPr="00C10FAF">
        <w:rPr>
          <w:rFonts w:ascii="標楷體" w:hAnsi="標楷體" w:hint="eastAsia"/>
          <w:b/>
          <w:sz w:val="28"/>
          <w:szCs w:val="28"/>
        </w:rPr>
        <w:t xml:space="preserve">　</w:t>
      </w:r>
      <w:r w:rsidRPr="00C10FAF">
        <w:rPr>
          <w:rFonts w:ascii="標楷體" w:hAnsi="標楷體" w:hint="eastAsia"/>
          <w:b/>
          <w:sz w:val="28"/>
          <w:szCs w:val="28"/>
        </w:rPr>
        <w:t>對於事務管理及其他事項提出意見者，</w:t>
      </w:r>
      <w:r w:rsidRPr="00C10FAF">
        <w:rPr>
          <w:rFonts w:ascii="標楷體" w:hAnsi="標楷體" w:hint="eastAsia"/>
          <w:sz w:val="28"/>
          <w:szCs w:val="28"/>
        </w:rPr>
        <w:t>計有</w:t>
      </w:r>
      <w:r w:rsidR="00132AF5" w:rsidRPr="00C10FAF">
        <w:rPr>
          <w:rFonts w:ascii="標楷體" w:hAnsi="標楷體" w:hint="eastAsia"/>
          <w:sz w:val="28"/>
          <w:szCs w:val="28"/>
        </w:rPr>
        <w:t>中國輸出入銀行因應客戶線上投保需求，設置線上輸出保險網路服務平台，惟平台功能未盡完備，難以達成減少人工作業目標；又融資平台之電子簽章作業尚未上線，無法滿足線上申辦業務要求，允宜針對問題癥結研謀強化相關系統效能，以提升作業效率</w:t>
      </w:r>
      <w:r w:rsidR="007225E9" w:rsidRPr="0000105C">
        <w:rPr>
          <w:rFonts w:ascii="標楷體" w:hAnsi="標楷體" w:hint="eastAsia"/>
          <w:spacing w:val="-4"/>
          <w:sz w:val="28"/>
          <w:szCs w:val="28"/>
        </w:rPr>
        <w:t>；</w:t>
      </w:r>
      <w:r w:rsidR="000D27DE" w:rsidRPr="00DE1242">
        <w:rPr>
          <w:rFonts w:ascii="標楷體" w:hAnsi="標楷體" w:hint="eastAsia"/>
          <w:spacing w:val="-4"/>
          <w:sz w:val="28"/>
          <w:szCs w:val="28"/>
        </w:rPr>
        <w:t>台灣</w:t>
      </w:r>
      <w:r w:rsidR="0000105C" w:rsidRPr="00DE1242">
        <w:rPr>
          <w:rFonts w:ascii="標楷體" w:hAnsi="標楷體" w:hint="eastAsia"/>
          <w:spacing w:val="-4"/>
          <w:sz w:val="28"/>
          <w:szCs w:val="28"/>
        </w:rPr>
        <w:t>中油</w:t>
      </w:r>
      <w:r w:rsidR="000D27DE" w:rsidRPr="00DE1242">
        <w:rPr>
          <w:rFonts w:ascii="標楷體" w:hAnsi="標楷體" w:hint="eastAsia"/>
          <w:spacing w:val="-4"/>
          <w:sz w:val="28"/>
          <w:szCs w:val="28"/>
        </w:rPr>
        <w:t>公司</w:t>
      </w:r>
      <w:r w:rsidR="0000105C" w:rsidRPr="00DE1242">
        <w:rPr>
          <w:rFonts w:ascii="標楷體" w:hAnsi="標楷體" w:hint="eastAsia"/>
          <w:spacing w:val="-4"/>
          <w:sz w:val="28"/>
          <w:szCs w:val="28"/>
        </w:rPr>
        <w:t>因應運輸油料作業需要，委商派員操作油罐車，惟駕駛員未注意行車安全與落實相關標準作</w:t>
      </w:r>
      <w:r w:rsidR="0000105C" w:rsidRPr="00DE1242">
        <w:rPr>
          <w:rFonts w:ascii="標楷體" w:hAnsi="標楷體" w:hint="eastAsia"/>
          <w:spacing w:val="-4"/>
          <w:sz w:val="28"/>
          <w:szCs w:val="28"/>
        </w:rPr>
        <w:lastRenderedPageBreak/>
        <w:t>業程序，致114年度油罐車起火、漏油及交通事故案件數較113年度增加，允宜研謀</w:t>
      </w:r>
      <w:r w:rsidR="0000105C" w:rsidRPr="00673E5E">
        <w:rPr>
          <w:rFonts w:ascii="標楷體" w:hAnsi="標楷體" w:hint="eastAsia"/>
          <w:spacing w:val="-4"/>
          <w:sz w:val="28"/>
          <w:szCs w:val="28"/>
        </w:rPr>
        <w:t>改</w:t>
      </w:r>
      <w:r w:rsidR="0000105C" w:rsidRPr="00DE1242">
        <w:rPr>
          <w:rFonts w:ascii="標楷體" w:hAnsi="標楷體" w:hint="eastAsia"/>
          <w:spacing w:val="-4"/>
          <w:sz w:val="28"/>
          <w:szCs w:val="28"/>
        </w:rPr>
        <w:t>善，並積極處理後續與廠商訴訟及求償等相關事宜，以維護公司權益</w:t>
      </w:r>
      <w:r w:rsidR="000D27DE" w:rsidRPr="007843BA">
        <w:rPr>
          <w:rFonts w:ascii="標楷體" w:hAnsi="標楷體" w:hint="eastAsia"/>
          <w:spacing w:val="-4"/>
          <w:sz w:val="28"/>
          <w:szCs w:val="28"/>
        </w:rPr>
        <w:t>；</w:t>
      </w:r>
      <w:r w:rsidR="00271FC2" w:rsidRPr="007843BA">
        <w:rPr>
          <w:rFonts w:ascii="標楷體" w:hAnsi="標楷體" w:hint="eastAsia"/>
          <w:spacing w:val="-4"/>
          <w:sz w:val="28"/>
          <w:szCs w:val="28"/>
        </w:rPr>
        <w:t>臺灣鐵路公司</w:t>
      </w:r>
      <w:r w:rsidR="00A517C6" w:rsidRPr="007843BA">
        <w:rPr>
          <w:rFonts w:ascii="標楷體" w:hAnsi="標楷體" w:hint="eastAsia"/>
          <w:spacing w:val="-4"/>
          <w:sz w:val="28"/>
          <w:szCs w:val="28"/>
        </w:rPr>
        <w:t xml:space="preserve">　辦理車輛管理檢核作業，惟部分單位針對駕駛人駕駛執照有無遭吊扣（銷），及行車前後酒精濃度，尚未建立相關查驗機制或訂定檢測規範，允宜研謀改善</w:t>
      </w:r>
      <w:r w:rsidR="00395293" w:rsidRPr="007843BA">
        <w:rPr>
          <w:rFonts w:ascii="標楷體" w:hAnsi="標楷體" w:hint="eastAsia"/>
          <w:spacing w:val="-4"/>
          <w:sz w:val="28"/>
          <w:szCs w:val="28"/>
        </w:rPr>
        <w:t>等</w:t>
      </w:r>
      <w:r w:rsidR="002B6977" w:rsidRPr="007843BA">
        <w:rPr>
          <w:rFonts w:ascii="標楷體" w:hAnsi="標楷體" w:hint="eastAsia"/>
          <w:spacing w:val="-4"/>
          <w:sz w:val="28"/>
          <w:szCs w:val="28"/>
        </w:rPr>
        <w:t>2</w:t>
      </w:r>
      <w:r w:rsidR="002B6977" w:rsidRPr="007843BA">
        <w:rPr>
          <w:rFonts w:ascii="標楷體" w:hAnsi="標楷體"/>
          <w:spacing w:val="-4"/>
          <w:sz w:val="28"/>
          <w:szCs w:val="28"/>
        </w:rPr>
        <w:t>7</w:t>
      </w:r>
      <w:r w:rsidRPr="007843BA">
        <w:rPr>
          <w:rFonts w:ascii="標楷體" w:hAnsi="標楷體" w:hint="eastAsia"/>
          <w:spacing w:val="-4"/>
          <w:sz w:val="28"/>
          <w:szCs w:val="28"/>
        </w:rPr>
        <w:t>項。</w:t>
      </w:r>
    </w:p>
    <w:p w14:paraId="502CB9CE" w14:textId="77777777" w:rsidR="0016264F" w:rsidRPr="00750DAB" w:rsidRDefault="0016264F" w:rsidP="00A517C6">
      <w:pPr>
        <w:pStyle w:val="aff9"/>
        <w:tabs>
          <w:tab w:val="left" w:pos="3686"/>
          <w:tab w:val="left" w:pos="3828"/>
        </w:tabs>
        <w:overflowPunct w:val="0"/>
        <w:adjustRightInd w:val="0"/>
        <w:snapToGrid w:val="0"/>
        <w:spacing w:beforeLines="50" w:before="180" w:after="72" w:line="600" w:lineRule="exact"/>
        <w:ind w:leftChars="0" w:left="0" w:firstLineChars="100" w:firstLine="320"/>
        <w:rPr>
          <w:kern w:val="0"/>
        </w:rPr>
      </w:pPr>
      <w:r w:rsidRPr="00750DAB">
        <w:rPr>
          <w:rFonts w:hint="eastAsia"/>
          <w:kern w:val="0"/>
        </w:rPr>
        <w:t>三、稽察違失之成果</w:t>
      </w:r>
    </w:p>
    <w:p w14:paraId="3DC04E26" w14:textId="55F50272" w:rsidR="00B41B91" w:rsidRDefault="00B41B91" w:rsidP="003C76F0">
      <w:pPr>
        <w:pStyle w:val="ad"/>
        <w:overflowPunct w:val="0"/>
        <w:adjustRightInd w:val="0"/>
        <w:snapToGrid w:val="0"/>
        <w:spacing w:line="560" w:lineRule="exact"/>
        <w:ind w:firstLine="560"/>
        <w:rPr>
          <w:rFonts w:hAnsi="標楷體"/>
        </w:rPr>
      </w:pPr>
      <w:r w:rsidRPr="00750DAB">
        <w:rPr>
          <w:rFonts w:hAnsi="標楷體" w:hint="eastAsia"/>
        </w:rPr>
        <w:t>稽察發現</w:t>
      </w:r>
      <w:r w:rsidR="0087617F">
        <w:rPr>
          <w:rFonts w:hAnsi="標楷體" w:hint="eastAsia"/>
        </w:rPr>
        <w:t>各</w:t>
      </w:r>
      <w:r w:rsidRPr="00750DAB">
        <w:rPr>
          <w:rFonts w:hAnsi="標楷體" w:hint="eastAsia"/>
        </w:rPr>
        <w:t>國營事業</w:t>
      </w:r>
      <w:r w:rsidR="001A67F7">
        <w:rPr>
          <w:rFonts w:hAnsi="標楷體" w:hint="eastAsia"/>
        </w:rPr>
        <w:t>及</w:t>
      </w:r>
      <w:r w:rsidR="00101C4C">
        <w:rPr>
          <w:rFonts w:hAnsi="標楷體" w:hint="eastAsia"/>
        </w:rPr>
        <w:t>各</w:t>
      </w:r>
      <w:r w:rsidR="001A67F7">
        <w:rPr>
          <w:rFonts w:hAnsi="標楷體" w:hint="eastAsia"/>
        </w:rPr>
        <w:t>行政法人之</w:t>
      </w:r>
      <w:r w:rsidRPr="00750DAB">
        <w:rPr>
          <w:rFonts w:hAnsi="標楷體" w:hint="eastAsia"/>
        </w:rPr>
        <w:t>人員</w:t>
      </w:r>
      <w:r w:rsidR="00ED3C65">
        <w:rPr>
          <w:rFonts w:hAnsi="標楷體" w:hint="eastAsia"/>
        </w:rPr>
        <w:t>核有</w:t>
      </w:r>
      <w:r w:rsidRPr="00750DAB">
        <w:rPr>
          <w:rFonts w:hAnsi="標楷體" w:hint="eastAsia"/>
        </w:rPr>
        <w:t>財務上違失，</w:t>
      </w:r>
      <w:r w:rsidR="006E5BA9">
        <w:rPr>
          <w:rFonts w:hAnsi="標楷體" w:hint="eastAsia"/>
        </w:rPr>
        <w:t>經</w:t>
      </w:r>
      <w:r w:rsidRPr="00750DAB">
        <w:rPr>
          <w:rFonts w:hAnsi="標楷體" w:hint="eastAsia"/>
        </w:rPr>
        <w:t>通知各事業查明處理業經處分</w:t>
      </w:r>
      <w:r w:rsidR="00F80F65">
        <w:rPr>
          <w:rFonts w:hAnsi="標楷體" w:hint="eastAsia"/>
        </w:rPr>
        <w:t>，於1</w:t>
      </w:r>
      <w:r w:rsidR="00F80F65">
        <w:rPr>
          <w:rFonts w:hAnsi="標楷體"/>
        </w:rPr>
        <w:t>14</w:t>
      </w:r>
      <w:r w:rsidR="00F80F65">
        <w:rPr>
          <w:rFonts w:hAnsi="標楷體" w:hint="eastAsia"/>
        </w:rPr>
        <w:t>年度陳報監察院者</w:t>
      </w:r>
      <w:r w:rsidRPr="00643FBC">
        <w:rPr>
          <w:rFonts w:hAnsi="標楷體" w:hint="eastAsia"/>
        </w:rPr>
        <w:t>計1</w:t>
      </w:r>
      <w:r w:rsidR="008E2261" w:rsidRPr="00643FBC">
        <w:rPr>
          <w:rFonts w:hAnsi="標楷體"/>
        </w:rPr>
        <w:t>5</w:t>
      </w:r>
      <w:r w:rsidRPr="00643FBC">
        <w:rPr>
          <w:rFonts w:hAnsi="標楷體" w:hint="eastAsia"/>
        </w:rPr>
        <w:t>件</w:t>
      </w:r>
      <w:r w:rsidR="001A095C" w:rsidRPr="00DA77BA">
        <w:rPr>
          <w:rFonts w:hAnsi="標楷體" w:hint="eastAsia"/>
          <w:color w:val="000000" w:themeColor="text1"/>
        </w:rPr>
        <w:t>（表2）</w:t>
      </w:r>
      <w:r w:rsidRPr="00643FBC">
        <w:rPr>
          <w:rFonts w:hAnsi="標楷體" w:hint="eastAsia"/>
        </w:rPr>
        <w:t>，受處分人員共計</w:t>
      </w:r>
      <w:r w:rsidRPr="00643FBC">
        <w:rPr>
          <w:rFonts w:hAnsi="標楷體"/>
        </w:rPr>
        <w:t>3</w:t>
      </w:r>
      <w:r w:rsidR="008E2261" w:rsidRPr="00643FBC">
        <w:rPr>
          <w:rFonts w:hAnsi="標楷體"/>
        </w:rPr>
        <w:t>0</w:t>
      </w:r>
      <w:r w:rsidRPr="00643FBC">
        <w:rPr>
          <w:rFonts w:hAnsi="標楷體" w:hint="eastAsia"/>
        </w:rPr>
        <w:t>人</w:t>
      </w:r>
      <w:r w:rsidRPr="00750DAB">
        <w:rPr>
          <w:rFonts w:hAnsi="標楷體" w:hint="eastAsia"/>
        </w:rPr>
        <w:t>次，</w:t>
      </w:r>
      <w:r w:rsidR="001A095C">
        <w:rPr>
          <w:rFonts w:hAnsi="標楷體" w:hint="eastAsia"/>
        </w:rPr>
        <w:t>記</w:t>
      </w:r>
      <w:r w:rsidR="003B247E" w:rsidRPr="00750DAB">
        <w:rPr>
          <w:rFonts w:hAnsi="標楷體" w:hint="eastAsia"/>
        </w:rPr>
        <w:t>過</w:t>
      </w:r>
      <w:r w:rsidR="001A095C">
        <w:rPr>
          <w:rFonts w:hAnsi="標楷體" w:hint="eastAsia"/>
        </w:rPr>
        <w:t>者1人次、</w:t>
      </w:r>
      <w:r w:rsidR="003B247E" w:rsidRPr="00750DAB">
        <w:rPr>
          <w:rFonts w:hAnsi="標楷體" w:hint="eastAsia"/>
        </w:rPr>
        <w:t>申誡</w:t>
      </w:r>
      <w:r w:rsidR="001A095C">
        <w:rPr>
          <w:rFonts w:hAnsi="標楷體" w:hint="eastAsia"/>
        </w:rPr>
        <w:t>者2</w:t>
      </w:r>
      <w:r w:rsidR="001A095C">
        <w:rPr>
          <w:rFonts w:hAnsi="標楷體"/>
        </w:rPr>
        <w:t>9</w:t>
      </w:r>
      <w:r w:rsidR="001A095C">
        <w:rPr>
          <w:rFonts w:hAnsi="標楷體" w:hint="eastAsia"/>
        </w:rPr>
        <w:t>人次</w:t>
      </w:r>
      <w:r w:rsidRPr="00750DAB">
        <w:rPr>
          <w:rFonts w:hAnsi="標楷體" w:hint="eastAsia"/>
        </w:rPr>
        <w:t>。</w:t>
      </w:r>
    </w:p>
    <w:p w14:paraId="3DFEE9C9" w14:textId="086078D8" w:rsidR="001D3658" w:rsidRPr="00E17DB3" w:rsidRDefault="001D3658" w:rsidP="001D3658">
      <w:pPr>
        <w:overflowPunct w:val="0"/>
        <w:spacing w:beforeLines="50" w:before="180" w:afterLines="20" w:after="72" w:line="280" w:lineRule="exact"/>
        <w:ind w:left="673" w:rightChars="77" w:right="185" w:hangingChars="280" w:hanging="673"/>
        <w:jc w:val="center"/>
        <w:rPr>
          <w:rFonts w:ascii="標楷體" w:hAnsi="標楷體"/>
          <w:b/>
          <w:bCs/>
        </w:rPr>
      </w:pPr>
      <w:r w:rsidRPr="00E17DB3">
        <w:rPr>
          <w:rFonts w:ascii="標楷體" w:hAnsi="標楷體" w:hint="eastAsia"/>
          <w:b/>
          <w:bCs/>
        </w:rPr>
        <w:t>表</w:t>
      </w:r>
      <w:r w:rsidR="00B140EF">
        <w:rPr>
          <w:rFonts w:ascii="標楷體" w:hAnsi="標楷體" w:hint="eastAsia"/>
          <w:b/>
          <w:bCs/>
        </w:rPr>
        <w:t>2</w:t>
      </w:r>
      <w:r w:rsidRPr="00E17DB3">
        <w:rPr>
          <w:rFonts w:ascii="標楷體" w:hAnsi="標楷體" w:hint="eastAsia"/>
          <w:b/>
          <w:bCs/>
        </w:rPr>
        <w:t xml:space="preserve">　審計部於11</w:t>
      </w:r>
      <w:r>
        <w:rPr>
          <w:rFonts w:ascii="標楷體" w:hAnsi="標楷體" w:hint="eastAsia"/>
          <w:b/>
          <w:bCs/>
        </w:rPr>
        <w:t>4</w:t>
      </w:r>
      <w:r w:rsidRPr="00E17DB3">
        <w:rPr>
          <w:rFonts w:ascii="標楷體" w:hAnsi="標楷體" w:hint="eastAsia"/>
          <w:b/>
          <w:bCs/>
        </w:rPr>
        <w:t>年</w:t>
      </w:r>
      <w:r w:rsidRPr="00E17DB3">
        <w:rPr>
          <w:rFonts w:ascii="標楷體" w:hAnsi="標楷體" w:hint="eastAsia"/>
          <w:b/>
          <w:bCs/>
          <w:lang w:eastAsia="zh-HK"/>
        </w:rPr>
        <w:t>度通知</w:t>
      </w:r>
      <w:r w:rsidR="001A095C">
        <w:rPr>
          <w:rFonts w:ascii="標楷體" w:hAnsi="標楷體" w:hint="eastAsia"/>
          <w:b/>
          <w:bCs/>
          <w:lang w:eastAsia="zh-HK"/>
        </w:rPr>
        <w:t>國營事業</w:t>
      </w:r>
      <w:r w:rsidRPr="00E17DB3">
        <w:rPr>
          <w:rFonts w:ascii="標楷體" w:hAnsi="標楷體" w:hint="eastAsia"/>
          <w:b/>
          <w:bCs/>
          <w:lang w:eastAsia="zh-HK"/>
        </w:rPr>
        <w:t>查明處分</w:t>
      </w:r>
      <w:r w:rsidRPr="00E17DB3">
        <w:rPr>
          <w:rFonts w:ascii="標楷體" w:hAnsi="標楷體" w:hint="eastAsia"/>
          <w:b/>
          <w:bCs/>
        </w:rPr>
        <w:t>案件</w:t>
      </w:r>
    </w:p>
    <w:tbl>
      <w:tblPr>
        <w:tblStyle w:val="a9"/>
        <w:tblW w:w="10206" w:type="dxa"/>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717"/>
        <w:gridCol w:w="9489"/>
      </w:tblGrid>
      <w:tr w:rsidR="001D3658" w:rsidRPr="00E17DB3" w14:paraId="767A8EBB" w14:textId="77777777" w:rsidTr="003C76F0">
        <w:trPr>
          <w:trHeight w:val="624"/>
        </w:trPr>
        <w:tc>
          <w:tcPr>
            <w:tcW w:w="709" w:type="dxa"/>
            <w:shd w:val="clear" w:color="auto" w:fill="B4C6E7" w:themeFill="accent5" w:themeFillTint="66"/>
            <w:vAlign w:val="center"/>
          </w:tcPr>
          <w:p w14:paraId="775BA4AD" w14:textId="77777777" w:rsidR="001D3658" w:rsidRPr="00E17DB3" w:rsidRDefault="001D3658" w:rsidP="00ED4260">
            <w:pPr>
              <w:overflowPunct w:val="0"/>
              <w:spacing w:line="240" w:lineRule="exact"/>
              <w:jc w:val="center"/>
              <w:rPr>
                <w:rFonts w:ascii="標楷體" w:eastAsia="標楷體" w:hAnsi="標楷體"/>
                <w:b/>
                <w:bCs/>
              </w:rPr>
            </w:pPr>
            <w:r w:rsidRPr="00E17DB3">
              <w:rPr>
                <w:rFonts w:ascii="標楷體" w:eastAsia="標楷體" w:hAnsi="標楷體" w:hint="eastAsia"/>
                <w:b/>
                <w:bCs/>
              </w:rPr>
              <w:t>項次</w:t>
            </w:r>
          </w:p>
        </w:tc>
        <w:tc>
          <w:tcPr>
            <w:tcW w:w="9384" w:type="dxa"/>
            <w:shd w:val="clear" w:color="auto" w:fill="B4C6E7" w:themeFill="accent5" w:themeFillTint="66"/>
            <w:vAlign w:val="center"/>
          </w:tcPr>
          <w:p w14:paraId="11C966D4" w14:textId="77777777" w:rsidR="001D3658" w:rsidRPr="00E17DB3" w:rsidRDefault="001D3658" w:rsidP="00ED4260">
            <w:pPr>
              <w:overflowPunct w:val="0"/>
              <w:spacing w:line="240" w:lineRule="exact"/>
              <w:jc w:val="center"/>
              <w:rPr>
                <w:rFonts w:ascii="標楷體" w:eastAsia="標楷體" w:hAnsi="標楷體"/>
                <w:b/>
                <w:bCs/>
              </w:rPr>
            </w:pPr>
            <w:r w:rsidRPr="00E17DB3">
              <w:rPr>
                <w:rFonts w:ascii="標楷體" w:eastAsia="標楷體" w:hAnsi="標楷體" w:hint="eastAsia"/>
                <w:b/>
                <w:bCs/>
              </w:rPr>
              <w:t>案名</w:t>
            </w:r>
          </w:p>
        </w:tc>
      </w:tr>
      <w:tr w:rsidR="001D3658" w:rsidRPr="00E17DB3" w14:paraId="0C48C25E" w14:textId="77777777" w:rsidTr="003C76F0">
        <w:trPr>
          <w:trHeight w:val="510"/>
        </w:trPr>
        <w:tc>
          <w:tcPr>
            <w:tcW w:w="709" w:type="dxa"/>
            <w:tcBorders>
              <w:top w:val="nil"/>
              <w:bottom w:val="nil"/>
            </w:tcBorders>
            <w:vAlign w:val="center"/>
          </w:tcPr>
          <w:p w14:paraId="56C29338" w14:textId="77777777" w:rsidR="001D3658" w:rsidRPr="00E17DB3" w:rsidRDefault="001D3658" w:rsidP="00484A3D">
            <w:pPr>
              <w:overflowPunct w:val="0"/>
              <w:spacing w:line="240" w:lineRule="exact"/>
              <w:jc w:val="center"/>
              <w:rPr>
                <w:rFonts w:ascii="標楷體" w:eastAsia="標楷體" w:hAnsi="標楷體"/>
                <w:bCs/>
              </w:rPr>
            </w:pPr>
            <w:r>
              <w:rPr>
                <w:rFonts w:ascii="標楷體" w:eastAsia="標楷體" w:hAnsi="標楷體" w:hint="eastAsia"/>
                <w:bCs/>
              </w:rPr>
              <w:t>1</w:t>
            </w:r>
          </w:p>
        </w:tc>
        <w:tc>
          <w:tcPr>
            <w:tcW w:w="9384" w:type="dxa"/>
            <w:tcBorders>
              <w:top w:val="nil"/>
              <w:bottom w:val="nil"/>
            </w:tcBorders>
            <w:vAlign w:val="center"/>
          </w:tcPr>
          <w:p w14:paraId="0196ABC8" w14:textId="02E5B79B" w:rsidR="001D3658" w:rsidRPr="008B589D" w:rsidRDefault="005E74E0" w:rsidP="00484A3D">
            <w:pPr>
              <w:overflowPunct w:val="0"/>
              <w:spacing w:line="240" w:lineRule="exact"/>
              <w:jc w:val="both"/>
              <w:rPr>
                <w:rFonts w:ascii="標楷體" w:eastAsia="標楷體" w:hAnsi="標楷體"/>
                <w:bCs/>
                <w:spacing w:val="-4"/>
              </w:rPr>
            </w:pPr>
            <w:r>
              <w:rPr>
                <w:rFonts w:ascii="標楷體" w:eastAsia="標楷體" w:hAnsi="標楷體" w:hint="eastAsia"/>
                <w:bCs/>
                <w:spacing w:val="-4"/>
              </w:rPr>
              <w:t>臺灣鐵路公司</w:t>
            </w:r>
            <w:r w:rsidR="001D3658" w:rsidRPr="008B589D">
              <w:rPr>
                <w:rFonts w:ascii="標楷體" w:eastAsia="標楷體" w:hAnsi="標楷體" w:hint="eastAsia"/>
                <w:bCs/>
                <w:spacing w:val="-4"/>
              </w:rPr>
              <w:t>北區營運處臺北運務段臺北站辦理行車調度無線電手機管理情形。</w:t>
            </w:r>
          </w:p>
        </w:tc>
      </w:tr>
      <w:tr w:rsidR="001D3658" w:rsidRPr="00E17DB3" w14:paraId="772A57A6" w14:textId="77777777" w:rsidTr="003C76F0">
        <w:trPr>
          <w:trHeight w:val="510"/>
        </w:trPr>
        <w:tc>
          <w:tcPr>
            <w:tcW w:w="709" w:type="dxa"/>
            <w:tcBorders>
              <w:top w:val="nil"/>
              <w:bottom w:val="nil"/>
            </w:tcBorders>
            <w:shd w:val="clear" w:color="auto" w:fill="D9E2F3" w:themeFill="accent5" w:themeFillTint="33"/>
            <w:vAlign w:val="center"/>
          </w:tcPr>
          <w:p w14:paraId="5E555827" w14:textId="77777777" w:rsidR="001D3658" w:rsidRPr="00E17DB3" w:rsidRDefault="001D3658" w:rsidP="00484A3D">
            <w:pPr>
              <w:overflowPunct w:val="0"/>
              <w:spacing w:line="240" w:lineRule="exact"/>
              <w:jc w:val="center"/>
              <w:rPr>
                <w:rFonts w:ascii="標楷體" w:eastAsia="標楷體" w:hAnsi="標楷體"/>
                <w:bCs/>
              </w:rPr>
            </w:pPr>
            <w:r>
              <w:rPr>
                <w:rFonts w:ascii="標楷體" w:eastAsia="標楷體" w:hAnsi="標楷體" w:hint="eastAsia"/>
                <w:bCs/>
              </w:rPr>
              <w:t>2</w:t>
            </w:r>
          </w:p>
        </w:tc>
        <w:tc>
          <w:tcPr>
            <w:tcW w:w="9384" w:type="dxa"/>
            <w:tcBorders>
              <w:top w:val="nil"/>
              <w:bottom w:val="nil"/>
            </w:tcBorders>
            <w:shd w:val="clear" w:color="auto" w:fill="D9E2F3" w:themeFill="accent5" w:themeFillTint="33"/>
            <w:vAlign w:val="center"/>
          </w:tcPr>
          <w:p w14:paraId="0B23CADE" w14:textId="3616DF17" w:rsidR="001D3658" w:rsidRPr="00E17DB3" w:rsidRDefault="005E74E0" w:rsidP="00484A3D">
            <w:pPr>
              <w:overflowPunct w:val="0"/>
              <w:spacing w:line="240" w:lineRule="exact"/>
              <w:jc w:val="both"/>
              <w:rPr>
                <w:rFonts w:ascii="標楷體" w:eastAsia="標楷體" w:hAnsi="標楷體"/>
                <w:bCs/>
              </w:rPr>
            </w:pPr>
            <w:r>
              <w:rPr>
                <w:rFonts w:ascii="標楷體" w:eastAsia="標楷體" w:hAnsi="標楷體" w:hint="eastAsia"/>
                <w:bCs/>
              </w:rPr>
              <w:t>臺灣鐵路公司</w:t>
            </w:r>
            <w:r w:rsidR="001D3658" w:rsidRPr="00CD5AAE">
              <w:rPr>
                <w:rFonts w:ascii="標楷體" w:eastAsia="標楷體" w:hAnsi="標楷體" w:hint="eastAsia"/>
                <w:bCs/>
              </w:rPr>
              <w:t>辦理購建固定資產計畫違反財政紀律案</w:t>
            </w:r>
            <w:r w:rsidR="001D3658" w:rsidRPr="00E17DB3">
              <w:rPr>
                <w:rFonts w:ascii="標楷體" w:eastAsia="標楷體" w:hAnsi="標楷體" w:hint="eastAsia"/>
                <w:bCs/>
              </w:rPr>
              <w:t>。</w:t>
            </w:r>
          </w:p>
        </w:tc>
      </w:tr>
      <w:tr w:rsidR="001D3658" w:rsidRPr="00E17DB3" w14:paraId="1BF68768" w14:textId="77777777" w:rsidTr="003C76F0">
        <w:trPr>
          <w:trHeight w:val="510"/>
        </w:trPr>
        <w:tc>
          <w:tcPr>
            <w:tcW w:w="709" w:type="dxa"/>
            <w:tcBorders>
              <w:top w:val="nil"/>
              <w:bottom w:val="nil"/>
            </w:tcBorders>
            <w:vAlign w:val="center"/>
          </w:tcPr>
          <w:p w14:paraId="2E717391" w14:textId="77777777" w:rsidR="001D3658" w:rsidRPr="00E17DB3" w:rsidRDefault="001D3658" w:rsidP="00484A3D">
            <w:pPr>
              <w:overflowPunct w:val="0"/>
              <w:spacing w:line="240" w:lineRule="exact"/>
              <w:jc w:val="center"/>
              <w:rPr>
                <w:rFonts w:ascii="標楷體" w:eastAsia="標楷體" w:hAnsi="標楷體"/>
                <w:bCs/>
              </w:rPr>
            </w:pPr>
            <w:r>
              <w:rPr>
                <w:rFonts w:ascii="標楷體" w:eastAsia="標楷體" w:hAnsi="標楷體" w:hint="eastAsia"/>
                <w:bCs/>
              </w:rPr>
              <w:t>3</w:t>
            </w:r>
          </w:p>
        </w:tc>
        <w:tc>
          <w:tcPr>
            <w:tcW w:w="9384" w:type="dxa"/>
            <w:tcBorders>
              <w:top w:val="nil"/>
              <w:bottom w:val="nil"/>
            </w:tcBorders>
            <w:vAlign w:val="center"/>
          </w:tcPr>
          <w:p w14:paraId="516B49AE" w14:textId="4E954DB7" w:rsidR="001D3658" w:rsidRPr="00E17DB3" w:rsidRDefault="001D3658" w:rsidP="00484A3D">
            <w:pPr>
              <w:overflowPunct w:val="0"/>
              <w:spacing w:line="240" w:lineRule="exact"/>
              <w:jc w:val="both"/>
              <w:rPr>
                <w:rFonts w:ascii="標楷體" w:eastAsia="標楷體" w:hAnsi="標楷體"/>
                <w:bCs/>
              </w:rPr>
            </w:pPr>
            <w:r w:rsidRPr="00E17DB3">
              <w:rPr>
                <w:rFonts w:ascii="標楷體" w:eastAsia="標楷體" w:hAnsi="標楷體" w:hint="eastAsia"/>
                <w:bCs/>
              </w:rPr>
              <w:t>台灣糖業公司油品事業部南區營業組業務管理師未落實監督加油站人力資源運用及營運管理案。</w:t>
            </w:r>
          </w:p>
        </w:tc>
      </w:tr>
      <w:tr w:rsidR="001D3658" w:rsidRPr="00E17DB3" w14:paraId="33C3E7A5" w14:textId="77777777" w:rsidTr="003C76F0">
        <w:trPr>
          <w:trHeight w:val="510"/>
        </w:trPr>
        <w:tc>
          <w:tcPr>
            <w:tcW w:w="709" w:type="dxa"/>
            <w:tcBorders>
              <w:top w:val="nil"/>
              <w:bottom w:val="nil"/>
            </w:tcBorders>
            <w:shd w:val="clear" w:color="auto" w:fill="D9E2F3" w:themeFill="accent5" w:themeFillTint="33"/>
            <w:vAlign w:val="center"/>
          </w:tcPr>
          <w:p w14:paraId="5BB56989" w14:textId="77777777" w:rsidR="001D3658" w:rsidRPr="00E17DB3" w:rsidRDefault="001D3658" w:rsidP="00484A3D">
            <w:pPr>
              <w:overflowPunct w:val="0"/>
              <w:spacing w:line="240" w:lineRule="exact"/>
              <w:jc w:val="center"/>
              <w:rPr>
                <w:rFonts w:ascii="標楷體" w:eastAsia="標楷體" w:hAnsi="標楷體"/>
                <w:bCs/>
              </w:rPr>
            </w:pPr>
            <w:r>
              <w:rPr>
                <w:rFonts w:ascii="標楷體" w:eastAsia="標楷體" w:hAnsi="標楷體" w:hint="eastAsia"/>
                <w:bCs/>
              </w:rPr>
              <w:t>4</w:t>
            </w:r>
          </w:p>
        </w:tc>
        <w:tc>
          <w:tcPr>
            <w:tcW w:w="9384" w:type="dxa"/>
            <w:tcBorders>
              <w:top w:val="nil"/>
              <w:bottom w:val="nil"/>
            </w:tcBorders>
            <w:shd w:val="clear" w:color="auto" w:fill="D9E2F3" w:themeFill="accent5" w:themeFillTint="33"/>
            <w:vAlign w:val="center"/>
          </w:tcPr>
          <w:p w14:paraId="599E94EB" w14:textId="50D3483C" w:rsidR="001D3658" w:rsidRPr="00411FEC" w:rsidRDefault="001D3658" w:rsidP="00484A3D">
            <w:pPr>
              <w:overflowPunct w:val="0"/>
              <w:spacing w:line="240" w:lineRule="exact"/>
              <w:jc w:val="both"/>
              <w:rPr>
                <w:rFonts w:ascii="標楷體" w:eastAsia="標楷體" w:hAnsi="標楷體"/>
                <w:bCs/>
              </w:rPr>
            </w:pPr>
            <w:r w:rsidRPr="00411FEC">
              <w:rPr>
                <w:rFonts w:ascii="標楷體" w:eastAsia="標楷體" w:hAnsi="標楷體" w:hint="eastAsia"/>
                <w:bCs/>
              </w:rPr>
              <w:t>台灣中油公司大林煉油廠重油媒裂工場辦理歲修工作執行情形案。</w:t>
            </w:r>
          </w:p>
        </w:tc>
      </w:tr>
      <w:tr w:rsidR="001D3658" w:rsidRPr="00E17DB3" w14:paraId="4669A79C" w14:textId="77777777" w:rsidTr="003C76F0">
        <w:trPr>
          <w:trHeight w:val="510"/>
        </w:trPr>
        <w:tc>
          <w:tcPr>
            <w:tcW w:w="709" w:type="dxa"/>
            <w:tcBorders>
              <w:top w:val="nil"/>
              <w:bottom w:val="nil"/>
            </w:tcBorders>
            <w:vAlign w:val="center"/>
          </w:tcPr>
          <w:p w14:paraId="7D9A6A79" w14:textId="77777777" w:rsidR="001D3658" w:rsidRPr="00E17DB3" w:rsidRDefault="001D3658" w:rsidP="00484A3D">
            <w:pPr>
              <w:overflowPunct w:val="0"/>
              <w:spacing w:line="240" w:lineRule="exact"/>
              <w:jc w:val="center"/>
              <w:rPr>
                <w:rFonts w:ascii="標楷體" w:eastAsia="標楷體" w:hAnsi="標楷體"/>
                <w:bCs/>
              </w:rPr>
            </w:pPr>
            <w:r>
              <w:rPr>
                <w:rFonts w:ascii="標楷體" w:eastAsia="標楷體" w:hAnsi="標楷體" w:hint="eastAsia"/>
                <w:bCs/>
              </w:rPr>
              <w:t>5</w:t>
            </w:r>
          </w:p>
        </w:tc>
        <w:tc>
          <w:tcPr>
            <w:tcW w:w="9384" w:type="dxa"/>
            <w:tcBorders>
              <w:top w:val="nil"/>
              <w:bottom w:val="nil"/>
            </w:tcBorders>
            <w:vAlign w:val="center"/>
          </w:tcPr>
          <w:p w14:paraId="27F39361" w14:textId="54870F12" w:rsidR="001D3658" w:rsidRPr="00411FEC" w:rsidRDefault="001D3658" w:rsidP="00484A3D">
            <w:pPr>
              <w:overflowPunct w:val="0"/>
              <w:spacing w:line="240" w:lineRule="exact"/>
              <w:jc w:val="both"/>
              <w:rPr>
                <w:rFonts w:ascii="標楷體" w:eastAsia="標楷體" w:hAnsi="標楷體"/>
                <w:bCs/>
              </w:rPr>
            </w:pPr>
            <w:r w:rsidRPr="00411FEC">
              <w:rPr>
                <w:rFonts w:ascii="標楷體" w:eastAsia="標楷體" w:hAnsi="標楷體" w:hint="eastAsia"/>
                <w:bCs/>
              </w:rPr>
              <w:t>台灣電力公司所屬發電廠辦理「108年度水工設備維護及檢修勞務性工作」等4件採購案執行情形。</w:t>
            </w:r>
          </w:p>
        </w:tc>
      </w:tr>
      <w:tr w:rsidR="001D3658" w:rsidRPr="00E17DB3" w14:paraId="6D79B0B7" w14:textId="77777777" w:rsidTr="003C76F0">
        <w:trPr>
          <w:trHeight w:val="510"/>
        </w:trPr>
        <w:tc>
          <w:tcPr>
            <w:tcW w:w="709" w:type="dxa"/>
            <w:tcBorders>
              <w:top w:val="nil"/>
              <w:bottom w:val="nil"/>
            </w:tcBorders>
            <w:shd w:val="clear" w:color="auto" w:fill="D9E2F3" w:themeFill="accent5" w:themeFillTint="33"/>
            <w:vAlign w:val="center"/>
          </w:tcPr>
          <w:p w14:paraId="5E4FEE6D" w14:textId="77777777" w:rsidR="001D3658" w:rsidRPr="00E17DB3" w:rsidRDefault="001D3658" w:rsidP="00484A3D">
            <w:pPr>
              <w:overflowPunct w:val="0"/>
              <w:spacing w:line="240" w:lineRule="exact"/>
              <w:jc w:val="center"/>
              <w:rPr>
                <w:rFonts w:ascii="標楷體" w:eastAsia="標楷體" w:hAnsi="標楷體"/>
                <w:bCs/>
              </w:rPr>
            </w:pPr>
            <w:r w:rsidRPr="00E17DB3">
              <w:rPr>
                <w:rFonts w:ascii="標楷體" w:eastAsia="標楷體" w:hAnsi="標楷體" w:hint="eastAsia"/>
                <w:bCs/>
              </w:rPr>
              <w:t>6</w:t>
            </w:r>
          </w:p>
        </w:tc>
        <w:tc>
          <w:tcPr>
            <w:tcW w:w="9384" w:type="dxa"/>
            <w:tcBorders>
              <w:top w:val="nil"/>
              <w:bottom w:val="nil"/>
            </w:tcBorders>
            <w:shd w:val="clear" w:color="auto" w:fill="D9E2F3" w:themeFill="accent5" w:themeFillTint="33"/>
            <w:vAlign w:val="center"/>
          </w:tcPr>
          <w:p w14:paraId="3B7AB4DF" w14:textId="5C5A073F" w:rsidR="001D3658" w:rsidRPr="00411FEC" w:rsidRDefault="001D3658" w:rsidP="00484A3D">
            <w:pPr>
              <w:overflowPunct w:val="0"/>
              <w:spacing w:line="240" w:lineRule="exact"/>
              <w:jc w:val="both"/>
              <w:rPr>
                <w:rFonts w:ascii="標楷體" w:eastAsia="標楷體" w:hAnsi="標楷體"/>
                <w:bCs/>
              </w:rPr>
            </w:pPr>
            <w:r w:rsidRPr="00411FEC">
              <w:rPr>
                <w:rFonts w:ascii="標楷體" w:eastAsia="標楷體" w:hAnsi="標楷體" w:hint="eastAsia"/>
                <w:bCs/>
              </w:rPr>
              <w:t>台灣自來水公司第三區及屏東區管理處辦理「110年苗栗營運所管線修漏工程（開口合約）」等4件採購案執行情形。</w:t>
            </w:r>
          </w:p>
        </w:tc>
      </w:tr>
      <w:tr w:rsidR="001D3658" w:rsidRPr="00E17DB3" w14:paraId="43759D18" w14:textId="77777777" w:rsidTr="003C76F0">
        <w:trPr>
          <w:trHeight w:val="510"/>
        </w:trPr>
        <w:tc>
          <w:tcPr>
            <w:tcW w:w="709" w:type="dxa"/>
            <w:tcBorders>
              <w:top w:val="nil"/>
              <w:bottom w:val="nil"/>
            </w:tcBorders>
            <w:vAlign w:val="center"/>
          </w:tcPr>
          <w:p w14:paraId="707D5749" w14:textId="77777777" w:rsidR="001D3658" w:rsidRPr="00E17DB3" w:rsidRDefault="001D3658" w:rsidP="00484A3D">
            <w:pPr>
              <w:overflowPunct w:val="0"/>
              <w:spacing w:line="240" w:lineRule="exact"/>
              <w:jc w:val="center"/>
              <w:rPr>
                <w:rFonts w:ascii="標楷體" w:eastAsia="標楷體" w:hAnsi="標楷體"/>
                <w:bCs/>
              </w:rPr>
            </w:pPr>
            <w:r w:rsidRPr="00E17DB3">
              <w:rPr>
                <w:rFonts w:ascii="標楷體" w:eastAsia="標楷體" w:hAnsi="標楷體" w:hint="eastAsia"/>
                <w:bCs/>
              </w:rPr>
              <w:t>7</w:t>
            </w:r>
          </w:p>
        </w:tc>
        <w:tc>
          <w:tcPr>
            <w:tcW w:w="9384" w:type="dxa"/>
            <w:tcBorders>
              <w:top w:val="nil"/>
              <w:bottom w:val="nil"/>
            </w:tcBorders>
            <w:vAlign w:val="center"/>
          </w:tcPr>
          <w:p w14:paraId="138A80A3" w14:textId="04D4D056" w:rsidR="001D3658" w:rsidRPr="00E17DB3" w:rsidRDefault="001D3658" w:rsidP="00484A3D">
            <w:pPr>
              <w:overflowPunct w:val="0"/>
              <w:spacing w:line="240" w:lineRule="exact"/>
              <w:jc w:val="both"/>
              <w:rPr>
                <w:rFonts w:ascii="標楷體" w:eastAsia="標楷體" w:hAnsi="標楷體"/>
                <w:bCs/>
              </w:rPr>
            </w:pPr>
            <w:r w:rsidRPr="00E17DB3">
              <w:rPr>
                <w:rFonts w:ascii="標楷體" w:eastAsia="標楷體" w:hAnsi="標楷體" w:hint="eastAsia"/>
                <w:bCs/>
              </w:rPr>
              <w:t>台灣中油公司煉製事業部桃園煉油廠員工無照駕駛公務車翻覆案。</w:t>
            </w:r>
          </w:p>
        </w:tc>
      </w:tr>
      <w:tr w:rsidR="001D3658" w:rsidRPr="00E17DB3" w14:paraId="2C979D53" w14:textId="77777777" w:rsidTr="003C76F0">
        <w:trPr>
          <w:trHeight w:val="510"/>
        </w:trPr>
        <w:tc>
          <w:tcPr>
            <w:tcW w:w="709" w:type="dxa"/>
            <w:tcBorders>
              <w:top w:val="nil"/>
              <w:bottom w:val="nil"/>
            </w:tcBorders>
            <w:shd w:val="clear" w:color="auto" w:fill="D9E2F3" w:themeFill="accent5" w:themeFillTint="33"/>
            <w:vAlign w:val="center"/>
          </w:tcPr>
          <w:p w14:paraId="12187E2F" w14:textId="77777777" w:rsidR="001D3658" w:rsidRPr="00E17DB3" w:rsidRDefault="001D3658" w:rsidP="00484A3D">
            <w:pPr>
              <w:overflowPunct w:val="0"/>
              <w:spacing w:line="240" w:lineRule="exact"/>
              <w:jc w:val="center"/>
              <w:rPr>
                <w:rFonts w:ascii="標楷體" w:eastAsia="標楷體" w:hAnsi="標楷體"/>
                <w:bCs/>
              </w:rPr>
            </w:pPr>
            <w:r>
              <w:rPr>
                <w:rFonts w:ascii="標楷體" w:eastAsia="標楷體" w:hAnsi="標楷體" w:hint="eastAsia"/>
                <w:bCs/>
              </w:rPr>
              <w:t>8</w:t>
            </w:r>
          </w:p>
        </w:tc>
        <w:tc>
          <w:tcPr>
            <w:tcW w:w="9384" w:type="dxa"/>
            <w:tcBorders>
              <w:top w:val="nil"/>
              <w:bottom w:val="nil"/>
            </w:tcBorders>
            <w:shd w:val="clear" w:color="auto" w:fill="D9E2F3" w:themeFill="accent5" w:themeFillTint="33"/>
            <w:vAlign w:val="center"/>
          </w:tcPr>
          <w:p w14:paraId="50AD8A18" w14:textId="73491B8D" w:rsidR="001D3658" w:rsidRPr="00BD2595" w:rsidRDefault="001D3658" w:rsidP="00484A3D">
            <w:pPr>
              <w:overflowPunct w:val="0"/>
              <w:spacing w:line="240" w:lineRule="exact"/>
              <w:jc w:val="both"/>
              <w:rPr>
                <w:rFonts w:ascii="標楷體" w:eastAsia="標楷體" w:hAnsi="標楷體"/>
                <w:bCs/>
              </w:rPr>
            </w:pPr>
            <w:r w:rsidRPr="00BD2595">
              <w:rPr>
                <w:rFonts w:ascii="標楷體" w:eastAsia="標楷體" w:hAnsi="標楷體" w:hint="eastAsia"/>
                <w:bCs/>
              </w:rPr>
              <w:t>台灣中油公司石化事業部林園石化廠辦理新三輕組低溫工場大修及定檢工作執行情形。</w:t>
            </w:r>
          </w:p>
        </w:tc>
      </w:tr>
      <w:tr w:rsidR="001D3658" w:rsidRPr="00E17DB3" w14:paraId="48F0821E" w14:textId="77777777" w:rsidTr="003C76F0">
        <w:trPr>
          <w:trHeight w:val="510"/>
        </w:trPr>
        <w:tc>
          <w:tcPr>
            <w:tcW w:w="709" w:type="dxa"/>
            <w:tcBorders>
              <w:top w:val="nil"/>
              <w:bottom w:val="nil"/>
            </w:tcBorders>
            <w:vAlign w:val="center"/>
          </w:tcPr>
          <w:p w14:paraId="4F7B547D" w14:textId="77777777" w:rsidR="001D3658" w:rsidRPr="00E17DB3" w:rsidRDefault="001D3658" w:rsidP="00484A3D">
            <w:pPr>
              <w:overflowPunct w:val="0"/>
              <w:spacing w:line="240" w:lineRule="exact"/>
              <w:jc w:val="center"/>
              <w:rPr>
                <w:rFonts w:ascii="標楷體" w:eastAsia="標楷體" w:hAnsi="標楷體"/>
                <w:bCs/>
              </w:rPr>
            </w:pPr>
            <w:r>
              <w:rPr>
                <w:rFonts w:ascii="標楷體" w:eastAsia="標楷體" w:hAnsi="標楷體" w:hint="eastAsia"/>
                <w:bCs/>
              </w:rPr>
              <w:t>9</w:t>
            </w:r>
          </w:p>
        </w:tc>
        <w:tc>
          <w:tcPr>
            <w:tcW w:w="9384" w:type="dxa"/>
            <w:tcBorders>
              <w:top w:val="nil"/>
              <w:bottom w:val="nil"/>
            </w:tcBorders>
            <w:vAlign w:val="center"/>
          </w:tcPr>
          <w:p w14:paraId="4965295C" w14:textId="56B2E5C9" w:rsidR="001D3658" w:rsidRPr="00E17DB3" w:rsidRDefault="001D3658" w:rsidP="00484A3D">
            <w:pPr>
              <w:overflowPunct w:val="0"/>
              <w:spacing w:line="240" w:lineRule="exact"/>
              <w:jc w:val="both"/>
              <w:rPr>
                <w:rFonts w:ascii="標楷體" w:eastAsia="標楷體" w:hAnsi="標楷體"/>
                <w:bCs/>
              </w:rPr>
            </w:pPr>
            <w:r w:rsidRPr="00E17DB3">
              <w:rPr>
                <w:rFonts w:ascii="標楷體" w:eastAsia="標楷體" w:hAnsi="標楷體" w:hint="eastAsia"/>
                <w:bCs/>
              </w:rPr>
              <w:t>臺灣菸酒公司竹南營業所員工私下販售菸酒商品予同業案</w:t>
            </w:r>
            <w:r w:rsidRPr="00E17DB3">
              <w:rPr>
                <w:rFonts w:ascii="標楷體" w:eastAsia="標楷體" w:hAnsi="標楷體" w:hint="eastAsia"/>
              </w:rPr>
              <w:t>。</w:t>
            </w:r>
          </w:p>
        </w:tc>
      </w:tr>
      <w:tr w:rsidR="001D3658" w:rsidRPr="00E17DB3" w14:paraId="121B8C49" w14:textId="77777777" w:rsidTr="003C76F0">
        <w:trPr>
          <w:trHeight w:val="510"/>
        </w:trPr>
        <w:tc>
          <w:tcPr>
            <w:tcW w:w="709" w:type="dxa"/>
            <w:tcBorders>
              <w:top w:val="nil"/>
              <w:bottom w:val="nil"/>
            </w:tcBorders>
            <w:shd w:val="clear" w:color="auto" w:fill="D9E2F3" w:themeFill="accent5" w:themeFillTint="33"/>
            <w:vAlign w:val="center"/>
          </w:tcPr>
          <w:p w14:paraId="4DBC8E9E" w14:textId="77777777" w:rsidR="001D3658" w:rsidRPr="00E17DB3" w:rsidRDefault="001D3658" w:rsidP="00484A3D">
            <w:pPr>
              <w:overflowPunct w:val="0"/>
              <w:spacing w:line="240" w:lineRule="exact"/>
              <w:jc w:val="center"/>
              <w:rPr>
                <w:rFonts w:ascii="標楷體" w:eastAsia="標楷體" w:hAnsi="標楷體"/>
                <w:bCs/>
              </w:rPr>
            </w:pPr>
            <w:r>
              <w:rPr>
                <w:rFonts w:ascii="標楷體" w:eastAsia="標楷體" w:hAnsi="標楷體" w:hint="eastAsia"/>
                <w:bCs/>
              </w:rPr>
              <w:t>1</w:t>
            </w:r>
            <w:r>
              <w:rPr>
                <w:rFonts w:ascii="標楷體" w:eastAsia="標楷體" w:hAnsi="標楷體"/>
                <w:bCs/>
              </w:rPr>
              <w:t>0</w:t>
            </w:r>
          </w:p>
        </w:tc>
        <w:tc>
          <w:tcPr>
            <w:tcW w:w="9384" w:type="dxa"/>
            <w:tcBorders>
              <w:top w:val="nil"/>
              <w:bottom w:val="nil"/>
            </w:tcBorders>
            <w:shd w:val="clear" w:color="auto" w:fill="D9E2F3" w:themeFill="accent5" w:themeFillTint="33"/>
            <w:vAlign w:val="center"/>
          </w:tcPr>
          <w:p w14:paraId="55B81572" w14:textId="282629B6" w:rsidR="001D3658" w:rsidRPr="00E17DB3" w:rsidRDefault="001D3658" w:rsidP="00484A3D">
            <w:pPr>
              <w:overflowPunct w:val="0"/>
              <w:spacing w:line="240" w:lineRule="exact"/>
              <w:jc w:val="both"/>
              <w:rPr>
                <w:rFonts w:ascii="標楷體" w:eastAsia="標楷體" w:hAnsi="標楷體"/>
                <w:bCs/>
              </w:rPr>
            </w:pPr>
            <w:r w:rsidRPr="002C5A94">
              <w:rPr>
                <w:rFonts w:ascii="標楷體" w:eastAsia="標楷體" w:hAnsi="標楷體" w:hint="eastAsia"/>
                <w:bCs/>
              </w:rPr>
              <w:t>台灣電力公司核能火力發電工程處南部施工處辦理大林電廠燃氣機組更新改建計畫冷卻循環水系統工程採購案</w:t>
            </w:r>
            <w:r w:rsidRPr="00BD2595">
              <w:rPr>
                <w:rFonts w:ascii="標楷體" w:eastAsia="標楷體" w:hAnsi="標楷體" w:hint="eastAsia"/>
                <w:bCs/>
              </w:rPr>
              <w:t>。</w:t>
            </w:r>
          </w:p>
        </w:tc>
      </w:tr>
      <w:tr w:rsidR="001D3658" w:rsidRPr="00E17DB3" w14:paraId="7C303A1F" w14:textId="77777777" w:rsidTr="003C76F0">
        <w:trPr>
          <w:trHeight w:val="510"/>
        </w:trPr>
        <w:tc>
          <w:tcPr>
            <w:tcW w:w="709" w:type="dxa"/>
            <w:tcBorders>
              <w:top w:val="nil"/>
              <w:bottom w:val="nil"/>
            </w:tcBorders>
            <w:vAlign w:val="center"/>
          </w:tcPr>
          <w:p w14:paraId="45E18624" w14:textId="77777777" w:rsidR="001D3658" w:rsidRPr="00E17DB3" w:rsidRDefault="001D3658" w:rsidP="00484A3D">
            <w:pPr>
              <w:overflowPunct w:val="0"/>
              <w:spacing w:line="240" w:lineRule="exact"/>
              <w:jc w:val="center"/>
              <w:rPr>
                <w:rFonts w:ascii="標楷體" w:eastAsia="標楷體" w:hAnsi="標楷體"/>
                <w:bCs/>
              </w:rPr>
            </w:pPr>
            <w:r>
              <w:rPr>
                <w:rFonts w:ascii="標楷體" w:eastAsia="標楷體" w:hAnsi="標楷體" w:hint="eastAsia"/>
                <w:bCs/>
              </w:rPr>
              <w:t>1</w:t>
            </w:r>
            <w:r>
              <w:rPr>
                <w:rFonts w:ascii="標楷體" w:eastAsia="標楷體" w:hAnsi="標楷體"/>
                <w:bCs/>
              </w:rPr>
              <w:t>1</w:t>
            </w:r>
          </w:p>
        </w:tc>
        <w:tc>
          <w:tcPr>
            <w:tcW w:w="9384" w:type="dxa"/>
            <w:tcBorders>
              <w:top w:val="nil"/>
              <w:bottom w:val="nil"/>
            </w:tcBorders>
            <w:vAlign w:val="center"/>
          </w:tcPr>
          <w:p w14:paraId="77E3E0B3" w14:textId="4CD8B35A" w:rsidR="001D3658" w:rsidRPr="00E17DB3" w:rsidRDefault="001D3658" w:rsidP="00484A3D">
            <w:pPr>
              <w:overflowPunct w:val="0"/>
              <w:spacing w:line="240" w:lineRule="exact"/>
              <w:jc w:val="both"/>
              <w:rPr>
                <w:rFonts w:ascii="標楷體" w:eastAsia="標楷體" w:hAnsi="標楷體"/>
                <w:bCs/>
              </w:rPr>
            </w:pPr>
            <w:r w:rsidRPr="00CD5AAE">
              <w:rPr>
                <w:rFonts w:ascii="標楷體" w:eastAsia="標楷體" w:hAnsi="標楷體" w:hint="eastAsia"/>
                <w:bCs/>
              </w:rPr>
              <w:t>臺灣鐵路公司財物報損案件未依規定就相關人員財務及行政責任查明妥處案</w:t>
            </w:r>
            <w:r w:rsidRPr="00E17DB3">
              <w:rPr>
                <w:rFonts w:ascii="標楷體" w:eastAsia="標楷體" w:hAnsi="標楷體" w:hint="eastAsia"/>
              </w:rPr>
              <w:t>。</w:t>
            </w:r>
          </w:p>
        </w:tc>
      </w:tr>
      <w:tr w:rsidR="001D3658" w:rsidRPr="00E17DB3" w14:paraId="067B702C" w14:textId="77777777" w:rsidTr="003C76F0">
        <w:trPr>
          <w:trHeight w:val="510"/>
        </w:trPr>
        <w:tc>
          <w:tcPr>
            <w:tcW w:w="709" w:type="dxa"/>
            <w:tcBorders>
              <w:top w:val="nil"/>
              <w:bottom w:val="nil"/>
            </w:tcBorders>
            <w:shd w:val="clear" w:color="auto" w:fill="D9E2F3" w:themeFill="accent5" w:themeFillTint="33"/>
            <w:vAlign w:val="center"/>
          </w:tcPr>
          <w:p w14:paraId="6132A448" w14:textId="77777777" w:rsidR="001D3658" w:rsidRPr="00E17DB3" w:rsidRDefault="001D3658" w:rsidP="00484A3D">
            <w:pPr>
              <w:overflowPunct w:val="0"/>
              <w:spacing w:line="240" w:lineRule="exact"/>
              <w:jc w:val="center"/>
              <w:rPr>
                <w:rFonts w:ascii="標楷體" w:eastAsia="標楷體" w:hAnsi="標楷體"/>
                <w:bCs/>
              </w:rPr>
            </w:pPr>
            <w:r>
              <w:rPr>
                <w:rFonts w:ascii="標楷體" w:eastAsia="標楷體" w:hAnsi="標楷體"/>
                <w:bCs/>
              </w:rPr>
              <w:t>1</w:t>
            </w:r>
            <w:r>
              <w:rPr>
                <w:rFonts w:ascii="標楷體" w:eastAsia="標楷體" w:hAnsi="標楷體" w:hint="eastAsia"/>
                <w:bCs/>
              </w:rPr>
              <w:t>2</w:t>
            </w:r>
          </w:p>
        </w:tc>
        <w:tc>
          <w:tcPr>
            <w:tcW w:w="9384" w:type="dxa"/>
            <w:tcBorders>
              <w:top w:val="nil"/>
              <w:bottom w:val="nil"/>
            </w:tcBorders>
            <w:shd w:val="clear" w:color="auto" w:fill="D9E2F3" w:themeFill="accent5" w:themeFillTint="33"/>
            <w:vAlign w:val="center"/>
          </w:tcPr>
          <w:p w14:paraId="6ED54315" w14:textId="334A02D4" w:rsidR="001D3658" w:rsidRPr="00E17DB3" w:rsidRDefault="001D3658" w:rsidP="00484A3D">
            <w:pPr>
              <w:overflowPunct w:val="0"/>
              <w:spacing w:line="240" w:lineRule="exact"/>
              <w:jc w:val="both"/>
              <w:rPr>
                <w:rFonts w:ascii="標楷體" w:eastAsia="標楷體" w:hAnsi="標楷體"/>
                <w:bCs/>
              </w:rPr>
            </w:pPr>
            <w:r w:rsidRPr="002C7A42">
              <w:rPr>
                <w:rFonts w:ascii="標楷體" w:eastAsia="標楷體" w:hAnsi="標楷體" w:hint="eastAsia"/>
                <w:bCs/>
              </w:rPr>
              <w:t>臺灣銀行公司</w:t>
            </w:r>
            <w:r w:rsidRPr="00E55D62">
              <w:rPr>
                <w:rFonts w:ascii="標楷體" w:eastAsia="標楷體" w:hAnsi="標楷體" w:hint="eastAsia"/>
                <w:bCs/>
              </w:rPr>
              <w:t>存有行員逾越規定辦理未臨櫃眷屬之存匯款作業案</w:t>
            </w:r>
            <w:r w:rsidRPr="00E17DB3">
              <w:rPr>
                <w:rFonts w:ascii="標楷體" w:eastAsia="標楷體" w:hAnsi="標楷體" w:hint="eastAsia"/>
              </w:rPr>
              <w:t>。</w:t>
            </w:r>
          </w:p>
        </w:tc>
      </w:tr>
      <w:tr w:rsidR="001D3658" w:rsidRPr="00E17DB3" w14:paraId="7ED7F545" w14:textId="77777777" w:rsidTr="003C76F0">
        <w:trPr>
          <w:trHeight w:val="510"/>
        </w:trPr>
        <w:tc>
          <w:tcPr>
            <w:tcW w:w="709" w:type="dxa"/>
            <w:tcBorders>
              <w:top w:val="nil"/>
              <w:bottom w:val="nil"/>
            </w:tcBorders>
            <w:vAlign w:val="center"/>
          </w:tcPr>
          <w:p w14:paraId="488AFF0E" w14:textId="77777777" w:rsidR="001D3658" w:rsidRDefault="001D3658" w:rsidP="00484A3D">
            <w:pPr>
              <w:overflowPunct w:val="0"/>
              <w:spacing w:line="240" w:lineRule="exact"/>
              <w:jc w:val="center"/>
              <w:rPr>
                <w:rFonts w:ascii="標楷體" w:eastAsia="標楷體" w:hAnsi="標楷體"/>
                <w:bCs/>
              </w:rPr>
            </w:pPr>
            <w:r>
              <w:rPr>
                <w:rFonts w:ascii="標楷體" w:eastAsia="標楷體" w:hAnsi="標楷體"/>
                <w:bCs/>
              </w:rPr>
              <w:t>1</w:t>
            </w:r>
            <w:r>
              <w:rPr>
                <w:rFonts w:ascii="標楷體" w:eastAsia="標楷體" w:hAnsi="標楷體" w:hint="eastAsia"/>
                <w:bCs/>
              </w:rPr>
              <w:t>3</w:t>
            </w:r>
          </w:p>
        </w:tc>
        <w:tc>
          <w:tcPr>
            <w:tcW w:w="9384" w:type="dxa"/>
            <w:tcBorders>
              <w:top w:val="nil"/>
              <w:bottom w:val="nil"/>
            </w:tcBorders>
            <w:vAlign w:val="center"/>
          </w:tcPr>
          <w:p w14:paraId="1767A956" w14:textId="395B4C7E" w:rsidR="001D3658" w:rsidRPr="008B589D" w:rsidRDefault="001D3658" w:rsidP="00484A3D">
            <w:pPr>
              <w:overflowPunct w:val="0"/>
              <w:spacing w:line="240" w:lineRule="exact"/>
              <w:jc w:val="both"/>
              <w:rPr>
                <w:rFonts w:ascii="標楷體" w:eastAsia="標楷體" w:hAnsi="標楷體"/>
                <w:bCs/>
                <w:spacing w:val="-4"/>
              </w:rPr>
            </w:pPr>
            <w:r w:rsidRPr="008B589D">
              <w:rPr>
                <w:rFonts w:ascii="標楷體" w:eastAsia="標楷體" w:hAnsi="標楷體" w:hint="eastAsia"/>
                <w:bCs/>
                <w:spacing w:val="-4"/>
              </w:rPr>
              <w:t>台灣電力公司第三核能發電廠辦理「SSILS電子卡片測試機等一批」採購案執行情形</w:t>
            </w:r>
            <w:r w:rsidRPr="008B589D">
              <w:rPr>
                <w:rFonts w:ascii="標楷體" w:eastAsia="標楷體" w:hAnsi="標楷體" w:hint="eastAsia"/>
                <w:spacing w:val="-4"/>
              </w:rPr>
              <w:t>。</w:t>
            </w:r>
          </w:p>
        </w:tc>
      </w:tr>
      <w:tr w:rsidR="001D3658" w:rsidRPr="00E17DB3" w14:paraId="0A11F4C2" w14:textId="77777777" w:rsidTr="003C76F0">
        <w:trPr>
          <w:trHeight w:val="510"/>
        </w:trPr>
        <w:tc>
          <w:tcPr>
            <w:tcW w:w="709" w:type="dxa"/>
            <w:tcBorders>
              <w:top w:val="nil"/>
              <w:bottom w:val="nil"/>
            </w:tcBorders>
            <w:shd w:val="clear" w:color="auto" w:fill="D9E2F3" w:themeFill="accent5" w:themeFillTint="33"/>
            <w:vAlign w:val="center"/>
          </w:tcPr>
          <w:p w14:paraId="3DE95EA3" w14:textId="77777777" w:rsidR="001D3658" w:rsidRDefault="001D3658" w:rsidP="00484A3D">
            <w:pPr>
              <w:overflowPunct w:val="0"/>
              <w:spacing w:line="240" w:lineRule="exact"/>
              <w:jc w:val="center"/>
              <w:rPr>
                <w:rFonts w:ascii="標楷體" w:eastAsia="標楷體" w:hAnsi="標楷體"/>
                <w:bCs/>
              </w:rPr>
            </w:pPr>
            <w:r>
              <w:rPr>
                <w:rFonts w:ascii="標楷體" w:eastAsia="標楷體" w:hAnsi="標楷體"/>
                <w:bCs/>
              </w:rPr>
              <w:t>1</w:t>
            </w:r>
            <w:r>
              <w:rPr>
                <w:rFonts w:ascii="標楷體" w:eastAsia="標楷體" w:hAnsi="標楷體" w:hint="eastAsia"/>
                <w:bCs/>
              </w:rPr>
              <w:t>4</w:t>
            </w:r>
          </w:p>
        </w:tc>
        <w:tc>
          <w:tcPr>
            <w:tcW w:w="9384" w:type="dxa"/>
            <w:tcBorders>
              <w:top w:val="nil"/>
              <w:bottom w:val="nil"/>
            </w:tcBorders>
            <w:shd w:val="clear" w:color="auto" w:fill="D9E2F3" w:themeFill="accent5" w:themeFillTint="33"/>
            <w:vAlign w:val="center"/>
          </w:tcPr>
          <w:p w14:paraId="3CE075BF" w14:textId="7E925091" w:rsidR="001D3658" w:rsidRPr="00E17DB3" w:rsidRDefault="001D3658" w:rsidP="00484A3D">
            <w:pPr>
              <w:overflowPunct w:val="0"/>
              <w:spacing w:line="240" w:lineRule="exact"/>
              <w:jc w:val="both"/>
              <w:rPr>
                <w:rFonts w:ascii="標楷體" w:eastAsia="標楷體" w:hAnsi="標楷體"/>
                <w:bCs/>
              </w:rPr>
            </w:pPr>
            <w:r w:rsidRPr="00483494">
              <w:rPr>
                <w:rFonts w:ascii="標楷體" w:eastAsia="標楷體" w:hAnsi="標楷體" w:hint="eastAsia"/>
                <w:bCs/>
              </w:rPr>
              <w:t>台灣電力公司台中發電廠辦理</w:t>
            </w:r>
            <w:r w:rsidRPr="00643FBC">
              <w:rPr>
                <w:rFonts w:ascii="標楷體" w:eastAsia="標楷體" w:hAnsi="標楷體" w:hint="eastAsia"/>
                <w:bCs/>
              </w:rPr>
              <w:t>「</w:t>
            </w:r>
            <w:r w:rsidRPr="00483494">
              <w:rPr>
                <w:rFonts w:ascii="標楷體" w:eastAsia="標楷體" w:hAnsi="標楷體" w:hint="eastAsia"/>
                <w:bCs/>
              </w:rPr>
              <w:t>中一四五七十機靜水池與進口暗渠道設備大修及經常維護工作</w:t>
            </w:r>
            <w:r w:rsidRPr="00643FBC">
              <w:rPr>
                <w:rFonts w:ascii="標楷體" w:eastAsia="標楷體" w:hAnsi="標楷體" w:hint="eastAsia"/>
                <w:bCs/>
              </w:rPr>
              <w:t>」</w:t>
            </w:r>
            <w:r w:rsidRPr="00483494">
              <w:rPr>
                <w:rFonts w:ascii="標楷體" w:eastAsia="標楷體" w:hAnsi="標楷體" w:hint="eastAsia"/>
                <w:bCs/>
              </w:rPr>
              <w:t>採購案執行情形</w:t>
            </w:r>
            <w:r w:rsidRPr="00E17DB3">
              <w:rPr>
                <w:rFonts w:ascii="標楷體" w:eastAsia="標楷體" w:hAnsi="標楷體" w:hint="eastAsia"/>
              </w:rPr>
              <w:t>。</w:t>
            </w:r>
          </w:p>
        </w:tc>
      </w:tr>
      <w:tr w:rsidR="001D3658" w:rsidRPr="00E17DB3" w14:paraId="190F8FEF" w14:textId="77777777" w:rsidTr="003C76F0">
        <w:trPr>
          <w:trHeight w:val="510"/>
        </w:trPr>
        <w:tc>
          <w:tcPr>
            <w:tcW w:w="709" w:type="dxa"/>
            <w:tcBorders>
              <w:top w:val="nil"/>
              <w:bottom w:val="single" w:sz="4" w:space="0" w:color="000000" w:themeColor="text1"/>
            </w:tcBorders>
            <w:vAlign w:val="center"/>
          </w:tcPr>
          <w:p w14:paraId="6DE77E2E" w14:textId="77777777" w:rsidR="001D3658" w:rsidRDefault="001D3658" w:rsidP="00484A3D">
            <w:pPr>
              <w:overflowPunct w:val="0"/>
              <w:spacing w:line="240" w:lineRule="exact"/>
              <w:jc w:val="center"/>
              <w:rPr>
                <w:rFonts w:ascii="標楷體" w:eastAsia="標楷體" w:hAnsi="標楷體"/>
                <w:bCs/>
              </w:rPr>
            </w:pPr>
            <w:r>
              <w:rPr>
                <w:rFonts w:ascii="標楷體" w:eastAsia="標楷體" w:hAnsi="標楷體" w:hint="eastAsia"/>
                <w:bCs/>
              </w:rPr>
              <w:t>1</w:t>
            </w:r>
            <w:r>
              <w:rPr>
                <w:rFonts w:ascii="標楷體" w:eastAsia="標楷體" w:hAnsi="標楷體"/>
                <w:bCs/>
              </w:rPr>
              <w:t>5</w:t>
            </w:r>
          </w:p>
        </w:tc>
        <w:tc>
          <w:tcPr>
            <w:tcW w:w="9384" w:type="dxa"/>
            <w:tcBorders>
              <w:top w:val="nil"/>
              <w:bottom w:val="single" w:sz="4" w:space="0" w:color="000000" w:themeColor="text1"/>
            </w:tcBorders>
            <w:vAlign w:val="center"/>
          </w:tcPr>
          <w:p w14:paraId="64E0A464" w14:textId="12F4CFF9" w:rsidR="001D3658" w:rsidRPr="00E17DB3" w:rsidRDefault="005E74E0" w:rsidP="00484A3D">
            <w:pPr>
              <w:overflowPunct w:val="0"/>
              <w:spacing w:line="240" w:lineRule="exact"/>
              <w:jc w:val="both"/>
              <w:rPr>
                <w:rFonts w:ascii="標楷體" w:eastAsia="標楷體" w:hAnsi="標楷體"/>
                <w:bCs/>
              </w:rPr>
            </w:pPr>
            <w:r>
              <w:rPr>
                <w:rFonts w:ascii="標楷體" w:eastAsia="標楷體" w:hAnsi="標楷體" w:hint="eastAsia"/>
                <w:bCs/>
              </w:rPr>
              <w:t>臺灣鐵路公司</w:t>
            </w:r>
            <w:r w:rsidR="001D3658" w:rsidRPr="00CD5AAE">
              <w:rPr>
                <w:rFonts w:ascii="標楷體" w:eastAsia="標楷體" w:hAnsi="標楷體" w:hint="eastAsia"/>
                <w:bCs/>
              </w:rPr>
              <w:t>逾期欠款債權催收款項轉銷情形</w:t>
            </w:r>
            <w:r w:rsidR="001D3658" w:rsidRPr="00E17DB3">
              <w:rPr>
                <w:rFonts w:ascii="標楷體" w:eastAsia="標楷體" w:hAnsi="標楷體" w:hint="eastAsia"/>
              </w:rPr>
              <w:t>。</w:t>
            </w:r>
          </w:p>
        </w:tc>
      </w:tr>
    </w:tbl>
    <w:p w14:paraId="2A72F7E8" w14:textId="72E25C18" w:rsidR="004F06A3" w:rsidRDefault="00FC4D71" w:rsidP="004F06A3">
      <w:pPr>
        <w:overflowPunct w:val="0"/>
        <w:snapToGrid w:val="0"/>
        <w:spacing w:line="600" w:lineRule="exact"/>
        <w:ind w:firstLineChars="200" w:firstLine="480"/>
        <w:jc w:val="both"/>
        <w:rPr>
          <w:rFonts w:ascii="標楷體" w:hAnsi="標楷體"/>
          <w:color w:val="000000" w:themeColor="text1"/>
          <w:sz w:val="28"/>
          <w:szCs w:val="28"/>
        </w:rPr>
      </w:pPr>
      <w:r w:rsidRPr="00E17DB3">
        <w:rPr>
          <w:rFonts w:hAnsi="標楷體" w:hint="eastAsia"/>
          <w:noProof/>
        </w:rPr>
        <w:lastRenderedPageBreak/>
        <mc:AlternateContent>
          <mc:Choice Requires="wps">
            <w:drawing>
              <wp:anchor distT="0" distB="0" distL="114300" distR="114300" simplePos="0" relativeHeight="251762688" behindDoc="0" locked="0" layoutInCell="1" allowOverlap="1" wp14:anchorId="0929BD28" wp14:editId="1FA36488">
                <wp:simplePos x="0" y="0"/>
                <wp:positionH relativeFrom="margin">
                  <wp:align>left</wp:align>
                </wp:positionH>
                <wp:positionV relativeFrom="paragraph">
                  <wp:posOffset>3242945</wp:posOffset>
                </wp:positionV>
                <wp:extent cx="6524625" cy="1628775"/>
                <wp:effectExtent l="0" t="0" r="0" b="9525"/>
                <wp:wrapSquare wrapText="bothSides"/>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4625" cy="16287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6933F91" w14:textId="70887C13" w:rsidR="00A215E4" w:rsidRPr="00421A8D" w:rsidRDefault="00A215E4" w:rsidP="00A215E4">
                            <w:pPr>
                              <w:overflowPunct w:val="0"/>
                              <w:spacing w:beforeLines="20" w:before="72" w:afterLines="20" w:after="72" w:line="280" w:lineRule="exact"/>
                              <w:ind w:leftChars="5" w:left="673" w:rightChars="3" w:right="7" w:hangingChars="275" w:hanging="661"/>
                              <w:rPr>
                                <w:rFonts w:ascii="標楷體" w:hAnsi="標楷體"/>
                                <w:b/>
                                <w:bCs/>
                              </w:rPr>
                            </w:pPr>
                            <w:r w:rsidRPr="00421A8D">
                              <w:rPr>
                                <w:rFonts w:ascii="標楷體" w:hAnsi="標楷體" w:hint="eastAsia"/>
                                <w:b/>
                                <w:bCs/>
                              </w:rPr>
                              <w:t>表</w:t>
                            </w:r>
                            <w:r w:rsidR="00B140EF">
                              <w:rPr>
                                <w:rFonts w:ascii="標楷體" w:hAnsi="標楷體"/>
                                <w:b/>
                                <w:bCs/>
                              </w:rPr>
                              <w:t>3</w:t>
                            </w:r>
                            <w:r w:rsidRPr="00421A8D">
                              <w:rPr>
                                <w:rFonts w:ascii="標楷體" w:hAnsi="標楷體" w:hint="eastAsia"/>
                                <w:b/>
                                <w:bCs/>
                              </w:rPr>
                              <w:t xml:space="preserve">　</w:t>
                            </w:r>
                            <w:r w:rsidRPr="00B140EF">
                              <w:rPr>
                                <w:rFonts w:ascii="標楷體" w:hAnsi="標楷體" w:hint="eastAsia"/>
                                <w:b/>
                                <w:bCs/>
                                <w:spacing w:val="-6"/>
                              </w:rPr>
                              <w:t>審計部於11</w:t>
                            </w:r>
                            <w:r w:rsidRPr="00B140EF">
                              <w:rPr>
                                <w:rFonts w:ascii="標楷體" w:hAnsi="標楷體"/>
                                <w:b/>
                                <w:bCs/>
                                <w:spacing w:val="-6"/>
                              </w:rPr>
                              <w:t>5</w:t>
                            </w:r>
                            <w:r w:rsidRPr="00B140EF">
                              <w:rPr>
                                <w:rFonts w:ascii="標楷體" w:hAnsi="標楷體" w:hint="eastAsia"/>
                                <w:b/>
                                <w:bCs/>
                                <w:spacing w:val="-6"/>
                              </w:rPr>
                              <w:t>年1月1日至6月30日</w:t>
                            </w:r>
                            <w:r w:rsidRPr="00B140EF">
                              <w:rPr>
                                <w:rFonts w:ascii="標楷體" w:hAnsi="標楷體"/>
                                <w:b/>
                                <w:bCs/>
                                <w:spacing w:val="-6"/>
                              </w:rPr>
                              <w:t>依審計法第20條第2項規定報請監察院依法處理案件</w:t>
                            </w:r>
                          </w:p>
                          <w:tbl>
                            <w:tblPr>
                              <w:tblStyle w:val="a9"/>
                              <w:tblW w:w="10207" w:type="dxa"/>
                              <w:tblInd w:w="-147" w:type="dxa"/>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829"/>
                              <w:gridCol w:w="9378"/>
                            </w:tblGrid>
                            <w:tr w:rsidR="00A215E4" w:rsidRPr="00400CF8" w14:paraId="07E49B12" w14:textId="77777777" w:rsidTr="0012688D">
                              <w:trPr>
                                <w:trHeight w:val="652"/>
                              </w:trPr>
                              <w:tc>
                                <w:tcPr>
                                  <w:tcW w:w="829" w:type="dxa"/>
                                  <w:shd w:val="clear" w:color="auto" w:fill="B4C6E7" w:themeFill="accent5" w:themeFillTint="66"/>
                                  <w:vAlign w:val="center"/>
                                </w:tcPr>
                                <w:p w14:paraId="49FA64A2" w14:textId="77777777" w:rsidR="00A215E4" w:rsidRPr="00400CF8" w:rsidRDefault="00A215E4" w:rsidP="00FF61FF">
                                  <w:pPr>
                                    <w:overflowPunct w:val="0"/>
                                    <w:spacing w:line="260" w:lineRule="exact"/>
                                    <w:jc w:val="center"/>
                                    <w:rPr>
                                      <w:rFonts w:ascii="標楷體" w:eastAsia="標楷體" w:hAnsi="標楷體"/>
                                      <w:b/>
                                      <w:bCs/>
                                    </w:rPr>
                                  </w:pPr>
                                  <w:r w:rsidRPr="00400CF8">
                                    <w:rPr>
                                      <w:rFonts w:ascii="標楷體" w:eastAsia="標楷體" w:hAnsi="標楷體" w:hint="eastAsia"/>
                                      <w:b/>
                                      <w:bCs/>
                                    </w:rPr>
                                    <w:t>項次</w:t>
                                  </w:r>
                                </w:p>
                              </w:tc>
                              <w:tc>
                                <w:tcPr>
                                  <w:tcW w:w="9378" w:type="dxa"/>
                                  <w:shd w:val="clear" w:color="auto" w:fill="B4C6E7" w:themeFill="accent5" w:themeFillTint="66"/>
                                  <w:vAlign w:val="center"/>
                                </w:tcPr>
                                <w:p w14:paraId="25F37538" w14:textId="1D8D67CA" w:rsidR="00A215E4" w:rsidRPr="00400CF8" w:rsidRDefault="00A215E4" w:rsidP="00A215E4">
                                  <w:pPr>
                                    <w:overflowPunct w:val="0"/>
                                    <w:spacing w:line="260" w:lineRule="exact"/>
                                    <w:jc w:val="center"/>
                                    <w:rPr>
                                      <w:rFonts w:ascii="標楷體" w:eastAsia="標楷體" w:hAnsi="標楷體"/>
                                      <w:b/>
                                      <w:bCs/>
                                    </w:rPr>
                                  </w:pPr>
                                  <w:r w:rsidRPr="00400CF8">
                                    <w:rPr>
                                      <w:rFonts w:ascii="標楷體" w:eastAsia="標楷體" w:hAnsi="標楷體" w:hint="eastAsia"/>
                                      <w:b/>
                                      <w:bCs/>
                                    </w:rPr>
                                    <w:t>案</w:t>
                                  </w:r>
                                  <w:r w:rsidR="001A095C">
                                    <w:rPr>
                                      <w:rFonts w:ascii="標楷體" w:eastAsia="標楷體" w:hAnsi="標楷體" w:hint="eastAsia"/>
                                      <w:b/>
                                      <w:bCs/>
                                    </w:rPr>
                                    <w:t xml:space="preserve"> </w:t>
                                  </w:r>
                                  <w:r w:rsidR="001A095C">
                                    <w:rPr>
                                      <w:rFonts w:ascii="標楷體" w:eastAsia="標楷體" w:hAnsi="標楷體"/>
                                      <w:b/>
                                      <w:bCs/>
                                    </w:rPr>
                                    <w:t xml:space="preserve">        </w:t>
                                  </w:r>
                                  <w:r w:rsidRPr="00400CF8">
                                    <w:rPr>
                                      <w:rFonts w:ascii="標楷體" w:eastAsia="標楷體" w:hAnsi="標楷體" w:hint="eastAsia"/>
                                      <w:b/>
                                      <w:bCs/>
                                    </w:rPr>
                                    <w:t>名</w:t>
                                  </w:r>
                                </w:p>
                              </w:tc>
                            </w:tr>
                            <w:tr w:rsidR="00A215E4" w:rsidRPr="00400CF8" w14:paraId="450FADC9" w14:textId="77777777" w:rsidTr="0012688D">
                              <w:trPr>
                                <w:trHeight w:val="652"/>
                              </w:trPr>
                              <w:tc>
                                <w:tcPr>
                                  <w:tcW w:w="829" w:type="dxa"/>
                                  <w:tcBorders>
                                    <w:bottom w:val="nil"/>
                                  </w:tcBorders>
                                  <w:vAlign w:val="center"/>
                                </w:tcPr>
                                <w:p w14:paraId="681DBE14" w14:textId="77777777" w:rsidR="00A215E4" w:rsidRPr="00400CF8" w:rsidRDefault="00A215E4" w:rsidP="00C02498">
                                  <w:pPr>
                                    <w:overflowPunct w:val="0"/>
                                    <w:spacing w:line="280" w:lineRule="exact"/>
                                    <w:jc w:val="center"/>
                                    <w:rPr>
                                      <w:rFonts w:ascii="標楷體" w:eastAsia="標楷體" w:hAnsi="標楷體"/>
                                      <w:bCs/>
                                    </w:rPr>
                                  </w:pPr>
                                  <w:r>
                                    <w:rPr>
                                      <w:rFonts w:ascii="標楷體" w:eastAsia="標楷體" w:hAnsi="標楷體" w:hint="eastAsia"/>
                                      <w:bCs/>
                                    </w:rPr>
                                    <w:t>1</w:t>
                                  </w:r>
                                </w:p>
                              </w:tc>
                              <w:tc>
                                <w:tcPr>
                                  <w:tcW w:w="9378" w:type="dxa"/>
                                  <w:tcBorders>
                                    <w:bottom w:val="nil"/>
                                  </w:tcBorders>
                                  <w:vAlign w:val="center"/>
                                </w:tcPr>
                                <w:p w14:paraId="5811FC7A" w14:textId="77777777" w:rsidR="00A215E4" w:rsidRPr="00400CF8" w:rsidRDefault="00A215E4" w:rsidP="00C02498">
                                  <w:pPr>
                                    <w:overflowPunct w:val="0"/>
                                    <w:spacing w:line="280" w:lineRule="exact"/>
                                    <w:jc w:val="both"/>
                                    <w:rPr>
                                      <w:rFonts w:ascii="標楷體" w:eastAsia="標楷體" w:hAnsi="標楷體"/>
                                      <w:bCs/>
                                    </w:rPr>
                                  </w:pPr>
                                  <w:r w:rsidRPr="00DB5FDB">
                                    <w:rPr>
                                      <w:rFonts w:ascii="標楷體" w:eastAsia="標楷體" w:hAnsi="標楷體" w:hint="eastAsia"/>
                                      <w:bCs/>
                                    </w:rPr>
                                    <w:t>國防部及所屬與國家中山科學研究院簽訂委製協議書有關履約計罰執行情形</w:t>
                                  </w:r>
                                  <w:r>
                                    <w:rPr>
                                      <w:rFonts w:ascii="標楷體" w:eastAsia="標楷體" w:hAnsi="標楷體" w:hint="eastAsia"/>
                                      <w:bCs/>
                                    </w:rPr>
                                    <w:t>。</w:t>
                                  </w:r>
                                </w:p>
                              </w:tc>
                            </w:tr>
                            <w:tr w:rsidR="00A215E4" w:rsidRPr="00400CF8" w14:paraId="56D91963" w14:textId="77777777" w:rsidTr="0012688D">
                              <w:trPr>
                                <w:trHeight w:val="652"/>
                              </w:trPr>
                              <w:tc>
                                <w:tcPr>
                                  <w:tcW w:w="829" w:type="dxa"/>
                                  <w:tcBorders>
                                    <w:top w:val="nil"/>
                                    <w:bottom w:val="single" w:sz="4" w:space="0" w:color="000000" w:themeColor="text1"/>
                                  </w:tcBorders>
                                  <w:shd w:val="clear" w:color="auto" w:fill="D9E2F3" w:themeFill="accent5" w:themeFillTint="33"/>
                                  <w:vAlign w:val="center"/>
                                </w:tcPr>
                                <w:p w14:paraId="058ACD38" w14:textId="77777777" w:rsidR="00A215E4" w:rsidRPr="00400CF8" w:rsidRDefault="00A215E4" w:rsidP="00C02498">
                                  <w:pPr>
                                    <w:overflowPunct w:val="0"/>
                                    <w:spacing w:line="280" w:lineRule="exact"/>
                                    <w:jc w:val="center"/>
                                    <w:rPr>
                                      <w:rFonts w:ascii="標楷體" w:eastAsia="標楷體" w:hAnsi="標楷體"/>
                                      <w:bCs/>
                                    </w:rPr>
                                  </w:pPr>
                                  <w:r>
                                    <w:rPr>
                                      <w:rFonts w:ascii="標楷體" w:eastAsia="標楷體" w:hAnsi="標楷體" w:hint="eastAsia"/>
                                      <w:bCs/>
                                    </w:rPr>
                                    <w:t>2</w:t>
                                  </w:r>
                                </w:p>
                              </w:tc>
                              <w:tc>
                                <w:tcPr>
                                  <w:tcW w:w="9378" w:type="dxa"/>
                                  <w:tcBorders>
                                    <w:top w:val="nil"/>
                                    <w:bottom w:val="single" w:sz="4" w:space="0" w:color="000000" w:themeColor="text1"/>
                                  </w:tcBorders>
                                  <w:shd w:val="clear" w:color="auto" w:fill="D9E2F3" w:themeFill="accent5" w:themeFillTint="33"/>
                                  <w:vAlign w:val="center"/>
                                </w:tcPr>
                                <w:p w14:paraId="38EF7E9D" w14:textId="14851000" w:rsidR="00A215E4" w:rsidRPr="00400CF8" w:rsidRDefault="005E74E0" w:rsidP="00C02498">
                                  <w:pPr>
                                    <w:overflowPunct w:val="0"/>
                                    <w:spacing w:line="280" w:lineRule="exact"/>
                                    <w:jc w:val="both"/>
                                    <w:rPr>
                                      <w:rFonts w:ascii="標楷體" w:eastAsia="標楷體" w:hAnsi="標楷體"/>
                                      <w:bCs/>
                                    </w:rPr>
                                  </w:pPr>
                                  <w:r>
                                    <w:rPr>
                                      <w:rFonts w:ascii="標楷體" w:eastAsia="標楷體" w:hAnsi="標楷體" w:hint="eastAsia"/>
                                      <w:bCs/>
                                    </w:rPr>
                                    <w:t>臺灣鐵路公司</w:t>
                                  </w:r>
                                  <w:r w:rsidR="00A215E4" w:rsidRPr="00CD5AAE">
                                    <w:rPr>
                                      <w:rFonts w:ascii="標楷體" w:eastAsia="標楷體" w:hAnsi="標楷體" w:hint="eastAsia"/>
                                      <w:bCs/>
                                    </w:rPr>
                                    <w:t>辦理油料管理及污染防治作業執行情形</w:t>
                                  </w:r>
                                  <w:r w:rsidR="00A215E4">
                                    <w:rPr>
                                      <w:rFonts w:ascii="標楷體" w:eastAsia="標楷體" w:hAnsi="標楷體" w:hint="eastAsia"/>
                                      <w:bCs/>
                                    </w:rPr>
                                    <w:t>。</w:t>
                                  </w:r>
                                </w:p>
                              </w:tc>
                            </w:tr>
                          </w:tbl>
                          <w:p w14:paraId="61AFC853" w14:textId="77777777" w:rsidR="00A215E4" w:rsidRPr="00421A8D" w:rsidRDefault="00A215E4" w:rsidP="00A215E4">
                            <w:pPr>
                              <w:spacing w:line="280" w:lineRule="exact"/>
                              <w:ind w:right="210"/>
                              <w:jc w:val="both"/>
                              <w:rPr>
                                <w:rFonts w:ascii="標楷體" w:hAnsi="標楷體"/>
                                <w:b/>
                                <w:b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29BD28" id="_x0000_t202" coordsize="21600,21600" o:spt="202" path="m,l,21600r21600,l21600,xe">
                <v:stroke joinstyle="miter"/>
                <v:path gradientshapeok="t" o:connecttype="rect"/>
              </v:shapetype>
              <v:shape id="文字方塊 7" o:spid="_x0000_s1026" type="#_x0000_t202" style="position:absolute;left:0;text-align:left;margin-left:0;margin-top:255.35pt;width:513.75pt;height:128.25pt;z-index:2517626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" filled="f" stroked="f">
                <v:textbox>
                  <w:txbxContent>
                    <w:p w14:paraId="36933F91" w14:textId="70887C13" w:rsidR="00A215E4" w:rsidRPr="00421A8D" w:rsidRDefault="00A215E4" w:rsidP="00A215E4">
                      <w:pPr>
                        <w:overflowPunct w:val="0"/>
                        <w:spacing w:beforeLines="20" w:before="72" w:afterLines="20" w:after="72" w:line="280" w:lineRule="exact"/>
                        <w:ind w:leftChars="5" w:left="673" w:rightChars="3" w:right="7" w:hangingChars="275" w:hanging="661"/>
                        <w:rPr>
                          <w:rFonts w:ascii="標楷體" w:hAnsi="標楷體"/>
                          <w:b/>
                          <w:bCs/>
                        </w:rPr>
                      </w:pPr>
                      <w:r w:rsidRPr="00421A8D">
                        <w:rPr>
                          <w:rFonts w:ascii="標楷體" w:hAnsi="標楷體" w:hint="eastAsia"/>
                          <w:b/>
                          <w:bCs/>
                        </w:rPr>
                        <w:t>表</w:t>
                      </w:r>
                      <w:r w:rsidR="00B140EF">
                        <w:rPr>
                          <w:rFonts w:ascii="標楷體" w:hAnsi="標楷體"/>
                          <w:b/>
                          <w:bCs/>
                        </w:rPr>
                        <w:t>3</w:t>
                      </w:r>
                      <w:r w:rsidRPr="00421A8D">
                        <w:rPr>
                          <w:rFonts w:ascii="標楷體" w:hAnsi="標楷體" w:hint="eastAsia"/>
                          <w:b/>
                          <w:bCs/>
                        </w:rPr>
                        <w:t xml:space="preserve">　</w:t>
                      </w:r>
                      <w:r w:rsidRPr="00B140EF">
                        <w:rPr>
                          <w:rFonts w:ascii="標楷體" w:hAnsi="標楷體" w:hint="eastAsia"/>
                          <w:b/>
                          <w:bCs/>
                          <w:spacing w:val="-6"/>
                        </w:rPr>
                        <w:t>審計部於11</w:t>
                      </w:r>
                      <w:r w:rsidRPr="00B140EF">
                        <w:rPr>
                          <w:rFonts w:ascii="標楷體" w:hAnsi="標楷體"/>
                          <w:b/>
                          <w:bCs/>
                          <w:spacing w:val="-6"/>
                        </w:rPr>
                        <w:t>5</w:t>
                      </w:r>
                      <w:r w:rsidRPr="00B140EF">
                        <w:rPr>
                          <w:rFonts w:ascii="標楷體" w:hAnsi="標楷體" w:hint="eastAsia"/>
                          <w:b/>
                          <w:bCs/>
                          <w:spacing w:val="-6"/>
                        </w:rPr>
                        <w:t>年1月1日至6月30日</w:t>
                      </w:r>
                      <w:r w:rsidRPr="00B140EF">
                        <w:rPr>
                          <w:rFonts w:ascii="標楷體" w:hAnsi="標楷體"/>
                          <w:b/>
                          <w:bCs/>
                          <w:spacing w:val="-6"/>
                        </w:rPr>
                        <w:t>依審計法第20條第2項規定報請監察院依法處理案件</w:t>
                      </w:r>
                    </w:p>
                    <w:tbl>
                      <w:tblPr>
                        <w:tblStyle w:val="a9"/>
                        <w:tblW w:w="10207" w:type="dxa"/>
                        <w:tblInd w:w="-147" w:type="dxa"/>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829"/>
                        <w:gridCol w:w="9378"/>
                      </w:tblGrid>
                      <w:tr w:rsidR="00A215E4" w:rsidRPr="00400CF8" w14:paraId="07E49B12" w14:textId="77777777" w:rsidTr="0012688D">
                        <w:trPr>
                          <w:trHeight w:val="652"/>
                        </w:trPr>
                        <w:tc>
                          <w:tcPr>
                            <w:tcW w:w="829" w:type="dxa"/>
                            <w:shd w:val="clear" w:color="auto" w:fill="B4C6E7" w:themeFill="accent5" w:themeFillTint="66"/>
                            <w:vAlign w:val="center"/>
                          </w:tcPr>
                          <w:p w14:paraId="49FA64A2" w14:textId="77777777" w:rsidR="00A215E4" w:rsidRPr="00400CF8" w:rsidRDefault="00A215E4" w:rsidP="00FF61FF">
                            <w:pPr>
                              <w:overflowPunct w:val="0"/>
                              <w:spacing w:line="260" w:lineRule="exact"/>
                              <w:jc w:val="center"/>
                              <w:rPr>
                                <w:rFonts w:ascii="標楷體" w:eastAsia="標楷體" w:hAnsi="標楷體"/>
                                <w:b/>
                                <w:bCs/>
                              </w:rPr>
                            </w:pPr>
                            <w:r w:rsidRPr="00400CF8">
                              <w:rPr>
                                <w:rFonts w:ascii="標楷體" w:eastAsia="標楷體" w:hAnsi="標楷體" w:hint="eastAsia"/>
                                <w:b/>
                                <w:bCs/>
                              </w:rPr>
                              <w:t>項次</w:t>
                            </w:r>
                          </w:p>
                        </w:tc>
                        <w:tc>
                          <w:tcPr>
                            <w:tcW w:w="9378" w:type="dxa"/>
                            <w:shd w:val="clear" w:color="auto" w:fill="B4C6E7" w:themeFill="accent5" w:themeFillTint="66"/>
                            <w:vAlign w:val="center"/>
                          </w:tcPr>
                          <w:p w14:paraId="25F37538" w14:textId="1D8D67CA" w:rsidR="00A215E4" w:rsidRPr="00400CF8" w:rsidRDefault="00A215E4" w:rsidP="00A215E4">
                            <w:pPr>
                              <w:overflowPunct w:val="0"/>
                              <w:spacing w:line="260" w:lineRule="exact"/>
                              <w:jc w:val="center"/>
                              <w:rPr>
                                <w:rFonts w:ascii="標楷體" w:eastAsia="標楷體" w:hAnsi="標楷體"/>
                                <w:b/>
                                <w:bCs/>
                              </w:rPr>
                            </w:pPr>
                            <w:r w:rsidRPr="00400CF8">
                              <w:rPr>
                                <w:rFonts w:ascii="標楷體" w:eastAsia="標楷體" w:hAnsi="標楷體" w:hint="eastAsia"/>
                                <w:b/>
                                <w:bCs/>
                              </w:rPr>
                              <w:t>案</w:t>
                            </w:r>
                            <w:r w:rsidR="001A095C">
                              <w:rPr>
                                <w:rFonts w:ascii="標楷體" w:eastAsia="標楷體" w:hAnsi="標楷體" w:hint="eastAsia"/>
                                <w:b/>
                                <w:bCs/>
                              </w:rPr>
                              <w:t xml:space="preserve"> </w:t>
                            </w:r>
                            <w:r w:rsidR="001A095C">
                              <w:rPr>
                                <w:rFonts w:ascii="標楷體" w:eastAsia="標楷體" w:hAnsi="標楷體"/>
                                <w:b/>
                                <w:bCs/>
                              </w:rPr>
                              <w:t xml:space="preserve">        </w:t>
                            </w:r>
                            <w:r w:rsidRPr="00400CF8">
                              <w:rPr>
                                <w:rFonts w:ascii="標楷體" w:eastAsia="標楷體" w:hAnsi="標楷體" w:hint="eastAsia"/>
                                <w:b/>
                                <w:bCs/>
                              </w:rPr>
                              <w:t>名</w:t>
                            </w:r>
                          </w:p>
                        </w:tc>
                      </w:tr>
                      <w:tr w:rsidR="00A215E4" w:rsidRPr="00400CF8" w14:paraId="450FADC9" w14:textId="77777777" w:rsidTr="0012688D">
                        <w:trPr>
                          <w:trHeight w:val="652"/>
                        </w:trPr>
                        <w:tc>
                          <w:tcPr>
                            <w:tcW w:w="829" w:type="dxa"/>
                            <w:tcBorders>
                              <w:bottom w:val="nil"/>
                            </w:tcBorders>
                            <w:vAlign w:val="center"/>
                          </w:tcPr>
                          <w:p w14:paraId="681DBE14" w14:textId="77777777" w:rsidR="00A215E4" w:rsidRPr="00400CF8" w:rsidRDefault="00A215E4" w:rsidP="00C02498">
                            <w:pPr>
                              <w:overflowPunct w:val="0"/>
                              <w:spacing w:line="280" w:lineRule="exact"/>
                              <w:jc w:val="center"/>
                              <w:rPr>
                                <w:rFonts w:ascii="標楷體" w:eastAsia="標楷體" w:hAnsi="標楷體"/>
                                <w:bCs/>
                              </w:rPr>
                            </w:pPr>
                            <w:r>
                              <w:rPr>
                                <w:rFonts w:ascii="標楷體" w:eastAsia="標楷體" w:hAnsi="標楷體" w:hint="eastAsia"/>
                                <w:bCs/>
                              </w:rPr>
                              <w:t>1</w:t>
                            </w:r>
                          </w:p>
                        </w:tc>
                        <w:tc>
                          <w:tcPr>
                            <w:tcW w:w="9378" w:type="dxa"/>
                            <w:tcBorders>
                              <w:bottom w:val="nil"/>
                            </w:tcBorders>
                            <w:vAlign w:val="center"/>
                          </w:tcPr>
                          <w:p w14:paraId="5811FC7A" w14:textId="77777777" w:rsidR="00A215E4" w:rsidRPr="00400CF8" w:rsidRDefault="00A215E4" w:rsidP="00C02498">
                            <w:pPr>
                              <w:overflowPunct w:val="0"/>
                              <w:spacing w:line="280" w:lineRule="exact"/>
                              <w:jc w:val="both"/>
                              <w:rPr>
                                <w:rFonts w:ascii="標楷體" w:eastAsia="標楷體" w:hAnsi="標楷體"/>
                                <w:bCs/>
                              </w:rPr>
                            </w:pPr>
                            <w:r w:rsidRPr="00DB5FDB">
                              <w:rPr>
                                <w:rFonts w:ascii="標楷體" w:eastAsia="標楷體" w:hAnsi="標楷體" w:hint="eastAsia"/>
                                <w:bCs/>
                              </w:rPr>
                              <w:t>國防部及所屬與國家中山科學研究院簽訂委製協議書有關履約計罰執行情形</w:t>
                            </w:r>
                            <w:r>
                              <w:rPr>
                                <w:rFonts w:ascii="標楷體" w:eastAsia="標楷體" w:hAnsi="標楷體" w:hint="eastAsia"/>
                                <w:bCs/>
                              </w:rPr>
                              <w:t>。</w:t>
                            </w:r>
                          </w:p>
                        </w:tc>
                      </w:tr>
                      <w:tr w:rsidR="00A215E4" w:rsidRPr="00400CF8" w14:paraId="56D91963" w14:textId="77777777" w:rsidTr="0012688D">
                        <w:trPr>
                          <w:trHeight w:val="652"/>
                        </w:trPr>
                        <w:tc>
                          <w:tcPr>
                            <w:tcW w:w="829" w:type="dxa"/>
                            <w:tcBorders>
                              <w:top w:val="nil"/>
                              <w:bottom w:val="single" w:sz="4" w:space="0" w:color="000000" w:themeColor="text1"/>
                            </w:tcBorders>
                            <w:shd w:val="clear" w:color="auto" w:fill="D9E2F3" w:themeFill="accent5" w:themeFillTint="33"/>
                            <w:vAlign w:val="center"/>
                          </w:tcPr>
                          <w:p w14:paraId="058ACD38" w14:textId="77777777" w:rsidR="00A215E4" w:rsidRPr="00400CF8" w:rsidRDefault="00A215E4" w:rsidP="00C02498">
                            <w:pPr>
                              <w:overflowPunct w:val="0"/>
                              <w:spacing w:line="280" w:lineRule="exact"/>
                              <w:jc w:val="center"/>
                              <w:rPr>
                                <w:rFonts w:ascii="標楷體" w:eastAsia="標楷體" w:hAnsi="標楷體"/>
                                <w:bCs/>
                              </w:rPr>
                            </w:pPr>
                            <w:r>
                              <w:rPr>
                                <w:rFonts w:ascii="標楷體" w:eastAsia="標楷體" w:hAnsi="標楷體" w:hint="eastAsia"/>
                                <w:bCs/>
                              </w:rPr>
                              <w:t>2</w:t>
                            </w:r>
                          </w:p>
                        </w:tc>
                        <w:tc>
                          <w:tcPr>
                            <w:tcW w:w="9378" w:type="dxa"/>
                            <w:tcBorders>
                              <w:top w:val="nil"/>
                              <w:bottom w:val="single" w:sz="4" w:space="0" w:color="000000" w:themeColor="text1"/>
                            </w:tcBorders>
                            <w:shd w:val="clear" w:color="auto" w:fill="D9E2F3" w:themeFill="accent5" w:themeFillTint="33"/>
                            <w:vAlign w:val="center"/>
                          </w:tcPr>
                          <w:p w14:paraId="38EF7E9D" w14:textId="14851000" w:rsidR="00A215E4" w:rsidRPr="00400CF8" w:rsidRDefault="005E74E0" w:rsidP="00C02498">
                            <w:pPr>
                              <w:overflowPunct w:val="0"/>
                              <w:spacing w:line="280" w:lineRule="exact"/>
                              <w:jc w:val="both"/>
                              <w:rPr>
                                <w:rFonts w:ascii="標楷體" w:eastAsia="標楷體" w:hAnsi="標楷體"/>
                                <w:bCs/>
                              </w:rPr>
                            </w:pPr>
                            <w:r>
                              <w:rPr>
                                <w:rFonts w:ascii="標楷體" w:eastAsia="標楷體" w:hAnsi="標楷體" w:hint="eastAsia"/>
                                <w:bCs/>
                              </w:rPr>
                              <w:t>臺灣鐵路公司</w:t>
                            </w:r>
                            <w:r w:rsidR="00A215E4" w:rsidRPr="00CD5AAE">
                              <w:rPr>
                                <w:rFonts w:ascii="標楷體" w:eastAsia="標楷體" w:hAnsi="標楷體" w:hint="eastAsia"/>
                                <w:bCs/>
                              </w:rPr>
                              <w:t>辦理油料管理及污染防治作業執行情形</w:t>
                            </w:r>
                            <w:r w:rsidR="00A215E4">
                              <w:rPr>
                                <w:rFonts w:ascii="標楷體" w:eastAsia="標楷體" w:hAnsi="標楷體" w:hint="eastAsia"/>
                                <w:bCs/>
                              </w:rPr>
                              <w:t>。</w:t>
                            </w:r>
                          </w:p>
                        </w:tc>
                      </w:tr>
                    </w:tbl>
                    <w:p w14:paraId="61AFC853" w14:textId="77777777" w:rsidR="00A215E4" w:rsidRPr="00421A8D" w:rsidRDefault="00A215E4" w:rsidP="00A215E4">
                      <w:pPr>
                        <w:spacing w:line="280" w:lineRule="exact"/>
                        <w:ind w:right="210"/>
                        <w:jc w:val="both"/>
                        <w:rPr>
                          <w:rFonts w:ascii="標楷體" w:hAnsi="標楷體"/>
                          <w:b/>
                          <w:bCs/>
                        </w:rPr>
                      </w:pPr>
                    </w:p>
                  </w:txbxContent>
                </v:textbox>
                <w10:wrap type="square" anchorx="margin"/>
              </v:shape>
            </w:pict>
          </mc:Fallback>
        </mc:AlternateContent>
      </w:r>
      <w:r w:rsidR="004F06A3" w:rsidRPr="00DA77BA">
        <w:rPr>
          <w:rFonts w:ascii="標楷體" w:hAnsi="標楷體" w:hint="eastAsia"/>
          <w:color w:val="000000" w:themeColor="text1"/>
          <w:sz w:val="28"/>
          <w:szCs w:val="28"/>
        </w:rPr>
        <w:t>另本部於審核報告審編期間（11</w:t>
      </w:r>
      <w:r w:rsidR="004F06A3">
        <w:rPr>
          <w:rFonts w:ascii="標楷體" w:hAnsi="標楷體"/>
          <w:color w:val="000000" w:themeColor="text1"/>
          <w:sz w:val="28"/>
          <w:szCs w:val="28"/>
        </w:rPr>
        <w:t>5</w:t>
      </w:r>
      <w:r w:rsidR="004F06A3" w:rsidRPr="00DA77BA">
        <w:rPr>
          <w:rFonts w:ascii="標楷體" w:hAnsi="標楷體" w:hint="eastAsia"/>
          <w:color w:val="000000" w:themeColor="text1"/>
          <w:sz w:val="28"/>
          <w:szCs w:val="28"/>
        </w:rPr>
        <w:t>年1月1日至6月30日）依審計法第20條第2項規定報請監察院依法處理案件，計有2件</w:t>
      </w:r>
      <w:r w:rsidR="004F06A3" w:rsidRPr="00A67D31">
        <w:rPr>
          <w:rFonts w:ascii="標楷體" w:hAnsi="標楷體" w:hint="eastAsia"/>
          <w:color w:val="000000" w:themeColor="text1"/>
          <w:sz w:val="28"/>
          <w:szCs w:val="28"/>
        </w:rPr>
        <w:t>（表3）；</w:t>
      </w:r>
      <w:r w:rsidR="005D2D03" w:rsidRPr="00A67D31">
        <w:rPr>
          <w:rFonts w:ascii="標楷體" w:hAnsi="標楷體" w:hint="eastAsia"/>
          <w:color w:val="000000" w:themeColor="text1"/>
          <w:sz w:val="28"/>
          <w:szCs w:val="28"/>
        </w:rPr>
        <w:t>移送司法機關偵辦並報告監察</w:t>
      </w:r>
      <w:r w:rsidR="005D2D03" w:rsidRPr="00B22A11">
        <w:rPr>
          <w:rFonts w:ascii="標楷體" w:hAnsi="標楷體" w:hint="eastAsia"/>
          <w:color w:val="000000" w:themeColor="text1"/>
          <w:sz w:val="28"/>
          <w:szCs w:val="28"/>
        </w:rPr>
        <w:t>院者1件，係臺灣菸酒公司貨品運輸作業涉有驗收不實情事；</w:t>
      </w:r>
      <w:r w:rsidR="004F06A3" w:rsidRPr="00B22A11">
        <w:rPr>
          <w:rFonts w:ascii="標楷體" w:hAnsi="標楷體" w:hint="eastAsia"/>
          <w:color w:val="000000" w:themeColor="text1"/>
          <w:sz w:val="28"/>
          <w:szCs w:val="28"/>
        </w:rPr>
        <w:t>通知各國營事業</w:t>
      </w:r>
      <w:r w:rsidR="001A095C" w:rsidRPr="00B22A11">
        <w:rPr>
          <w:rFonts w:ascii="標楷體" w:hAnsi="標楷體" w:hint="eastAsia"/>
          <w:color w:val="000000" w:themeColor="text1"/>
          <w:sz w:val="28"/>
          <w:szCs w:val="28"/>
        </w:rPr>
        <w:t>或行政法人監督機關</w:t>
      </w:r>
      <w:r w:rsidR="004F06A3" w:rsidRPr="00B22A11">
        <w:rPr>
          <w:rFonts w:ascii="標楷體" w:hAnsi="標楷體" w:hint="eastAsia"/>
          <w:color w:val="000000" w:themeColor="text1"/>
          <w:sz w:val="28"/>
          <w:szCs w:val="28"/>
        </w:rPr>
        <w:t>查明處理業經處分之違失案件</w:t>
      </w:r>
      <w:r w:rsidR="005D2D03" w:rsidRPr="00B22A11">
        <w:rPr>
          <w:rFonts w:ascii="標楷體" w:hAnsi="標楷體" w:hint="eastAsia"/>
          <w:color w:val="000000" w:themeColor="text1"/>
          <w:sz w:val="28"/>
          <w:szCs w:val="28"/>
        </w:rPr>
        <w:t>9</w:t>
      </w:r>
      <w:r w:rsidR="004F06A3" w:rsidRPr="00B22A11">
        <w:rPr>
          <w:rFonts w:ascii="標楷體" w:hAnsi="標楷體" w:hint="eastAsia"/>
          <w:color w:val="000000" w:themeColor="text1"/>
          <w:sz w:val="28"/>
          <w:szCs w:val="28"/>
        </w:rPr>
        <w:t>件（表4），受處分人員共</w:t>
      </w:r>
      <w:r w:rsidR="004F06A3" w:rsidRPr="00A67D31">
        <w:rPr>
          <w:rFonts w:ascii="標楷體" w:hAnsi="標楷體" w:hint="eastAsia"/>
          <w:color w:val="000000" w:themeColor="text1"/>
          <w:sz w:val="28"/>
          <w:szCs w:val="28"/>
        </w:rPr>
        <w:t>計</w:t>
      </w:r>
      <w:r w:rsidR="006F0AD2">
        <w:rPr>
          <w:rFonts w:ascii="標楷體" w:hAnsi="標楷體" w:hint="eastAsia"/>
          <w:color w:val="000000" w:themeColor="text1"/>
          <w:sz w:val="28"/>
          <w:szCs w:val="28"/>
        </w:rPr>
        <w:t>2</w:t>
      </w:r>
      <w:r w:rsidR="006F0AD2">
        <w:rPr>
          <w:rFonts w:ascii="標楷體" w:hAnsi="標楷體"/>
          <w:color w:val="000000" w:themeColor="text1"/>
          <w:sz w:val="28"/>
          <w:szCs w:val="28"/>
        </w:rPr>
        <w:t>7</w:t>
      </w:r>
      <w:r w:rsidR="004F06A3" w:rsidRPr="00A67D31">
        <w:rPr>
          <w:rFonts w:ascii="標楷體" w:hAnsi="標楷體" w:hint="eastAsia"/>
          <w:color w:val="000000" w:themeColor="text1"/>
          <w:sz w:val="28"/>
          <w:szCs w:val="28"/>
        </w:rPr>
        <w:t>人次，其中記過者</w:t>
      </w:r>
      <w:r w:rsidR="006F0AD2">
        <w:rPr>
          <w:rFonts w:ascii="標楷體" w:hAnsi="標楷體"/>
          <w:color w:val="000000" w:themeColor="text1"/>
          <w:sz w:val="28"/>
          <w:szCs w:val="28"/>
        </w:rPr>
        <w:t>7</w:t>
      </w:r>
      <w:r w:rsidR="004F06A3" w:rsidRPr="00A67D31">
        <w:rPr>
          <w:rFonts w:ascii="標楷體" w:hAnsi="標楷體" w:hint="eastAsia"/>
          <w:color w:val="000000" w:themeColor="text1"/>
          <w:sz w:val="28"/>
          <w:szCs w:val="28"/>
        </w:rPr>
        <w:t>人次、申誡者</w:t>
      </w:r>
      <w:r w:rsidR="006F0AD2">
        <w:rPr>
          <w:rFonts w:ascii="標楷體" w:hAnsi="標楷體" w:hint="eastAsia"/>
          <w:color w:val="000000" w:themeColor="text1"/>
          <w:sz w:val="28"/>
          <w:szCs w:val="28"/>
        </w:rPr>
        <w:t>2</w:t>
      </w:r>
      <w:r w:rsidR="006F0AD2">
        <w:rPr>
          <w:rFonts w:ascii="標楷體" w:hAnsi="標楷體"/>
          <w:color w:val="000000" w:themeColor="text1"/>
          <w:sz w:val="28"/>
          <w:szCs w:val="28"/>
        </w:rPr>
        <w:t>0</w:t>
      </w:r>
      <w:r w:rsidR="004F06A3" w:rsidRPr="00A67D31">
        <w:rPr>
          <w:rFonts w:ascii="標楷體" w:hAnsi="標楷體" w:hint="eastAsia"/>
          <w:color w:val="000000" w:themeColor="text1"/>
          <w:sz w:val="28"/>
          <w:szCs w:val="28"/>
        </w:rPr>
        <w:t>人次。</w:t>
      </w:r>
      <w:r w:rsidR="005D2D03" w:rsidRPr="00A67D31">
        <w:rPr>
          <w:rFonts w:ascii="標楷體" w:hAnsi="標楷體" w:hint="eastAsia"/>
          <w:sz w:val="28"/>
          <w:szCs w:val="24"/>
        </w:rPr>
        <w:t>審計機關對於通知各國營事業</w:t>
      </w:r>
      <w:r w:rsidR="001A67F7" w:rsidRPr="001A67F7">
        <w:rPr>
          <w:rFonts w:ascii="標楷體" w:hAnsi="標楷體" w:hint="eastAsia"/>
          <w:sz w:val="28"/>
          <w:szCs w:val="24"/>
        </w:rPr>
        <w:t>及</w:t>
      </w:r>
      <w:r w:rsidR="001A67F7">
        <w:rPr>
          <w:rFonts w:ascii="標楷體" w:hAnsi="標楷體" w:hint="eastAsia"/>
          <w:sz w:val="28"/>
          <w:szCs w:val="24"/>
        </w:rPr>
        <w:t>各</w:t>
      </w:r>
      <w:r w:rsidR="001A67F7" w:rsidRPr="001A67F7">
        <w:rPr>
          <w:rFonts w:ascii="標楷體" w:hAnsi="標楷體" w:hint="eastAsia"/>
          <w:sz w:val="28"/>
          <w:szCs w:val="24"/>
        </w:rPr>
        <w:t>行政法人</w:t>
      </w:r>
      <w:r w:rsidR="001A67F7">
        <w:rPr>
          <w:rFonts w:ascii="標楷體" w:hAnsi="標楷體" w:hint="eastAsia"/>
          <w:sz w:val="28"/>
          <w:szCs w:val="24"/>
        </w:rPr>
        <w:t>監督機關</w:t>
      </w:r>
      <w:r w:rsidR="005D2D03" w:rsidRPr="00A67D31">
        <w:rPr>
          <w:rFonts w:ascii="標楷體" w:hAnsi="標楷體" w:hint="eastAsia"/>
          <w:sz w:val="28"/>
          <w:szCs w:val="24"/>
        </w:rPr>
        <w:t>查處者，除要求其提出改善措施，予以列管追蹤查核外，並於報告監察院時，按違失事件</w:t>
      </w:r>
      <w:r w:rsidR="005D2D03" w:rsidRPr="00004534">
        <w:rPr>
          <w:rFonts w:ascii="標楷體" w:hAnsi="標楷體" w:hint="eastAsia"/>
          <w:sz w:val="28"/>
          <w:szCs w:val="24"/>
        </w:rPr>
        <w:t>性質，以副本抄送相關主管機關，諸如涉及內部審核者，副知行政院主計總處；</w:t>
      </w:r>
      <w:r w:rsidR="005D2D03" w:rsidRPr="00004534">
        <w:rPr>
          <w:rFonts w:ascii="標楷體" w:hAnsi="標楷體" w:hint="eastAsia"/>
          <w:spacing w:val="-6"/>
          <w:sz w:val="28"/>
          <w:szCs w:val="24"/>
        </w:rPr>
        <w:t>涉及政府採購者，副知行政院公共工程委員會，期更能有效發揮審計功能</w:t>
      </w:r>
      <w:r w:rsidR="005D2D03" w:rsidRPr="00004534">
        <w:rPr>
          <w:rFonts w:ascii="標楷體" w:hAnsi="標楷體" w:hint="eastAsia"/>
          <w:sz w:val="28"/>
          <w:szCs w:val="24"/>
        </w:rPr>
        <w:t>。</w:t>
      </w:r>
    </w:p>
    <w:p w14:paraId="5F586477" w14:textId="59F609F4" w:rsidR="00E21072" w:rsidRPr="00DA77BA" w:rsidRDefault="00E21072" w:rsidP="003A4D7B">
      <w:pPr>
        <w:overflowPunct w:val="0"/>
        <w:snapToGrid w:val="0"/>
        <w:spacing w:line="600" w:lineRule="exact"/>
        <w:ind w:firstLineChars="200" w:firstLine="480"/>
        <w:jc w:val="both"/>
        <w:rPr>
          <w:rFonts w:ascii="標楷體" w:hAnsi="標楷體"/>
          <w:b/>
          <w:bCs/>
          <w:color w:val="000000" w:themeColor="text1"/>
        </w:rPr>
      </w:pPr>
      <w:r w:rsidRPr="009829F9">
        <w:rPr>
          <w:rFonts w:ascii="標楷體" w:hAnsi="標楷體" w:hint="eastAsia"/>
          <w:b/>
          <w:bCs/>
          <w:color w:val="000000" w:themeColor="text1"/>
        </w:rPr>
        <w:t>表</w:t>
      </w:r>
      <w:r w:rsidR="00B140EF">
        <w:rPr>
          <w:rFonts w:ascii="標楷體" w:hAnsi="標楷體" w:hint="eastAsia"/>
          <w:b/>
          <w:bCs/>
          <w:color w:val="000000" w:themeColor="text1"/>
        </w:rPr>
        <w:t>4</w:t>
      </w:r>
      <w:r w:rsidRPr="009829F9">
        <w:rPr>
          <w:rFonts w:ascii="標楷體" w:hAnsi="標楷體" w:hint="eastAsia"/>
          <w:b/>
          <w:bCs/>
          <w:color w:val="000000" w:themeColor="text1"/>
        </w:rPr>
        <w:t xml:space="preserve">  </w:t>
      </w:r>
      <w:r w:rsidR="00046B29" w:rsidRPr="009829F9">
        <w:rPr>
          <w:rFonts w:ascii="標楷體" w:hAnsi="標楷體" w:hint="eastAsia"/>
          <w:b/>
          <w:bCs/>
          <w:color w:val="000000" w:themeColor="text1"/>
        </w:rPr>
        <w:t>審計部於</w:t>
      </w:r>
      <w:r w:rsidRPr="009829F9">
        <w:rPr>
          <w:rFonts w:ascii="標楷體" w:hAnsi="標楷體" w:hint="eastAsia"/>
          <w:b/>
          <w:bCs/>
          <w:color w:val="000000" w:themeColor="text1"/>
          <w:spacing w:val="-4"/>
        </w:rPr>
        <w:t>11</w:t>
      </w:r>
      <w:r w:rsidR="005D2D03">
        <w:rPr>
          <w:rFonts w:ascii="標楷體" w:hAnsi="標楷體"/>
          <w:b/>
          <w:bCs/>
          <w:color w:val="000000" w:themeColor="text1"/>
          <w:spacing w:val="-4"/>
        </w:rPr>
        <w:t>5</w:t>
      </w:r>
      <w:r w:rsidRPr="009829F9">
        <w:rPr>
          <w:rFonts w:ascii="標楷體" w:hAnsi="標楷體" w:hint="eastAsia"/>
          <w:b/>
          <w:bCs/>
          <w:color w:val="000000" w:themeColor="text1"/>
          <w:spacing w:val="-4"/>
        </w:rPr>
        <w:t>年1月1日至6月30日</w:t>
      </w:r>
      <w:r w:rsidRPr="009829F9">
        <w:rPr>
          <w:rFonts w:ascii="標楷體" w:hAnsi="標楷體" w:hint="eastAsia"/>
          <w:b/>
          <w:bCs/>
          <w:color w:val="000000" w:themeColor="text1"/>
          <w:spacing w:val="-4"/>
          <w:lang w:eastAsia="zh-HK"/>
        </w:rPr>
        <w:t>通知</w:t>
      </w:r>
      <w:r w:rsidRPr="009829F9">
        <w:rPr>
          <w:rFonts w:ascii="標楷體" w:hAnsi="標楷體" w:hint="eastAsia"/>
          <w:b/>
          <w:bCs/>
          <w:color w:val="000000" w:themeColor="text1"/>
          <w:spacing w:val="-4"/>
        </w:rPr>
        <w:t>國營事</w:t>
      </w:r>
      <w:r w:rsidRPr="00B22A11">
        <w:rPr>
          <w:rFonts w:ascii="標楷體" w:hAnsi="標楷體" w:hint="eastAsia"/>
          <w:b/>
          <w:bCs/>
          <w:color w:val="000000" w:themeColor="text1"/>
          <w:spacing w:val="-4"/>
        </w:rPr>
        <w:t>業</w:t>
      </w:r>
      <w:r w:rsidR="001A095C" w:rsidRPr="00B22A11">
        <w:rPr>
          <w:rFonts w:ascii="標楷體" w:hAnsi="標楷體" w:hint="eastAsia"/>
          <w:b/>
          <w:bCs/>
          <w:color w:val="000000" w:themeColor="text1"/>
          <w:spacing w:val="-4"/>
        </w:rPr>
        <w:t>或行政法人監督機關</w:t>
      </w:r>
      <w:r w:rsidRPr="00B22A11">
        <w:rPr>
          <w:rFonts w:ascii="標楷體" w:hAnsi="標楷體" w:hint="eastAsia"/>
          <w:b/>
          <w:bCs/>
          <w:color w:val="000000" w:themeColor="text1"/>
          <w:spacing w:val="-4"/>
          <w:lang w:eastAsia="zh-HK"/>
        </w:rPr>
        <w:t>查明處分</w:t>
      </w:r>
      <w:r w:rsidRPr="00DA77BA">
        <w:rPr>
          <w:rFonts w:ascii="標楷體" w:hAnsi="標楷體" w:hint="eastAsia"/>
          <w:b/>
          <w:bCs/>
          <w:color w:val="000000" w:themeColor="text1"/>
          <w:spacing w:val="-4"/>
        </w:rPr>
        <w:t>案件</w:t>
      </w:r>
    </w:p>
    <w:tbl>
      <w:tblPr>
        <w:tblStyle w:val="a9"/>
        <w:tblW w:w="10206" w:type="dxa"/>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897"/>
        <w:gridCol w:w="9309"/>
      </w:tblGrid>
      <w:tr w:rsidR="00DA77BA" w:rsidRPr="00DA77BA" w14:paraId="2873277A" w14:textId="77777777" w:rsidTr="007843BA">
        <w:trPr>
          <w:trHeight w:val="624"/>
          <w:tblHeader/>
        </w:trPr>
        <w:tc>
          <w:tcPr>
            <w:tcW w:w="897" w:type="dxa"/>
            <w:tcBorders>
              <w:bottom w:val="nil"/>
            </w:tcBorders>
            <w:shd w:val="clear" w:color="auto" w:fill="B4C6E7" w:themeFill="accent5" w:themeFillTint="66"/>
            <w:vAlign w:val="center"/>
          </w:tcPr>
          <w:p w14:paraId="5D132037" w14:textId="77777777" w:rsidR="00E21072" w:rsidRPr="008E5D60" w:rsidRDefault="00E21072" w:rsidP="00ED4260">
            <w:pPr>
              <w:overflowPunct w:val="0"/>
              <w:spacing w:line="200" w:lineRule="exact"/>
              <w:jc w:val="center"/>
              <w:rPr>
                <w:rFonts w:ascii="標楷體" w:eastAsia="標楷體" w:hAnsi="標楷體"/>
                <w:b/>
                <w:bCs/>
              </w:rPr>
            </w:pPr>
            <w:r w:rsidRPr="008E5D60">
              <w:rPr>
                <w:rFonts w:ascii="標楷體" w:eastAsia="標楷體" w:hAnsi="標楷體" w:hint="eastAsia"/>
                <w:b/>
                <w:bCs/>
              </w:rPr>
              <w:t>項次</w:t>
            </w:r>
          </w:p>
        </w:tc>
        <w:tc>
          <w:tcPr>
            <w:tcW w:w="9309" w:type="dxa"/>
            <w:tcBorders>
              <w:bottom w:val="nil"/>
            </w:tcBorders>
            <w:shd w:val="clear" w:color="auto" w:fill="B4C6E7" w:themeFill="accent5" w:themeFillTint="66"/>
            <w:vAlign w:val="center"/>
          </w:tcPr>
          <w:p w14:paraId="41C7C8E7" w14:textId="77777777" w:rsidR="00E21072" w:rsidRPr="008E5D60" w:rsidRDefault="00E21072" w:rsidP="00ED4260">
            <w:pPr>
              <w:overflowPunct w:val="0"/>
              <w:spacing w:line="200" w:lineRule="exact"/>
              <w:jc w:val="center"/>
              <w:rPr>
                <w:rFonts w:ascii="標楷體" w:eastAsia="標楷體" w:hAnsi="標楷體"/>
                <w:b/>
                <w:bCs/>
              </w:rPr>
            </w:pPr>
            <w:r w:rsidRPr="008E5D60">
              <w:rPr>
                <w:rFonts w:ascii="標楷體" w:eastAsia="標楷體" w:hAnsi="標楷體" w:hint="eastAsia"/>
                <w:b/>
                <w:bCs/>
              </w:rPr>
              <w:t>案           名</w:t>
            </w:r>
          </w:p>
        </w:tc>
      </w:tr>
      <w:tr w:rsidR="005D2D03" w:rsidRPr="00DA77BA" w14:paraId="29D6AF47" w14:textId="77777777" w:rsidTr="0012688D">
        <w:trPr>
          <w:trHeight w:val="539"/>
        </w:trPr>
        <w:tc>
          <w:tcPr>
            <w:tcW w:w="897" w:type="dxa"/>
            <w:vAlign w:val="center"/>
          </w:tcPr>
          <w:p w14:paraId="64BE39D3" w14:textId="58DCF590" w:rsidR="005D2D03" w:rsidRPr="00ED6F07" w:rsidRDefault="005D2D03" w:rsidP="005D2D03">
            <w:pPr>
              <w:overflowPunct w:val="0"/>
              <w:spacing w:line="300" w:lineRule="exact"/>
              <w:jc w:val="center"/>
              <w:rPr>
                <w:rFonts w:ascii="標楷體" w:eastAsia="標楷體" w:hAnsi="標楷體"/>
                <w:bCs/>
                <w:color w:val="000000" w:themeColor="text1"/>
              </w:rPr>
            </w:pPr>
            <w:r w:rsidRPr="00ED6F07">
              <w:rPr>
                <w:rFonts w:ascii="標楷體" w:eastAsia="標楷體" w:hAnsi="標楷體" w:hint="eastAsia"/>
                <w:bCs/>
              </w:rPr>
              <w:t>1</w:t>
            </w:r>
          </w:p>
        </w:tc>
        <w:tc>
          <w:tcPr>
            <w:tcW w:w="9309" w:type="dxa"/>
            <w:vAlign w:val="center"/>
          </w:tcPr>
          <w:p w14:paraId="70BD50EE" w14:textId="621EEC30" w:rsidR="005D2D03" w:rsidRPr="005D2D03" w:rsidRDefault="005D2D03" w:rsidP="005D2D03">
            <w:pPr>
              <w:overflowPunct w:val="0"/>
              <w:adjustRightInd w:val="0"/>
              <w:snapToGrid w:val="0"/>
              <w:spacing w:line="300" w:lineRule="exact"/>
              <w:jc w:val="both"/>
              <w:rPr>
                <w:rFonts w:ascii="標楷體" w:eastAsia="標楷體" w:hAnsi="標楷體"/>
                <w:bCs/>
              </w:rPr>
            </w:pPr>
            <w:r w:rsidRPr="005D2D03">
              <w:rPr>
                <w:rFonts w:ascii="標楷體" w:eastAsia="標楷體" w:hAnsi="標楷體" w:hint="eastAsia"/>
              </w:rPr>
              <w:t>台灣中油公司油品行銷事業部桃園營業處桃園機場航油中心靠機加油作業案。</w:t>
            </w:r>
          </w:p>
        </w:tc>
      </w:tr>
      <w:tr w:rsidR="005D2D03" w:rsidRPr="00DA77BA" w14:paraId="34487BFE" w14:textId="77777777" w:rsidTr="0012688D">
        <w:trPr>
          <w:trHeight w:val="539"/>
        </w:trPr>
        <w:tc>
          <w:tcPr>
            <w:tcW w:w="897" w:type="dxa"/>
            <w:shd w:val="clear" w:color="auto" w:fill="D9E2F3" w:themeFill="accent5" w:themeFillTint="33"/>
            <w:vAlign w:val="center"/>
          </w:tcPr>
          <w:p w14:paraId="2C0EF12A" w14:textId="1D37D9B5" w:rsidR="005D2D03" w:rsidRPr="00ED6F07" w:rsidRDefault="005D2D03" w:rsidP="005D2D03">
            <w:pPr>
              <w:overflowPunct w:val="0"/>
              <w:spacing w:line="300" w:lineRule="exact"/>
              <w:jc w:val="center"/>
              <w:rPr>
                <w:rFonts w:ascii="標楷體" w:eastAsia="標楷體" w:hAnsi="標楷體"/>
                <w:bCs/>
                <w:color w:val="000000" w:themeColor="text1"/>
              </w:rPr>
            </w:pPr>
            <w:r w:rsidRPr="00ED6F07">
              <w:rPr>
                <w:rFonts w:ascii="標楷體" w:eastAsia="標楷體" w:hAnsi="標楷體" w:hint="eastAsia"/>
                <w:bCs/>
              </w:rPr>
              <w:t>2</w:t>
            </w:r>
          </w:p>
        </w:tc>
        <w:tc>
          <w:tcPr>
            <w:tcW w:w="9309" w:type="dxa"/>
            <w:shd w:val="clear" w:color="auto" w:fill="D9E2F3" w:themeFill="accent5" w:themeFillTint="33"/>
            <w:vAlign w:val="center"/>
          </w:tcPr>
          <w:p w14:paraId="54469ED7" w14:textId="5757CC38" w:rsidR="005D2D03" w:rsidRPr="005D2D03" w:rsidRDefault="005D2D03" w:rsidP="005D2D03">
            <w:pPr>
              <w:overflowPunct w:val="0"/>
              <w:adjustRightInd w:val="0"/>
              <w:snapToGrid w:val="0"/>
              <w:spacing w:line="300" w:lineRule="exact"/>
              <w:jc w:val="both"/>
              <w:rPr>
                <w:rFonts w:ascii="標楷體" w:eastAsia="標楷體" w:hAnsi="標楷體"/>
                <w:bCs/>
              </w:rPr>
            </w:pPr>
            <w:r w:rsidRPr="005D2D03">
              <w:rPr>
                <w:rFonts w:ascii="標楷體" w:eastAsia="標楷體" w:hAnsi="標楷體" w:hint="eastAsia"/>
              </w:rPr>
              <w:t>台灣自來水公司辦理無自來水地區供水改善計畫第四期延管工程執行情形。</w:t>
            </w:r>
          </w:p>
        </w:tc>
      </w:tr>
      <w:tr w:rsidR="005D2D03" w:rsidRPr="00DA77BA" w14:paraId="5FDB8E46" w14:textId="77777777" w:rsidTr="0012688D">
        <w:trPr>
          <w:trHeight w:val="539"/>
        </w:trPr>
        <w:tc>
          <w:tcPr>
            <w:tcW w:w="897" w:type="dxa"/>
            <w:vAlign w:val="center"/>
          </w:tcPr>
          <w:p w14:paraId="5BC9899A" w14:textId="790EDEC2" w:rsidR="005D2D03" w:rsidRPr="00ED6F07" w:rsidRDefault="005D2D03" w:rsidP="005D2D03">
            <w:pPr>
              <w:overflowPunct w:val="0"/>
              <w:spacing w:line="300" w:lineRule="exact"/>
              <w:jc w:val="center"/>
              <w:rPr>
                <w:rFonts w:ascii="標楷體" w:eastAsia="標楷體" w:hAnsi="標楷體"/>
                <w:bCs/>
                <w:color w:val="000000" w:themeColor="text1"/>
              </w:rPr>
            </w:pPr>
            <w:r w:rsidRPr="00ED6F07">
              <w:rPr>
                <w:rFonts w:ascii="標楷體" w:eastAsia="標楷體" w:hAnsi="標楷體" w:hint="eastAsia"/>
                <w:bCs/>
              </w:rPr>
              <w:t>3</w:t>
            </w:r>
          </w:p>
        </w:tc>
        <w:tc>
          <w:tcPr>
            <w:tcW w:w="9309" w:type="dxa"/>
            <w:vAlign w:val="center"/>
          </w:tcPr>
          <w:p w14:paraId="5DB0B9FA" w14:textId="5E4277EE" w:rsidR="005D2D03" w:rsidRPr="005D2D03" w:rsidRDefault="005D2D03" w:rsidP="005D2D03">
            <w:pPr>
              <w:overflowPunct w:val="0"/>
              <w:adjustRightInd w:val="0"/>
              <w:snapToGrid w:val="0"/>
              <w:spacing w:line="300" w:lineRule="exact"/>
              <w:jc w:val="both"/>
              <w:rPr>
                <w:rFonts w:ascii="標楷體" w:eastAsia="標楷體" w:hAnsi="標楷體"/>
                <w:bCs/>
              </w:rPr>
            </w:pPr>
            <w:r w:rsidRPr="005D2D03">
              <w:rPr>
                <w:rFonts w:ascii="標楷體" w:eastAsia="標楷體" w:hAnsi="標楷體" w:hint="eastAsia"/>
              </w:rPr>
              <w:t>臺灣菸酒公司貨品運輸作業涉有驗收不實情事。</w:t>
            </w:r>
          </w:p>
        </w:tc>
      </w:tr>
      <w:tr w:rsidR="005D2D03" w:rsidRPr="00DA77BA" w14:paraId="4775E738" w14:textId="77777777" w:rsidTr="0012688D">
        <w:trPr>
          <w:trHeight w:val="539"/>
        </w:trPr>
        <w:tc>
          <w:tcPr>
            <w:tcW w:w="897" w:type="dxa"/>
            <w:shd w:val="clear" w:color="auto" w:fill="D9E2F3" w:themeFill="accent5" w:themeFillTint="33"/>
            <w:vAlign w:val="center"/>
          </w:tcPr>
          <w:p w14:paraId="04EE0733" w14:textId="60A33D99" w:rsidR="005D2D03" w:rsidRPr="00ED6F07" w:rsidRDefault="005D2D03" w:rsidP="005D2D03">
            <w:pPr>
              <w:overflowPunct w:val="0"/>
              <w:spacing w:line="300" w:lineRule="exact"/>
              <w:jc w:val="center"/>
              <w:rPr>
                <w:rFonts w:ascii="標楷體" w:eastAsia="標楷體" w:hAnsi="標楷體"/>
                <w:bCs/>
                <w:color w:val="000000" w:themeColor="text1"/>
              </w:rPr>
            </w:pPr>
            <w:r w:rsidRPr="00ED6F07">
              <w:rPr>
                <w:rFonts w:ascii="標楷體" w:eastAsia="標楷體" w:hAnsi="標楷體" w:hint="eastAsia"/>
                <w:bCs/>
              </w:rPr>
              <w:t>4</w:t>
            </w:r>
          </w:p>
        </w:tc>
        <w:tc>
          <w:tcPr>
            <w:tcW w:w="9309" w:type="dxa"/>
            <w:shd w:val="clear" w:color="auto" w:fill="D9E2F3" w:themeFill="accent5" w:themeFillTint="33"/>
            <w:vAlign w:val="center"/>
          </w:tcPr>
          <w:p w14:paraId="3A96D4FE" w14:textId="36FFBB68" w:rsidR="005D2D03" w:rsidRPr="005D2D03" w:rsidRDefault="005D2D03" w:rsidP="005D2D03">
            <w:pPr>
              <w:overflowPunct w:val="0"/>
              <w:adjustRightInd w:val="0"/>
              <w:snapToGrid w:val="0"/>
              <w:spacing w:line="300" w:lineRule="exact"/>
              <w:jc w:val="both"/>
              <w:rPr>
                <w:rFonts w:ascii="標楷體" w:eastAsia="標楷體" w:hAnsi="標楷體"/>
                <w:bCs/>
              </w:rPr>
            </w:pPr>
            <w:r w:rsidRPr="005D2D03">
              <w:rPr>
                <w:rFonts w:ascii="標楷體" w:eastAsia="標楷體" w:hAnsi="標楷體" w:hint="eastAsia"/>
              </w:rPr>
              <w:t>台灣中油公司辦理「M11001煉製事業部大林廠增產0.3wt％超低硫燃料油及改質瀝青生產中心投資計畫」執行情形。</w:t>
            </w:r>
          </w:p>
        </w:tc>
      </w:tr>
      <w:tr w:rsidR="005D2D03" w:rsidRPr="00DA77BA" w14:paraId="4BFBB783" w14:textId="77777777" w:rsidTr="0012688D">
        <w:trPr>
          <w:trHeight w:val="539"/>
        </w:trPr>
        <w:tc>
          <w:tcPr>
            <w:tcW w:w="897" w:type="dxa"/>
            <w:vAlign w:val="center"/>
          </w:tcPr>
          <w:p w14:paraId="11342C1C" w14:textId="08027DDC" w:rsidR="005D2D03" w:rsidRPr="00ED6F07" w:rsidRDefault="005D2D03" w:rsidP="005D2D03">
            <w:pPr>
              <w:overflowPunct w:val="0"/>
              <w:spacing w:line="300" w:lineRule="exact"/>
              <w:jc w:val="center"/>
              <w:rPr>
                <w:rFonts w:ascii="標楷體" w:eastAsia="標楷體" w:hAnsi="標楷體"/>
                <w:bCs/>
                <w:color w:val="000000" w:themeColor="text1"/>
              </w:rPr>
            </w:pPr>
            <w:r w:rsidRPr="00ED6F07">
              <w:rPr>
                <w:rFonts w:ascii="標楷體" w:eastAsia="標楷體" w:hAnsi="標楷體" w:hint="eastAsia"/>
                <w:bCs/>
              </w:rPr>
              <w:t>5</w:t>
            </w:r>
          </w:p>
        </w:tc>
        <w:tc>
          <w:tcPr>
            <w:tcW w:w="9309" w:type="dxa"/>
            <w:vAlign w:val="center"/>
          </w:tcPr>
          <w:p w14:paraId="198CDCB4" w14:textId="7B9780CF" w:rsidR="005D2D03" w:rsidRPr="005D2D03" w:rsidRDefault="005E74E0" w:rsidP="005D2D03">
            <w:pPr>
              <w:overflowPunct w:val="0"/>
              <w:adjustRightInd w:val="0"/>
              <w:snapToGrid w:val="0"/>
              <w:spacing w:line="300" w:lineRule="exact"/>
              <w:jc w:val="both"/>
              <w:rPr>
                <w:rFonts w:ascii="標楷體" w:eastAsia="標楷體" w:hAnsi="標楷體"/>
                <w:bCs/>
              </w:rPr>
            </w:pPr>
            <w:r>
              <w:rPr>
                <w:rFonts w:ascii="標楷體" w:eastAsia="標楷體" w:hAnsi="標楷體" w:hint="eastAsia"/>
              </w:rPr>
              <w:t>臺灣鐵路公司</w:t>
            </w:r>
            <w:r w:rsidR="005D2D03" w:rsidRPr="005D2D03">
              <w:rPr>
                <w:rFonts w:ascii="標楷體" w:eastAsia="標楷體" w:hAnsi="標楷體" w:hint="eastAsia"/>
              </w:rPr>
              <w:t>辦理材料管理及防竊措施執行情形。</w:t>
            </w:r>
          </w:p>
        </w:tc>
      </w:tr>
      <w:tr w:rsidR="005D2D03" w:rsidRPr="00DA77BA" w14:paraId="0D6ACADF" w14:textId="77777777" w:rsidTr="0012688D">
        <w:trPr>
          <w:trHeight w:val="539"/>
        </w:trPr>
        <w:tc>
          <w:tcPr>
            <w:tcW w:w="897" w:type="dxa"/>
            <w:shd w:val="clear" w:color="auto" w:fill="D9E2F3" w:themeFill="accent5" w:themeFillTint="33"/>
            <w:vAlign w:val="center"/>
          </w:tcPr>
          <w:p w14:paraId="12BBF96E" w14:textId="125A9DCC" w:rsidR="005D2D03" w:rsidRPr="00ED6F07" w:rsidRDefault="005D2D03" w:rsidP="005D2D03">
            <w:pPr>
              <w:overflowPunct w:val="0"/>
              <w:spacing w:line="300" w:lineRule="exact"/>
              <w:jc w:val="center"/>
              <w:rPr>
                <w:rFonts w:ascii="標楷體" w:eastAsia="標楷體" w:hAnsi="標楷體"/>
                <w:bCs/>
                <w:color w:val="000000" w:themeColor="text1"/>
              </w:rPr>
            </w:pPr>
            <w:r w:rsidRPr="00ED6F07">
              <w:rPr>
                <w:rFonts w:ascii="標楷體" w:eastAsia="標楷體" w:hAnsi="標楷體" w:hint="eastAsia"/>
                <w:bCs/>
              </w:rPr>
              <w:t>6</w:t>
            </w:r>
          </w:p>
        </w:tc>
        <w:tc>
          <w:tcPr>
            <w:tcW w:w="9309" w:type="dxa"/>
            <w:shd w:val="clear" w:color="auto" w:fill="D9E2F3" w:themeFill="accent5" w:themeFillTint="33"/>
            <w:vAlign w:val="center"/>
          </w:tcPr>
          <w:p w14:paraId="505CA676" w14:textId="6465C818" w:rsidR="005D2D03" w:rsidRPr="005D2D03" w:rsidRDefault="005E74E0" w:rsidP="005D2D03">
            <w:pPr>
              <w:overflowPunct w:val="0"/>
              <w:adjustRightInd w:val="0"/>
              <w:snapToGrid w:val="0"/>
              <w:spacing w:line="300" w:lineRule="exact"/>
              <w:jc w:val="both"/>
              <w:rPr>
                <w:rFonts w:ascii="標楷體" w:eastAsia="標楷體" w:hAnsi="標楷體" w:cs="新細明體"/>
              </w:rPr>
            </w:pPr>
            <w:r>
              <w:rPr>
                <w:rFonts w:ascii="標楷體" w:eastAsia="標楷體" w:hAnsi="標楷體" w:hint="eastAsia"/>
              </w:rPr>
              <w:t>臺灣鐵路公司</w:t>
            </w:r>
            <w:r w:rsidR="005D2D03" w:rsidRPr="005D2D03">
              <w:rPr>
                <w:rFonts w:ascii="標楷體" w:eastAsia="標楷體" w:hAnsi="標楷體" w:hint="eastAsia"/>
              </w:rPr>
              <w:t>辦理臺鐵電務智慧化提升計畫－計軸器雙重化建置成效。</w:t>
            </w:r>
          </w:p>
        </w:tc>
      </w:tr>
      <w:tr w:rsidR="005D2D03" w:rsidRPr="00DA77BA" w14:paraId="355BAD76" w14:textId="77777777" w:rsidTr="0012688D">
        <w:trPr>
          <w:trHeight w:val="539"/>
        </w:trPr>
        <w:tc>
          <w:tcPr>
            <w:tcW w:w="897" w:type="dxa"/>
            <w:vAlign w:val="center"/>
          </w:tcPr>
          <w:p w14:paraId="38DE315F" w14:textId="38F59503" w:rsidR="005D2D03" w:rsidRPr="00ED6F07" w:rsidRDefault="005D2D03" w:rsidP="005D2D03">
            <w:pPr>
              <w:overflowPunct w:val="0"/>
              <w:spacing w:line="300" w:lineRule="exact"/>
              <w:jc w:val="center"/>
              <w:rPr>
                <w:rFonts w:ascii="標楷體" w:hAnsi="標楷體"/>
                <w:bCs/>
                <w:color w:val="000000" w:themeColor="text1"/>
              </w:rPr>
            </w:pPr>
            <w:r w:rsidRPr="00ED6F07">
              <w:rPr>
                <w:rFonts w:ascii="標楷體" w:eastAsia="標楷體" w:hAnsi="標楷體" w:hint="eastAsia"/>
                <w:bCs/>
              </w:rPr>
              <w:t>7</w:t>
            </w:r>
          </w:p>
        </w:tc>
        <w:tc>
          <w:tcPr>
            <w:tcW w:w="9309" w:type="dxa"/>
            <w:vAlign w:val="center"/>
          </w:tcPr>
          <w:p w14:paraId="3F18CC20" w14:textId="5396D58F" w:rsidR="005D2D03" w:rsidRPr="005D2D03" w:rsidRDefault="005D2D03" w:rsidP="005D2D03">
            <w:pPr>
              <w:overflowPunct w:val="0"/>
              <w:adjustRightInd w:val="0"/>
              <w:snapToGrid w:val="0"/>
              <w:spacing w:line="300" w:lineRule="exact"/>
              <w:jc w:val="both"/>
              <w:rPr>
                <w:rFonts w:ascii="標楷體" w:eastAsia="標楷體" w:hAnsi="標楷體"/>
              </w:rPr>
            </w:pPr>
            <w:r w:rsidRPr="005D2D03">
              <w:rPr>
                <w:rFonts w:ascii="標楷體" w:eastAsia="標楷體" w:hAnsi="標楷體" w:hint="eastAsia"/>
              </w:rPr>
              <w:t>臺灣菸酒公司及所屬竹南啤酒廠辦理「竹南製瓶場增設製瓶生產線」執行情形。</w:t>
            </w:r>
          </w:p>
        </w:tc>
      </w:tr>
      <w:tr w:rsidR="005D2D03" w:rsidRPr="00DA77BA" w14:paraId="5CA99ED6" w14:textId="77777777" w:rsidTr="0012688D">
        <w:trPr>
          <w:trHeight w:val="539"/>
        </w:trPr>
        <w:tc>
          <w:tcPr>
            <w:tcW w:w="897" w:type="dxa"/>
            <w:shd w:val="clear" w:color="auto" w:fill="D9E2F3" w:themeFill="accent5" w:themeFillTint="33"/>
            <w:vAlign w:val="center"/>
          </w:tcPr>
          <w:p w14:paraId="38E930D9" w14:textId="62BA19CA" w:rsidR="005D2D03" w:rsidRPr="00ED6F07" w:rsidRDefault="005D2D03" w:rsidP="005D2D03">
            <w:pPr>
              <w:overflowPunct w:val="0"/>
              <w:spacing w:line="300" w:lineRule="exact"/>
              <w:jc w:val="center"/>
              <w:rPr>
                <w:rFonts w:ascii="標楷體" w:hAnsi="標楷體"/>
                <w:bCs/>
                <w:color w:val="000000" w:themeColor="text1"/>
              </w:rPr>
            </w:pPr>
            <w:r w:rsidRPr="00ED6F07">
              <w:rPr>
                <w:rFonts w:ascii="標楷體" w:eastAsia="標楷體" w:hAnsi="標楷體" w:hint="eastAsia"/>
                <w:bCs/>
              </w:rPr>
              <w:t>8</w:t>
            </w:r>
          </w:p>
        </w:tc>
        <w:tc>
          <w:tcPr>
            <w:tcW w:w="9309" w:type="dxa"/>
            <w:shd w:val="clear" w:color="auto" w:fill="D9E2F3" w:themeFill="accent5" w:themeFillTint="33"/>
            <w:vAlign w:val="center"/>
          </w:tcPr>
          <w:p w14:paraId="6503C501" w14:textId="5C8BB85F" w:rsidR="005D2D03" w:rsidRPr="005D2D03" w:rsidRDefault="005D2D03" w:rsidP="005D2D03">
            <w:pPr>
              <w:overflowPunct w:val="0"/>
              <w:adjustRightInd w:val="0"/>
              <w:snapToGrid w:val="0"/>
              <w:spacing w:line="300" w:lineRule="exact"/>
              <w:jc w:val="both"/>
              <w:rPr>
                <w:rFonts w:ascii="標楷體" w:eastAsia="標楷體" w:hAnsi="標楷體"/>
              </w:rPr>
            </w:pPr>
            <w:r w:rsidRPr="005D2D03">
              <w:rPr>
                <w:rFonts w:ascii="標楷體" w:eastAsia="標楷體" w:hAnsi="標楷體" w:hint="eastAsia"/>
              </w:rPr>
              <w:t>台灣電力公司綜合研究所辦理高壓短路試驗用變壓器壹套採購案執行情形。</w:t>
            </w:r>
          </w:p>
        </w:tc>
      </w:tr>
      <w:tr w:rsidR="005D2D03" w:rsidRPr="00DA77BA" w14:paraId="2A772C3F" w14:textId="77777777" w:rsidTr="0012688D">
        <w:trPr>
          <w:trHeight w:val="539"/>
        </w:trPr>
        <w:tc>
          <w:tcPr>
            <w:tcW w:w="897" w:type="dxa"/>
            <w:vAlign w:val="center"/>
          </w:tcPr>
          <w:p w14:paraId="672833A0" w14:textId="158848EA" w:rsidR="005D2D03" w:rsidRPr="00ED6F07" w:rsidRDefault="005D2D03" w:rsidP="005D2D03">
            <w:pPr>
              <w:overflowPunct w:val="0"/>
              <w:spacing w:line="300" w:lineRule="exact"/>
              <w:jc w:val="center"/>
              <w:rPr>
                <w:rFonts w:ascii="標楷體" w:hAnsi="標楷體"/>
                <w:bCs/>
                <w:color w:val="000000" w:themeColor="text1"/>
              </w:rPr>
            </w:pPr>
            <w:r w:rsidRPr="00ED6F07">
              <w:rPr>
                <w:rFonts w:ascii="標楷體" w:eastAsia="標楷體" w:hAnsi="標楷體" w:hint="eastAsia"/>
                <w:bCs/>
              </w:rPr>
              <w:t>9</w:t>
            </w:r>
          </w:p>
        </w:tc>
        <w:tc>
          <w:tcPr>
            <w:tcW w:w="9309" w:type="dxa"/>
            <w:vAlign w:val="center"/>
          </w:tcPr>
          <w:p w14:paraId="0C516AB4" w14:textId="6FDB49B2" w:rsidR="005D2D03" w:rsidRPr="0012688D" w:rsidRDefault="005D2D03" w:rsidP="005D2D03">
            <w:pPr>
              <w:overflowPunct w:val="0"/>
              <w:adjustRightInd w:val="0"/>
              <w:snapToGrid w:val="0"/>
              <w:spacing w:line="300" w:lineRule="exact"/>
              <w:jc w:val="both"/>
              <w:rPr>
                <w:rFonts w:ascii="標楷體" w:eastAsia="標楷體" w:hAnsi="標楷體"/>
                <w:spacing w:val="-6"/>
              </w:rPr>
            </w:pPr>
            <w:r w:rsidRPr="0012688D">
              <w:rPr>
                <w:rFonts w:ascii="標楷體" w:eastAsia="標楷體" w:hAnsi="標楷體" w:hint="eastAsia"/>
                <w:spacing w:val="-6"/>
              </w:rPr>
              <w:t>國家表演藝術中心衛武營國家藝術文化中心辦理113年度戶外拼接多媒體顯示器建置財物採購案執行情形。</w:t>
            </w:r>
          </w:p>
        </w:tc>
      </w:tr>
    </w:tbl>
    <w:p w14:paraId="54F583DC" w14:textId="25574A70" w:rsidR="00505006" w:rsidRPr="00DA77BA" w:rsidRDefault="00505006" w:rsidP="00CD6AD3">
      <w:pPr>
        <w:pStyle w:val="aff9"/>
        <w:tabs>
          <w:tab w:val="left" w:pos="3686"/>
          <w:tab w:val="left" w:pos="3828"/>
        </w:tabs>
        <w:overflowPunct w:val="0"/>
        <w:adjustRightInd w:val="0"/>
        <w:snapToGrid w:val="0"/>
        <w:spacing w:beforeLines="50" w:before="180" w:after="72" w:line="640" w:lineRule="exact"/>
        <w:ind w:leftChars="0" w:left="0" w:firstLineChars="100" w:firstLine="320"/>
        <w:rPr>
          <w:rFonts w:ascii="標楷體" w:hAnsi="標楷體"/>
          <w:color w:val="000000" w:themeColor="text1"/>
          <w:kern w:val="0"/>
        </w:rPr>
      </w:pPr>
      <w:r w:rsidRPr="00DA77BA">
        <w:rPr>
          <w:rFonts w:ascii="標楷體" w:hAnsi="標楷體" w:hint="eastAsia"/>
          <w:color w:val="000000" w:themeColor="text1"/>
          <w:kern w:val="0"/>
        </w:rPr>
        <w:lastRenderedPageBreak/>
        <w:t>四、其他事項</w:t>
      </w:r>
    </w:p>
    <w:p w14:paraId="69D06743" w14:textId="2D68F379" w:rsidR="00C22AA3" w:rsidRPr="00DA77BA" w:rsidRDefault="00C22AA3" w:rsidP="00CD6AD3">
      <w:pPr>
        <w:overflowPunct w:val="0"/>
        <w:adjustRightInd w:val="0"/>
        <w:snapToGrid w:val="0"/>
        <w:spacing w:line="640" w:lineRule="exact"/>
        <w:ind w:firstLineChars="202" w:firstLine="566"/>
        <w:jc w:val="both"/>
        <w:rPr>
          <w:rFonts w:ascii="標楷體" w:hAnsi="標楷體"/>
          <w:snapToGrid w:val="0"/>
          <w:color w:val="000000" w:themeColor="text1"/>
          <w:kern w:val="0"/>
          <w:sz w:val="28"/>
          <w:szCs w:val="28"/>
        </w:rPr>
      </w:pPr>
      <w:r w:rsidRPr="00DA77BA">
        <w:rPr>
          <w:rFonts w:ascii="標楷體" w:hAnsi="標楷體" w:hint="eastAsia"/>
          <w:snapToGrid w:val="0"/>
          <w:color w:val="000000" w:themeColor="text1"/>
          <w:kern w:val="0"/>
          <w:sz w:val="28"/>
          <w:szCs w:val="28"/>
        </w:rPr>
        <w:t>1</w:t>
      </w:r>
      <w:r w:rsidR="005E7EFA" w:rsidRPr="00DA77BA">
        <w:rPr>
          <w:rFonts w:ascii="標楷體" w:hAnsi="標楷體" w:hint="eastAsia"/>
          <w:snapToGrid w:val="0"/>
          <w:color w:val="000000" w:themeColor="text1"/>
          <w:kern w:val="0"/>
          <w:sz w:val="28"/>
          <w:szCs w:val="28"/>
        </w:rPr>
        <w:t>1</w:t>
      </w:r>
      <w:r w:rsidR="005441A0">
        <w:rPr>
          <w:rFonts w:ascii="標楷體" w:hAnsi="標楷體"/>
          <w:snapToGrid w:val="0"/>
          <w:color w:val="000000" w:themeColor="text1"/>
          <w:kern w:val="0"/>
          <w:sz w:val="28"/>
          <w:szCs w:val="28"/>
        </w:rPr>
        <w:t>4</w:t>
      </w:r>
      <w:r w:rsidR="00530A53" w:rsidRPr="00DA77BA">
        <w:rPr>
          <w:rFonts w:ascii="標楷體" w:hAnsi="標楷體" w:hint="eastAsia"/>
          <w:snapToGrid w:val="0"/>
          <w:color w:val="000000" w:themeColor="text1"/>
          <w:kern w:val="0"/>
          <w:sz w:val="28"/>
          <w:szCs w:val="28"/>
        </w:rPr>
        <w:t>年度國營事業整體營運情形，經本部審核結果，有關整體性共同</w:t>
      </w:r>
      <w:r w:rsidR="006519BD" w:rsidRPr="00DA77BA">
        <w:rPr>
          <w:rFonts w:ascii="標楷體" w:hAnsi="標楷體" w:hint="eastAsia"/>
          <w:snapToGrid w:val="0"/>
          <w:color w:val="000000" w:themeColor="text1"/>
          <w:kern w:val="0"/>
          <w:sz w:val="28"/>
          <w:szCs w:val="28"/>
        </w:rPr>
        <w:t>建議</w:t>
      </w:r>
      <w:r w:rsidR="003A15FA" w:rsidRPr="00DA77BA">
        <w:rPr>
          <w:rFonts w:ascii="標楷體" w:hAnsi="標楷體" w:hint="eastAsia"/>
          <w:snapToGrid w:val="0"/>
          <w:color w:val="000000" w:themeColor="text1"/>
          <w:kern w:val="0"/>
          <w:sz w:val="28"/>
          <w:szCs w:val="28"/>
        </w:rPr>
        <w:t>意見，</w:t>
      </w:r>
      <w:r w:rsidRPr="00DA77BA">
        <w:rPr>
          <w:rFonts w:ascii="標楷體" w:hAnsi="標楷體" w:hint="eastAsia"/>
          <w:snapToGrid w:val="0"/>
          <w:color w:val="000000" w:themeColor="text1"/>
          <w:kern w:val="0"/>
          <w:sz w:val="28"/>
          <w:szCs w:val="28"/>
        </w:rPr>
        <w:t>摘要分述如次：</w:t>
      </w:r>
    </w:p>
    <w:p w14:paraId="458B618D" w14:textId="6F1A81CF" w:rsidR="00BD562D" w:rsidRPr="003D4119" w:rsidRDefault="00BD562D" w:rsidP="00864A96">
      <w:pPr>
        <w:overflowPunct w:val="0"/>
        <w:spacing w:line="600" w:lineRule="exact"/>
        <w:ind w:firstLineChars="200" w:firstLine="561"/>
        <w:jc w:val="both"/>
        <w:rPr>
          <w:rFonts w:ascii="標楷體" w:hAnsi="標楷體"/>
          <w:b/>
          <w:bCs/>
          <w:sz w:val="28"/>
          <w:szCs w:val="24"/>
        </w:rPr>
      </w:pPr>
      <w:r w:rsidRPr="003D4119">
        <w:rPr>
          <w:rFonts w:ascii="標楷體" w:hAnsi="標楷體" w:hint="eastAsia"/>
          <w:b/>
          <w:bCs/>
          <w:sz w:val="28"/>
          <w:szCs w:val="24"/>
        </w:rPr>
        <w:t>（</w:t>
      </w:r>
      <w:r>
        <w:rPr>
          <w:rFonts w:ascii="標楷體" w:hAnsi="標楷體" w:hint="eastAsia"/>
          <w:b/>
          <w:bCs/>
          <w:sz w:val="28"/>
          <w:szCs w:val="24"/>
        </w:rPr>
        <w:t>一</w:t>
      </w:r>
      <w:r w:rsidRPr="003D4119">
        <w:rPr>
          <w:rFonts w:ascii="標楷體" w:hAnsi="標楷體" w:hint="eastAsia"/>
          <w:b/>
          <w:bCs/>
          <w:sz w:val="28"/>
          <w:szCs w:val="24"/>
        </w:rPr>
        <w:t>）　經濟部所屬國營事業配合政策供應民生需求並促進經濟</w:t>
      </w:r>
      <w:r>
        <w:rPr>
          <w:rFonts w:ascii="標楷體" w:hAnsi="標楷體" w:hint="eastAsia"/>
          <w:b/>
          <w:bCs/>
          <w:sz w:val="28"/>
          <w:szCs w:val="24"/>
        </w:rPr>
        <w:t>發展</w:t>
      </w:r>
      <w:r w:rsidRPr="003D4119">
        <w:rPr>
          <w:rFonts w:ascii="標楷體" w:hAnsi="標楷體" w:hint="eastAsia"/>
          <w:b/>
          <w:bCs/>
          <w:sz w:val="28"/>
          <w:szCs w:val="24"/>
        </w:rPr>
        <w:t>，惟部分事業持續發生</w:t>
      </w:r>
      <w:r>
        <w:rPr>
          <w:rFonts w:ascii="標楷體" w:hAnsi="標楷體" w:hint="eastAsia"/>
          <w:b/>
          <w:bCs/>
          <w:sz w:val="28"/>
          <w:szCs w:val="24"/>
        </w:rPr>
        <w:t>經營</w:t>
      </w:r>
      <w:r w:rsidRPr="003D4119">
        <w:rPr>
          <w:rFonts w:ascii="標楷體" w:hAnsi="標楷體" w:hint="eastAsia"/>
          <w:b/>
          <w:bCs/>
          <w:sz w:val="28"/>
          <w:szCs w:val="24"/>
        </w:rPr>
        <w:t>虧損，</w:t>
      </w:r>
      <w:r>
        <w:rPr>
          <w:rFonts w:ascii="標楷體" w:hAnsi="標楷體" w:hint="eastAsia"/>
          <w:b/>
          <w:bCs/>
          <w:sz w:val="28"/>
          <w:szCs w:val="24"/>
        </w:rPr>
        <w:t>仍有鉅額累積虧損待填補，且</w:t>
      </w:r>
      <w:r w:rsidRPr="003D4119">
        <w:rPr>
          <w:rFonts w:ascii="標楷體" w:hAnsi="標楷體" w:hint="eastAsia"/>
          <w:b/>
          <w:bCs/>
          <w:sz w:val="28"/>
          <w:szCs w:val="24"/>
        </w:rPr>
        <w:t>負債比率居高不下，</w:t>
      </w:r>
      <w:r>
        <w:rPr>
          <w:rFonts w:ascii="標楷體" w:hAnsi="標楷體" w:hint="eastAsia"/>
          <w:b/>
          <w:bCs/>
          <w:sz w:val="28"/>
          <w:szCs w:val="24"/>
        </w:rPr>
        <w:t>又</w:t>
      </w:r>
      <w:r w:rsidRPr="003D4119">
        <w:rPr>
          <w:rFonts w:ascii="標楷體" w:hAnsi="標楷體" w:hint="eastAsia"/>
          <w:b/>
          <w:bCs/>
          <w:sz w:val="28"/>
          <w:szCs w:val="24"/>
        </w:rPr>
        <w:t>面臨</w:t>
      </w:r>
      <w:r>
        <w:rPr>
          <w:rFonts w:ascii="標楷體" w:hAnsi="標楷體" w:hint="eastAsia"/>
          <w:b/>
          <w:bCs/>
          <w:sz w:val="28"/>
          <w:szCs w:val="24"/>
        </w:rPr>
        <w:t>高</w:t>
      </w:r>
      <w:r w:rsidRPr="003D4119">
        <w:rPr>
          <w:rFonts w:ascii="標楷體" w:hAnsi="標楷體" w:hint="eastAsia"/>
          <w:b/>
          <w:bCs/>
          <w:sz w:val="28"/>
          <w:szCs w:val="24"/>
        </w:rPr>
        <w:t>額償債現金流量需求，允宜督促研謀善策，積極開源節流，確保資金調度最適化，以利</w:t>
      </w:r>
      <w:r>
        <w:rPr>
          <w:rFonts w:ascii="標楷體" w:hAnsi="標楷體" w:hint="eastAsia"/>
          <w:b/>
          <w:bCs/>
          <w:sz w:val="28"/>
          <w:szCs w:val="24"/>
        </w:rPr>
        <w:t>事業</w:t>
      </w:r>
      <w:r w:rsidRPr="003D4119">
        <w:rPr>
          <w:rFonts w:ascii="標楷體" w:hAnsi="標楷體" w:hint="eastAsia"/>
          <w:b/>
          <w:bCs/>
          <w:sz w:val="28"/>
          <w:szCs w:val="24"/>
        </w:rPr>
        <w:t>永續經營。</w:t>
      </w:r>
    </w:p>
    <w:p w14:paraId="0F2A34FE" w14:textId="3A30EE29" w:rsidR="00BD562D" w:rsidRDefault="00BD562D" w:rsidP="00BD562D">
      <w:pPr>
        <w:overflowPunct w:val="0"/>
        <w:spacing w:line="560" w:lineRule="exact"/>
        <w:ind w:firstLineChars="200" w:firstLine="560"/>
        <w:jc w:val="both"/>
        <w:rPr>
          <w:rFonts w:ascii="標楷體" w:hAnsi="標楷體"/>
          <w:sz w:val="28"/>
          <w:szCs w:val="24"/>
        </w:rPr>
      </w:pPr>
      <w:r w:rsidRPr="00EA687B">
        <w:rPr>
          <w:rFonts w:ascii="標楷體" w:hAnsi="標楷體"/>
          <w:noProof/>
          <w:sz w:val="28"/>
          <w:szCs w:val="24"/>
        </w:rPr>
        <mc:AlternateContent>
          <mc:Choice Requires="wps">
            <w:drawing>
              <wp:anchor distT="45720" distB="45720" distL="114300" distR="114300" simplePos="0" relativeHeight="251759616" behindDoc="0" locked="0" layoutInCell="1" allowOverlap="1" wp14:anchorId="0BC3FB9A" wp14:editId="37AB2222">
                <wp:simplePos x="0" y="0"/>
                <wp:positionH relativeFrom="margin">
                  <wp:align>right</wp:align>
                </wp:positionH>
                <wp:positionV relativeFrom="paragraph">
                  <wp:posOffset>3244850</wp:posOffset>
                </wp:positionV>
                <wp:extent cx="4884420" cy="275082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4420" cy="2750820"/>
                        </a:xfrm>
                        <a:prstGeom prst="rect">
                          <a:avLst/>
                        </a:prstGeom>
                        <a:solidFill>
                          <a:srgbClr val="FFFFFF"/>
                        </a:solidFill>
                        <a:ln w="9525">
                          <a:noFill/>
                          <a:miter lim="800000"/>
                          <a:headEnd/>
                          <a:tailEnd/>
                        </a:ln>
                      </wps:spPr>
                      <wps:txbx>
                        <w:txbxContent>
                          <w:p w14:paraId="4B0D2FF8" w14:textId="77777777" w:rsidR="00BD562D" w:rsidRDefault="00BD562D" w:rsidP="00BD562D">
                            <w:r>
                              <w:rPr>
                                <w:noProof/>
                              </w:rPr>
                              <w:drawing>
                                <wp:inline distT="0" distB="0" distL="0" distR="0" wp14:anchorId="7D4B75E5" wp14:editId="52F6DE28">
                                  <wp:extent cx="4716780" cy="2453640"/>
                                  <wp:effectExtent l="0" t="0" r="7620" b="3810"/>
                                  <wp:docPr id="2" name="圖表 2">
                                    <a:extLst xmlns:a="http://schemas.openxmlformats.org/drawingml/2006/main">
                                      <a:ext uri="{FF2B5EF4-FFF2-40B4-BE49-F238E27FC236}">
                                        <a16:creationId xmlns:a16="http://schemas.microsoft.com/office/drawing/2014/main" id="{90E60CF8-5DA2-46B1-BDD9-4268B6AC6DD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3F613EF" w14:textId="77777777" w:rsidR="00BD562D" w:rsidRPr="00EA687B" w:rsidRDefault="00BD562D" w:rsidP="00BD562D">
                            <w:pPr>
                              <w:spacing w:line="200" w:lineRule="exact"/>
                              <w:ind w:firstLineChars="100" w:firstLine="180"/>
                              <w:rPr>
                                <w:rFonts w:ascii="標楷體" w:hAnsi="標楷體"/>
                                <w:sz w:val="18"/>
                                <w:szCs w:val="16"/>
                              </w:rPr>
                            </w:pPr>
                            <w:r w:rsidRPr="00EA687B">
                              <w:rPr>
                                <w:rFonts w:ascii="標楷體" w:hAnsi="標楷體" w:hint="eastAsia"/>
                                <w:sz w:val="18"/>
                                <w:szCs w:val="16"/>
                              </w:rPr>
                              <w:t>資料來源：整理自經濟部所屬國營事業提供資料。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C3FB9A" id="文字方塊 2" o:spid="_x0000_s1027" type="#_x0000_t202" style="position:absolute;left:0;text-align:left;margin-left:333.4pt;margin-top:255.5pt;width:384.6pt;height:216.6pt;z-index:25175961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" stroked="f">
                <v:textbox>
                  <w:txbxContent>
                    <w:p w14:paraId="4B0D2FF8" w14:textId="77777777" w:rsidR="00BD562D" w:rsidRDefault="00BD562D" w:rsidP="00BD562D">
                      <w:r>
                        <w:rPr>
                          <w:noProof/>
                        </w:rPr>
                        <w:drawing>
                          <wp:inline distT="0" distB="0" distL="0" distR="0" wp14:anchorId="7D4B75E5" wp14:editId="52F6DE28">
                            <wp:extent cx="4716780" cy="2453640"/>
                            <wp:effectExtent l="0" t="0" r="7620" b="3810"/>
                            <wp:docPr id="2" name="圖表 2">
                              <a:extLst xmlns:a="http://schemas.openxmlformats.org/drawingml/2006/main">
                                <a:ext uri="{FF2B5EF4-FFF2-40B4-BE49-F238E27FC236}">
                                  <a16:creationId xmlns:a16="http://schemas.microsoft.com/office/drawing/2014/main" id="{90E60CF8-5DA2-46B1-BDD9-4268B6AC6DD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3F613EF" w14:textId="77777777" w:rsidR="00BD562D" w:rsidRPr="00EA687B" w:rsidRDefault="00BD562D" w:rsidP="00BD562D">
                      <w:pPr>
                        <w:spacing w:line="200" w:lineRule="exact"/>
                        <w:ind w:firstLineChars="100" w:firstLine="180"/>
                        <w:rPr>
                          <w:rFonts w:ascii="標楷體" w:hAnsi="標楷體"/>
                          <w:sz w:val="18"/>
                          <w:szCs w:val="16"/>
                        </w:rPr>
                      </w:pPr>
                      <w:r w:rsidRPr="00EA687B">
                        <w:rPr>
                          <w:rFonts w:ascii="標楷體" w:hAnsi="標楷體" w:hint="eastAsia"/>
                          <w:sz w:val="18"/>
                          <w:szCs w:val="16"/>
                        </w:rPr>
                        <w:t>資料來源：整理自經濟部所屬國營事業提供資料。</w:t>
                      </w:r>
                    </w:p>
                  </w:txbxContent>
                </v:textbox>
                <w10:wrap type="square" anchorx="margin"/>
              </v:shape>
            </w:pict>
          </mc:Fallback>
        </mc:AlternateContent>
      </w:r>
      <w:r>
        <w:rPr>
          <w:rFonts w:ascii="標楷體" w:hAnsi="標楷體" w:hint="eastAsia"/>
          <w:sz w:val="28"/>
          <w:szCs w:val="24"/>
        </w:rPr>
        <w:t>依國營事業管理法第2條規定：「</w:t>
      </w:r>
      <w:r w:rsidRPr="003D4119">
        <w:rPr>
          <w:rFonts w:ascii="標楷體" w:hAnsi="標楷體" w:hint="eastAsia"/>
          <w:sz w:val="28"/>
          <w:szCs w:val="24"/>
        </w:rPr>
        <w:t>國營事業以發展國家資本，促進經濟建設，便利人民生活為目的。</w:t>
      </w:r>
      <w:r>
        <w:rPr>
          <w:rFonts w:ascii="標楷體" w:hAnsi="標楷體" w:hint="eastAsia"/>
          <w:sz w:val="28"/>
          <w:szCs w:val="24"/>
        </w:rPr>
        <w:t>」經濟部所屬台灣糖業公司、台灣電力公司、台灣中油公司及台灣自來水公司等4家國營事業肩負穩定供應民生所需及促進經濟發展之責，114年度經營結果，台灣糖業公司及台灣電力公司獲有盈餘，台灣中油公司與台灣自來水公司分別發生稅後淨損110億餘元及50億餘元（圖1）。經查上開國營事業經營管理情形，核有：1.台灣中油公司近年陸續受新型冠狀病毒肺炎</w:t>
      </w:r>
      <w:r w:rsidRPr="009C14BA">
        <w:rPr>
          <w:rFonts w:ascii="標楷體" w:hAnsi="標楷體" w:hint="eastAsia"/>
          <w:sz w:val="28"/>
          <w:szCs w:val="24"/>
        </w:rPr>
        <w:t>（COVID-19）</w:t>
      </w:r>
      <w:r>
        <w:rPr>
          <w:rFonts w:ascii="標楷體" w:hAnsi="標楷體" w:hint="eastAsia"/>
          <w:sz w:val="28"/>
          <w:szCs w:val="24"/>
        </w:rPr>
        <w:t>疫情、俄烏戰爭等影響，國際能源價格上漲，109至114年度天然氣及原油平均進口成本較</w:t>
      </w:r>
      <w:r w:rsidRPr="009C14BA">
        <w:rPr>
          <w:rFonts w:ascii="標楷體" w:hAnsi="標楷體" w:hint="eastAsia"/>
          <w:sz w:val="28"/>
          <w:szCs w:val="24"/>
        </w:rPr>
        <w:t>COVID-19</w:t>
      </w:r>
      <w:r>
        <w:rPr>
          <w:rFonts w:ascii="標楷體" w:hAnsi="標楷體" w:hint="eastAsia"/>
          <w:sz w:val="28"/>
          <w:szCs w:val="24"/>
        </w:rPr>
        <w:t>疫情爆發前期趨增，惟配合政府平穩物價政策及考量照顧民生，自109年度起持續吸收汽、柴油、天然氣等緩漲之差額，截至114年度止，累計吸收未隨油氣進口成本上漲足額調整售價金額高達6</w:t>
      </w:r>
      <w:r>
        <w:rPr>
          <w:rFonts w:ascii="標楷體" w:hAnsi="標楷體"/>
          <w:sz w:val="28"/>
          <w:szCs w:val="24"/>
        </w:rPr>
        <w:t>,238</w:t>
      </w:r>
      <w:r>
        <w:rPr>
          <w:rFonts w:ascii="標楷體" w:hAnsi="標楷體" w:hint="eastAsia"/>
          <w:sz w:val="28"/>
          <w:szCs w:val="24"/>
        </w:rPr>
        <w:t>億餘元，致該公司自109年度起，已連續6年</w:t>
      </w:r>
      <w:r>
        <w:rPr>
          <w:rFonts w:ascii="標楷體" w:hAnsi="標楷體" w:hint="eastAsia"/>
          <w:sz w:val="28"/>
          <w:szCs w:val="24"/>
        </w:rPr>
        <w:lastRenderedPageBreak/>
        <w:t>度發生虧損，稅前淨損介於77億餘元至2</w:t>
      </w:r>
      <w:r>
        <w:rPr>
          <w:rFonts w:ascii="標楷體" w:hAnsi="標楷體"/>
          <w:sz w:val="28"/>
          <w:szCs w:val="24"/>
        </w:rPr>
        <w:t>,</w:t>
      </w:r>
      <w:r>
        <w:rPr>
          <w:rFonts w:ascii="標楷體" w:hAnsi="標楷體" w:hint="eastAsia"/>
          <w:sz w:val="28"/>
          <w:szCs w:val="24"/>
        </w:rPr>
        <w:t>144億餘元，帳列累積虧損亦由109年底之25億餘元，增加至114年底之835億餘元，公司財務結構逐年惡化，</w:t>
      </w:r>
      <w:r w:rsidRPr="003B7135">
        <w:rPr>
          <w:rFonts w:ascii="標楷體" w:hAnsi="標楷體" w:hint="eastAsia"/>
          <w:sz w:val="28"/>
          <w:szCs w:val="24"/>
        </w:rPr>
        <w:t>又</w:t>
      </w:r>
      <w:r>
        <w:rPr>
          <w:rFonts w:ascii="標楷體" w:hAnsi="標楷體" w:hint="eastAsia"/>
          <w:sz w:val="28"/>
          <w:szCs w:val="24"/>
        </w:rPr>
        <w:t>面臨高</w:t>
      </w:r>
      <w:r w:rsidRPr="003B7135">
        <w:rPr>
          <w:rFonts w:ascii="標楷體" w:hAnsi="標楷體" w:hint="eastAsia"/>
          <w:sz w:val="28"/>
          <w:szCs w:val="24"/>
        </w:rPr>
        <w:t>額償債現金流量需求孔急，加劇公司營運風險</w:t>
      </w:r>
      <w:r>
        <w:rPr>
          <w:rFonts w:ascii="標楷體" w:hAnsi="標楷體" w:hint="eastAsia"/>
          <w:sz w:val="28"/>
          <w:szCs w:val="24"/>
        </w:rPr>
        <w:t>，且</w:t>
      </w:r>
      <w:r w:rsidRPr="003B7135">
        <w:rPr>
          <w:rFonts w:ascii="標楷體" w:hAnsi="標楷體" w:hint="eastAsia"/>
          <w:sz w:val="28"/>
          <w:szCs w:val="24"/>
        </w:rPr>
        <w:t>因營運管理欠佳蒙受損失，舉如114年度停工損失16億餘元，較預算數7億餘元，增加9億餘元，主要係現場人員操作不當、工場設備監控可靠度與處理能力欠佳及跨工場間之溝通聯繫機制未臻落實，肇致突發緊急之非計畫性停爐事件頻仍所致</w:t>
      </w:r>
      <w:r>
        <w:rPr>
          <w:rFonts w:ascii="標楷體" w:hAnsi="標楷體" w:hint="eastAsia"/>
          <w:sz w:val="28"/>
          <w:szCs w:val="24"/>
        </w:rPr>
        <w:t>；2.台灣電力公司114年度雖因營業成本下降及電價調升獲有稅後淨利750億餘元，與預算稅後淨損703億餘元相距1</w:t>
      </w:r>
      <w:r>
        <w:rPr>
          <w:rFonts w:ascii="標楷體" w:hAnsi="標楷體"/>
          <w:sz w:val="28"/>
          <w:szCs w:val="24"/>
        </w:rPr>
        <w:t>,</w:t>
      </w:r>
      <w:r>
        <w:rPr>
          <w:rFonts w:ascii="標楷體" w:hAnsi="標楷體" w:hint="eastAsia"/>
          <w:sz w:val="28"/>
          <w:szCs w:val="24"/>
        </w:rPr>
        <w:t>454億餘元，惟因</w:t>
      </w:r>
      <w:r w:rsidRPr="00B46B85">
        <w:rPr>
          <w:rFonts w:ascii="標楷體" w:hAnsi="標楷體" w:hint="eastAsia"/>
          <w:sz w:val="28"/>
          <w:szCs w:val="24"/>
        </w:rPr>
        <w:t>111至113年已連續3年度發生鉅額虧損，114年底帳上待填補</w:t>
      </w:r>
      <w:r>
        <w:rPr>
          <w:rFonts w:ascii="標楷體" w:hAnsi="標楷體" w:hint="eastAsia"/>
          <w:sz w:val="28"/>
          <w:szCs w:val="24"/>
        </w:rPr>
        <w:t>累積</w:t>
      </w:r>
      <w:r w:rsidRPr="00B46B85">
        <w:rPr>
          <w:rFonts w:ascii="標楷體" w:hAnsi="標楷體" w:hint="eastAsia"/>
          <w:sz w:val="28"/>
          <w:szCs w:val="24"/>
        </w:rPr>
        <w:t>虧損仍高達3</w:t>
      </w:r>
      <w:r w:rsidRPr="00B46B85">
        <w:rPr>
          <w:rFonts w:ascii="標楷體" w:hAnsi="標楷體"/>
          <w:sz w:val="28"/>
          <w:szCs w:val="24"/>
        </w:rPr>
        <w:t>,</w:t>
      </w:r>
      <w:r w:rsidRPr="00B46B85">
        <w:rPr>
          <w:rFonts w:ascii="標楷體" w:hAnsi="標楷體" w:hint="eastAsia"/>
          <w:sz w:val="28"/>
          <w:szCs w:val="24"/>
        </w:rPr>
        <w:t>507億餘元，</w:t>
      </w:r>
      <w:r>
        <w:rPr>
          <w:rFonts w:ascii="標楷體" w:hAnsi="標楷體" w:hint="eastAsia"/>
          <w:sz w:val="28"/>
          <w:szCs w:val="24"/>
        </w:rPr>
        <w:t>已逾實收資本額（5</w:t>
      </w:r>
      <w:r>
        <w:rPr>
          <w:rFonts w:ascii="標楷體" w:hAnsi="標楷體"/>
          <w:sz w:val="28"/>
          <w:szCs w:val="24"/>
        </w:rPr>
        <w:t>,</w:t>
      </w:r>
      <w:r>
        <w:rPr>
          <w:rFonts w:ascii="標楷體" w:hAnsi="標楷體" w:hint="eastAsia"/>
          <w:sz w:val="28"/>
          <w:szCs w:val="24"/>
        </w:rPr>
        <w:t>800億元）之6成，又外購綠電支出已由110年度之90.8億度、426億餘元，增加至114年度之237.4億度、1</w:t>
      </w:r>
      <w:r>
        <w:rPr>
          <w:rFonts w:ascii="標楷體" w:hAnsi="標楷體"/>
          <w:sz w:val="28"/>
          <w:szCs w:val="24"/>
        </w:rPr>
        <w:t>,</w:t>
      </w:r>
      <w:r>
        <w:rPr>
          <w:rFonts w:ascii="標楷體" w:hAnsi="標楷體" w:hint="eastAsia"/>
          <w:sz w:val="28"/>
          <w:szCs w:val="24"/>
        </w:rPr>
        <w:t>315億餘元，支出遽增原因除外購數量需求增加外，尚包括價格因素影響，未來太陽光電、風力發電等案場建置容量逐年增加，相關外購綠電支出亦將隨增，綠電成本日</w:t>
      </w:r>
      <w:r w:rsidR="00C537FB">
        <w:rPr>
          <w:rFonts w:ascii="標楷體" w:hAnsi="標楷體" w:hint="eastAsia"/>
          <w:sz w:val="28"/>
          <w:szCs w:val="24"/>
        </w:rPr>
        <w:t>益</w:t>
      </w:r>
      <w:r>
        <w:rPr>
          <w:rFonts w:ascii="標楷體" w:hAnsi="標楷體" w:hint="eastAsia"/>
          <w:sz w:val="28"/>
          <w:szCs w:val="24"/>
        </w:rPr>
        <w:t>負擔沉重，另受115年2月中東戰事影響，國際天然氣價格上漲，115年度截至4月底止復再發生稅後淨損90億餘元。</w:t>
      </w:r>
      <w:r w:rsidR="00312865">
        <w:rPr>
          <w:rFonts w:ascii="標楷體" w:hAnsi="標楷體" w:hint="eastAsia"/>
          <w:sz w:val="28"/>
          <w:szCs w:val="24"/>
        </w:rPr>
        <w:t>另</w:t>
      </w:r>
      <w:r>
        <w:rPr>
          <w:rFonts w:ascii="標楷體" w:hAnsi="標楷體" w:hint="eastAsia"/>
          <w:sz w:val="28"/>
          <w:szCs w:val="24"/>
        </w:rPr>
        <w:t>該公司為滿足用電需求，持續投入資金建置多元電源開發工程等，惟囿於營業收入無法支應日常營運需求，須仰賴外部舉債支應，負債金額已由110年底之1兆8</w:t>
      </w:r>
      <w:r>
        <w:rPr>
          <w:rFonts w:ascii="標楷體" w:hAnsi="標楷體"/>
          <w:sz w:val="28"/>
          <w:szCs w:val="24"/>
        </w:rPr>
        <w:t>,549</w:t>
      </w:r>
      <w:r>
        <w:rPr>
          <w:rFonts w:ascii="標楷體" w:hAnsi="標楷體" w:hint="eastAsia"/>
          <w:sz w:val="28"/>
          <w:szCs w:val="24"/>
        </w:rPr>
        <w:t>億餘元，逐年增加至114年底之2兆6</w:t>
      </w:r>
      <w:r>
        <w:rPr>
          <w:rFonts w:ascii="標楷體" w:hAnsi="標楷體"/>
          <w:sz w:val="28"/>
          <w:szCs w:val="24"/>
        </w:rPr>
        <w:t>,8</w:t>
      </w:r>
      <w:r w:rsidR="00DD0B7D">
        <w:rPr>
          <w:rFonts w:ascii="標楷體" w:hAnsi="標楷體" w:hint="eastAsia"/>
          <w:sz w:val="28"/>
          <w:szCs w:val="24"/>
        </w:rPr>
        <w:t>5</w:t>
      </w:r>
      <w:r>
        <w:rPr>
          <w:rFonts w:ascii="標楷體" w:hAnsi="標楷體"/>
          <w:sz w:val="28"/>
          <w:szCs w:val="24"/>
        </w:rPr>
        <w:t>5</w:t>
      </w:r>
      <w:r>
        <w:rPr>
          <w:rFonts w:ascii="標楷體" w:hAnsi="標楷體" w:hint="eastAsia"/>
          <w:sz w:val="28"/>
          <w:szCs w:val="24"/>
        </w:rPr>
        <w:t>億餘元，負債比率逾9成，且110至114年度利息費用介於181億餘元至300億餘元</w:t>
      </w:r>
      <w:r w:rsidR="00DD0B7D">
        <w:rPr>
          <w:rFonts w:ascii="標楷體" w:hAnsi="標楷體" w:hint="eastAsia"/>
          <w:sz w:val="28"/>
          <w:szCs w:val="24"/>
        </w:rPr>
        <w:t>間</w:t>
      </w:r>
      <w:r>
        <w:rPr>
          <w:rFonts w:ascii="標楷體" w:hAnsi="標楷體" w:hint="eastAsia"/>
          <w:sz w:val="28"/>
          <w:szCs w:val="24"/>
        </w:rPr>
        <w:t>，債息負擔居高不下；3.台灣自來水公司營業收入雖呈現逐年成長趨勢，惟仍不敷支應營運成本及所需費用，自112年度起已連續3年度發生虧損，稅前淨損介於42億餘元至49億餘元，主要係水電費與折舊及攤銷費用提列金額逐年增加，各該增幅均遠超過營業收入增幅所致，截至114年底仍尚有累計虧損9億餘元待填補；又該公司營運獲致收入無法足敷固定資產投資計畫及營運所需資金，須仰賴外部舉債支應，</w:t>
      </w:r>
      <w:r w:rsidRPr="00C02CEA">
        <w:rPr>
          <w:rFonts w:ascii="標楷體" w:hAnsi="標楷體" w:hint="eastAsia"/>
          <w:sz w:val="28"/>
          <w:szCs w:val="24"/>
        </w:rPr>
        <w:t>長期借款餘額（含1年內到期）已由110年底之858億餘元，增加至114年底之1</w:t>
      </w:r>
      <w:r w:rsidRPr="00C02CEA">
        <w:rPr>
          <w:rFonts w:ascii="標楷體" w:hAnsi="標楷體"/>
          <w:sz w:val="28"/>
          <w:szCs w:val="24"/>
        </w:rPr>
        <w:t>,</w:t>
      </w:r>
      <w:r w:rsidRPr="00C02CEA">
        <w:rPr>
          <w:rFonts w:ascii="標楷體" w:hAnsi="標楷體" w:hint="eastAsia"/>
          <w:sz w:val="28"/>
          <w:szCs w:val="24"/>
        </w:rPr>
        <w:t>209億餘元，增幅為40.87％</w:t>
      </w:r>
      <w:r>
        <w:rPr>
          <w:rFonts w:ascii="標楷體" w:hAnsi="標楷體" w:hint="eastAsia"/>
          <w:sz w:val="28"/>
          <w:szCs w:val="24"/>
        </w:rPr>
        <w:t>，114年度支付利息費用19億餘元，已為110年度之3.81倍，復因售水價格不敷支應售水成本，致</w:t>
      </w:r>
      <w:r w:rsidRPr="00DD045D">
        <w:rPr>
          <w:rFonts w:ascii="標楷體" w:hAnsi="標楷體" w:hint="eastAsia"/>
          <w:sz w:val="28"/>
          <w:szCs w:val="24"/>
        </w:rPr>
        <w:t>給水投資報酬率連年呈負值且加劇</w:t>
      </w:r>
      <w:r>
        <w:rPr>
          <w:rFonts w:ascii="標楷體" w:hAnsi="標楷體" w:hint="eastAsia"/>
          <w:sz w:val="28"/>
          <w:szCs w:val="24"/>
        </w:rPr>
        <w:t>，114年度給</w:t>
      </w:r>
      <w:r>
        <w:rPr>
          <w:rFonts w:ascii="標楷體" w:hAnsi="標楷體" w:hint="eastAsia"/>
          <w:sz w:val="28"/>
          <w:szCs w:val="24"/>
        </w:rPr>
        <w:lastRenderedPageBreak/>
        <w:t>水投資報酬率為負3.83</w:t>
      </w:r>
      <w:r w:rsidRPr="00C02CEA">
        <w:rPr>
          <w:rFonts w:ascii="標楷體" w:hAnsi="標楷體" w:hint="eastAsia"/>
          <w:sz w:val="28"/>
          <w:szCs w:val="24"/>
        </w:rPr>
        <w:t>％</w:t>
      </w:r>
      <w:r>
        <w:rPr>
          <w:rFonts w:ascii="標楷體" w:hAnsi="標楷體" w:hint="eastAsia"/>
          <w:sz w:val="28"/>
          <w:szCs w:val="24"/>
        </w:rPr>
        <w:t>，與自來水法規定5</w:t>
      </w:r>
      <w:r w:rsidRPr="00C02CEA">
        <w:rPr>
          <w:rFonts w:ascii="標楷體" w:hAnsi="標楷體" w:hint="eastAsia"/>
          <w:sz w:val="28"/>
          <w:szCs w:val="24"/>
        </w:rPr>
        <w:t>％</w:t>
      </w:r>
      <w:r>
        <w:rPr>
          <w:rFonts w:ascii="標楷體" w:hAnsi="標楷體" w:hint="eastAsia"/>
          <w:sz w:val="28"/>
          <w:szCs w:val="24"/>
        </w:rPr>
        <w:t>下限相差甚巨</w:t>
      </w:r>
      <w:r w:rsidRPr="00DD045D">
        <w:rPr>
          <w:rFonts w:ascii="標楷體" w:hAnsi="標楷體" w:hint="eastAsia"/>
          <w:sz w:val="28"/>
          <w:szCs w:val="24"/>
        </w:rPr>
        <w:t>等情事</w:t>
      </w:r>
      <w:r>
        <w:rPr>
          <w:rFonts w:ascii="標楷體" w:hAnsi="標楷體" w:hint="eastAsia"/>
          <w:sz w:val="28"/>
          <w:szCs w:val="24"/>
        </w:rPr>
        <w:t>。</w:t>
      </w:r>
      <w:r w:rsidRPr="00DD045D">
        <w:rPr>
          <w:rFonts w:ascii="標楷體" w:hAnsi="標楷體" w:hint="eastAsia"/>
          <w:sz w:val="28"/>
          <w:szCs w:val="24"/>
        </w:rPr>
        <w:t>經函請經濟部督促</w:t>
      </w:r>
      <w:r>
        <w:rPr>
          <w:rFonts w:ascii="標楷體" w:hAnsi="標楷體" w:hint="eastAsia"/>
          <w:sz w:val="28"/>
          <w:szCs w:val="24"/>
        </w:rPr>
        <w:t>各該事業妥為評估各項支出之優先順序與必要性，研議開源節流有效措施，並促使能源價格合理化及適時檢討水價費率級距，改善財務體質，俾利達成企業永續經營目標。</w:t>
      </w:r>
      <w:r w:rsidRPr="00BC6AD3">
        <w:rPr>
          <w:rFonts w:ascii="標楷體" w:hAnsi="標楷體" w:hint="eastAsia"/>
          <w:sz w:val="28"/>
          <w:szCs w:val="24"/>
        </w:rPr>
        <w:t>據復：1.已責成台灣中油公司執行開源節流，審視各投資案之急迫性，爭取合理調整國內油氣價格，以減輕經營成本及損失，並強化財務風險管控，確保資金調度最適化；2.持續督促台灣電力公司</w:t>
      </w:r>
      <w:r>
        <w:rPr>
          <w:rFonts w:ascii="標楷體" w:hAnsi="標楷體" w:hint="eastAsia"/>
          <w:sz w:val="28"/>
          <w:szCs w:val="24"/>
        </w:rPr>
        <w:t>積極開源節流，擴大綠電銷售及調升線路設置費，增裕收入，及</w:t>
      </w:r>
      <w:r w:rsidRPr="00BC6AD3">
        <w:rPr>
          <w:rFonts w:ascii="標楷體" w:hAnsi="標楷體" w:hint="eastAsia"/>
          <w:sz w:val="28"/>
          <w:szCs w:val="24"/>
        </w:rPr>
        <w:t>精進</w:t>
      </w:r>
      <w:r>
        <w:rPr>
          <w:rFonts w:ascii="標楷體" w:hAnsi="標楷體" w:hint="eastAsia"/>
          <w:sz w:val="28"/>
          <w:szCs w:val="24"/>
        </w:rPr>
        <w:t>燃料</w:t>
      </w:r>
      <w:r w:rsidRPr="00BC6AD3">
        <w:rPr>
          <w:rFonts w:ascii="標楷體" w:hAnsi="標楷體" w:hint="eastAsia"/>
          <w:sz w:val="28"/>
          <w:szCs w:val="24"/>
        </w:rPr>
        <w:t>採購</w:t>
      </w:r>
      <w:r>
        <w:rPr>
          <w:rFonts w:ascii="標楷體" w:hAnsi="標楷體" w:hint="eastAsia"/>
          <w:sz w:val="28"/>
          <w:szCs w:val="24"/>
        </w:rPr>
        <w:t>策略</w:t>
      </w:r>
      <w:r w:rsidRPr="00BC6AD3">
        <w:rPr>
          <w:rFonts w:ascii="標楷體" w:hAnsi="標楷體" w:hint="eastAsia"/>
          <w:sz w:val="28"/>
          <w:szCs w:val="24"/>
        </w:rPr>
        <w:t>，</w:t>
      </w:r>
      <w:r>
        <w:rPr>
          <w:rFonts w:ascii="標楷體" w:hAnsi="標楷體" w:hint="eastAsia"/>
          <w:sz w:val="28"/>
          <w:szCs w:val="24"/>
        </w:rPr>
        <w:t>抑低採購成本，並</w:t>
      </w:r>
      <w:r w:rsidRPr="00BC6AD3">
        <w:rPr>
          <w:rFonts w:ascii="標楷體" w:hAnsi="標楷體" w:hint="eastAsia"/>
          <w:sz w:val="28"/>
          <w:szCs w:val="24"/>
        </w:rPr>
        <w:t>爭取電價合理反映成本，</w:t>
      </w:r>
      <w:r>
        <w:rPr>
          <w:rFonts w:ascii="標楷體" w:hAnsi="標楷體" w:hint="eastAsia"/>
          <w:sz w:val="28"/>
          <w:szCs w:val="24"/>
        </w:rPr>
        <w:t>另</w:t>
      </w:r>
      <w:r w:rsidRPr="00BC6AD3">
        <w:rPr>
          <w:rFonts w:ascii="標楷體" w:hAnsi="標楷體" w:hint="eastAsia"/>
          <w:sz w:val="28"/>
          <w:szCs w:val="24"/>
        </w:rPr>
        <w:t>利用長、短期資金利差優勢靈活</w:t>
      </w:r>
      <w:r w:rsidR="00C537FB">
        <w:rPr>
          <w:rFonts w:ascii="標楷體" w:hAnsi="標楷體" w:hint="eastAsia"/>
          <w:sz w:val="28"/>
          <w:szCs w:val="24"/>
        </w:rPr>
        <w:t>調</w:t>
      </w:r>
      <w:r w:rsidRPr="00BC6AD3">
        <w:rPr>
          <w:rFonts w:ascii="標楷體" w:hAnsi="標楷體" w:hint="eastAsia"/>
          <w:sz w:val="28"/>
          <w:szCs w:val="24"/>
        </w:rPr>
        <w:t>度，提升資金運用效率，降低資金成本；3.</w:t>
      </w:r>
      <w:r>
        <w:rPr>
          <w:rFonts w:ascii="標楷體" w:hAnsi="標楷體" w:hint="eastAsia"/>
          <w:sz w:val="28"/>
          <w:szCs w:val="24"/>
        </w:rPr>
        <w:t>已</w:t>
      </w:r>
      <w:r w:rsidRPr="00BC6AD3">
        <w:rPr>
          <w:rFonts w:ascii="標楷體" w:hAnsi="標楷體" w:hint="eastAsia"/>
          <w:sz w:val="28"/>
          <w:szCs w:val="24"/>
        </w:rPr>
        <w:t>責成台灣自來水公司管控成本並增加收入來源，拓展多角化業務，挹注業外收入</w:t>
      </w:r>
      <w:r>
        <w:rPr>
          <w:rFonts w:ascii="標楷體" w:hAnsi="標楷體" w:hint="eastAsia"/>
          <w:sz w:val="28"/>
          <w:szCs w:val="24"/>
        </w:rPr>
        <w:t>，另水價調整部分，須配合國內經濟發展循序推動，未來將審視評估水情並加強宣導節約用水，滾動檢討最佳調整方案，以利水資源有效運用</w:t>
      </w:r>
      <w:r w:rsidRPr="00BC6AD3">
        <w:rPr>
          <w:rFonts w:ascii="標楷體" w:hAnsi="標楷體" w:hint="eastAsia"/>
          <w:sz w:val="28"/>
          <w:szCs w:val="24"/>
        </w:rPr>
        <w:t>。</w:t>
      </w:r>
    </w:p>
    <w:p w14:paraId="613FB4C9" w14:textId="77777777" w:rsidR="00BD562D" w:rsidRPr="003D4119" w:rsidRDefault="00BD562D" w:rsidP="00BD562D">
      <w:pPr>
        <w:overflowPunct w:val="0"/>
        <w:spacing w:line="560" w:lineRule="exact"/>
        <w:ind w:firstLineChars="200" w:firstLine="561"/>
        <w:jc w:val="both"/>
        <w:rPr>
          <w:rFonts w:ascii="標楷體" w:hAnsi="標楷體"/>
          <w:b/>
          <w:bCs/>
          <w:sz w:val="28"/>
          <w:szCs w:val="24"/>
        </w:rPr>
      </w:pPr>
      <w:r w:rsidRPr="003D4119">
        <w:rPr>
          <w:rFonts w:ascii="標楷體" w:hAnsi="標楷體" w:hint="eastAsia"/>
          <w:b/>
          <w:bCs/>
          <w:sz w:val="28"/>
          <w:szCs w:val="24"/>
        </w:rPr>
        <w:t>（</w:t>
      </w:r>
      <w:r>
        <w:rPr>
          <w:rFonts w:ascii="標楷體" w:hAnsi="標楷體" w:hint="eastAsia"/>
          <w:b/>
          <w:bCs/>
          <w:sz w:val="28"/>
          <w:szCs w:val="24"/>
        </w:rPr>
        <w:t>二</w:t>
      </w:r>
      <w:r w:rsidRPr="003D4119">
        <w:rPr>
          <w:rFonts w:ascii="標楷體" w:hAnsi="標楷體" w:hint="eastAsia"/>
          <w:b/>
          <w:bCs/>
          <w:sz w:val="28"/>
          <w:szCs w:val="24"/>
        </w:rPr>
        <w:t>）　經濟部所屬國營事業</w:t>
      </w:r>
      <w:r>
        <w:rPr>
          <w:rFonts w:ascii="標楷體" w:hAnsi="標楷體" w:hint="eastAsia"/>
          <w:b/>
          <w:bCs/>
          <w:sz w:val="28"/>
          <w:szCs w:val="24"/>
        </w:rPr>
        <w:t>已推動環境保護相關工作，</w:t>
      </w:r>
      <w:r w:rsidRPr="00ED3C8A">
        <w:rPr>
          <w:rFonts w:ascii="標楷體" w:hAnsi="標楷體" w:hint="eastAsia"/>
          <w:b/>
          <w:bCs/>
          <w:sz w:val="28"/>
          <w:szCs w:val="24"/>
        </w:rPr>
        <w:t>惟單一事業環保罰單金額即占整體事業罰款總額逾8成，且高度集中於空氣污染防制違規事件；另部分事業遭列管之污染場址持續新增，且部分場址遭列管多年遲未改善竣事，允待督促研謀善策妥處</w:t>
      </w:r>
      <w:r w:rsidRPr="003D4119">
        <w:rPr>
          <w:rFonts w:ascii="標楷體" w:hAnsi="標楷體" w:hint="eastAsia"/>
          <w:b/>
          <w:bCs/>
          <w:sz w:val="28"/>
          <w:szCs w:val="24"/>
        </w:rPr>
        <w:t>。</w:t>
      </w:r>
    </w:p>
    <w:p w14:paraId="64076BEB" w14:textId="55AAB98B" w:rsidR="00BD562D" w:rsidRPr="00DA7CD3" w:rsidRDefault="00BD562D" w:rsidP="008D7799">
      <w:pPr>
        <w:overflowPunct w:val="0"/>
        <w:spacing w:line="560" w:lineRule="exact"/>
        <w:ind w:firstLineChars="200" w:firstLine="560"/>
        <w:jc w:val="both"/>
        <w:rPr>
          <w:rFonts w:ascii="標楷體" w:hAnsi="標楷體"/>
          <w:sz w:val="28"/>
          <w:szCs w:val="24"/>
        </w:rPr>
      </w:pPr>
      <w:r>
        <w:rPr>
          <w:rFonts w:ascii="標楷體" w:hAnsi="標楷體" w:hint="eastAsia"/>
          <w:sz w:val="28"/>
          <w:szCs w:val="24"/>
        </w:rPr>
        <w:t>依</w:t>
      </w:r>
      <w:r w:rsidRPr="00ED3C8A">
        <w:rPr>
          <w:rFonts w:ascii="標楷體" w:hAnsi="標楷體" w:hint="eastAsia"/>
          <w:sz w:val="28"/>
          <w:szCs w:val="24"/>
        </w:rPr>
        <w:t>附屬單位預算執行要點第4點第2項規定：「營業基金應促進事業永續發展，落實環境保護、社會責任及公司治理，……。」</w:t>
      </w:r>
      <w:r>
        <w:rPr>
          <w:rFonts w:ascii="標楷體" w:hAnsi="標楷體" w:hint="eastAsia"/>
          <w:sz w:val="28"/>
          <w:szCs w:val="24"/>
        </w:rPr>
        <w:t>經濟</w:t>
      </w:r>
      <w:r w:rsidRPr="00ED3C8A">
        <w:rPr>
          <w:rFonts w:ascii="標楷體" w:hAnsi="標楷體" w:hint="eastAsia"/>
          <w:sz w:val="28"/>
          <w:szCs w:val="24"/>
        </w:rPr>
        <w:t>部所屬</w:t>
      </w:r>
      <w:r>
        <w:rPr>
          <w:rFonts w:ascii="標楷體" w:hAnsi="標楷體" w:hint="eastAsia"/>
          <w:sz w:val="28"/>
          <w:szCs w:val="24"/>
        </w:rPr>
        <w:t>台灣糖業公司、台灣電力公司、台灣中油公司及台灣自來水公司等</w:t>
      </w:r>
      <w:r w:rsidRPr="00ED3C8A">
        <w:rPr>
          <w:rFonts w:ascii="標楷體" w:hAnsi="標楷體" w:hint="eastAsia"/>
          <w:sz w:val="28"/>
          <w:szCs w:val="24"/>
        </w:rPr>
        <w:t>4家國營事業為善盡企業社會責任，提升整體環境品質，已推動各事業與所屬單位之環境保護及污染防治事宜</w:t>
      </w:r>
      <w:r>
        <w:rPr>
          <w:rFonts w:ascii="標楷體" w:hAnsi="標楷體" w:hint="eastAsia"/>
          <w:sz w:val="28"/>
          <w:szCs w:val="24"/>
        </w:rPr>
        <w:t>。</w:t>
      </w:r>
      <w:r w:rsidRPr="00DA5C77">
        <w:rPr>
          <w:rFonts w:ascii="標楷體" w:hAnsi="標楷體" w:hint="eastAsia"/>
          <w:sz w:val="28"/>
          <w:szCs w:val="24"/>
        </w:rPr>
        <w:t>經查，</w:t>
      </w:r>
      <w:r>
        <w:rPr>
          <w:rFonts w:ascii="標楷體" w:hAnsi="標楷體" w:hint="eastAsia"/>
          <w:sz w:val="28"/>
          <w:szCs w:val="24"/>
        </w:rPr>
        <w:t>4家國營事業</w:t>
      </w:r>
      <w:r w:rsidRPr="00DA5C77">
        <w:rPr>
          <w:rFonts w:ascii="標楷體" w:hAnsi="標楷體" w:hint="eastAsia"/>
          <w:sz w:val="28"/>
          <w:szCs w:val="24"/>
        </w:rPr>
        <w:t>近3年度</w:t>
      </w:r>
      <w:r>
        <w:rPr>
          <w:rFonts w:ascii="標楷體" w:hAnsi="標楷體" w:hint="eastAsia"/>
          <w:sz w:val="28"/>
          <w:szCs w:val="24"/>
        </w:rPr>
        <w:t>（112至114年度）</w:t>
      </w:r>
      <w:r w:rsidRPr="00DA5C77">
        <w:rPr>
          <w:rFonts w:ascii="標楷體" w:hAnsi="標楷體" w:hint="eastAsia"/>
          <w:sz w:val="28"/>
          <w:szCs w:val="24"/>
        </w:rPr>
        <w:t>遭裁處環保罰單金額介於2,360萬餘元至2,893萬餘元間，其中台灣中油公司</w:t>
      </w:r>
      <w:r>
        <w:rPr>
          <w:rFonts w:ascii="標楷體" w:hAnsi="標楷體" w:hint="eastAsia"/>
          <w:sz w:val="28"/>
          <w:szCs w:val="24"/>
        </w:rPr>
        <w:t>同期間</w:t>
      </w:r>
      <w:r w:rsidRPr="00DA5C77">
        <w:rPr>
          <w:rFonts w:ascii="標楷體" w:hAnsi="標楷體" w:hint="eastAsia"/>
          <w:sz w:val="28"/>
          <w:szCs w:val="24"/>
        </w:rPr>
        <w:t>遭裁罰之金額介於2,089萬餘元至2,533萬餘元間，均占</w:t>
      </w:r>
      <w:r>
        <w:rPr>
          <w:rFonts w:ascii="標楷體" w:hAnsi="標楷體" w:hint="eastAsia"/>
          <w:sz w:val="28"/>
          <w:szCs w:val="24"/>
        </w:rPr>
        <w:t>經濟</w:t>
      </w:r>
      <w:r w:rsidRPr="00DA5C77">
        <w:rPr>
          <w:rFonts w:ascii="標楷體" w:hAnsi="標楷體" w:hint="eastAsia"/>
          <w:sz w:val="28"/>
          <w:szCs w:val="24"/>
        </w:rPr>
        <w:t>部整體事業罰款總額逾8成</w:t>
      </w:r>
      <w:r>
        <w:rPr>
          <w:rFonts w:ascii="標楷體" w:hAnsi="標楷體" w:hint="eastAsia"/>
          <w:sz w:val="28"/>
          <w:szCs w:val="24"/>
        </w:rPr>
        <w:t>（表</w:t>
      </w:r>
      <w:r w:rsidR="00B140EF">
        <w:rPr>
          <w:rFonts w:ascii="標楷體" w:hAnsi="標楷體" w:hint="eastAsia"/>
          <w:sz w:val="28"/>
          <w:szCs w:val="24"/>
        </w:rPr>
        <w:t>5</w:t>
      </w:r>
      <w:r>
        <w:rPr>
          <w:rFonts w:ascii="標楷體" w:hAnsi="標楷體" w:hint="eastAsia"/>
          <w:sz w:val="28"/>
          <w:szCs w:val="24"/>
        </w:rPr>
        <w:t>），且</w:t>
      </w:r>
      <w:r w:rsidRPr="00DA5C77">
        <w:rPr>
          <w:rFonts w:ascii="標楷體" w:hAnsi="標楷體" w:hint="eastAsia"/>
          <w:sz w:val="28"/>
          <w:szCs w:val="24"/>
        </w:rPr>
        <w:t>台灣電力公司、台灣中油公司及台灣糖業公司近3年度皆以違反空氣污染防制相關法規遭裁罰次數最多</w:t>
      </w:r>
      <w:r>
        <w:rPr>
          <w:rFonts w:ascii="標楷體" w:hAnsi="標楷體" w:hint="eastAsia"/>
          <w:sz w:val="28"/>
          <w:szCs w:val="24"/>
        </w:rPr>
        <w:t>。又查，</w:t>
      </w:r>
      <w:r w:rsidRPr="00DA5C77">
        <w:rPr>
          <w:rFonts w:ascii="標楷體" w:hAnsi="標楷體" w:hint="eastAsia"/>
          <w:sz w:val="28"/>
          <w:szCs w:val="24"/>
        </w:rPr>
        <w:t>台灣電力公司、台灣中油公司114年度均新增3處公告列管土壤及地下水污染場址（台灣電力公司新增2處應變場址、1處整治場址；台灣中油公司新增2處應變場</w:t>
      </w:r>
      <w:r w:rsidR="00E671F8" w:rsidRPr="00151895">
        <w:rPr>
          <w:rFonts w:ascii="標楷體" w:hAnsi="標楷體"/>
          <w:noProof/>
          <w:sz w:val="32"/>
          <w:szCs w:val="32"/>
        </w:rPr>
        <w:lastRenderedPageBreak/>
        <mc:AlternateContent>
          <mc:Choice Requires="wps">
            <w:drawing>
              <wp:anchor distT="45720" distB="45720" distL="114300" distR="114300" simplePos="0" relativeHeight="251770880" behindDoc="0" locked="0" layoutInCell="1" allowOverlap="1" wp14:anchorId="67CA15C3" wp14:editId="23D0E0AE">
                <wp:simplePos x="0" y="0"/>
                <wp:positionH relativeFrom="margin">
                  <wp:align>left</wp:align>
                </wp:positionH>
                <wp:positionV relativeFrom="paragraph">
                  <wp:posOffset>13335</wp:posOffset>
                </wp:positionV>
                <wp:extent cx="6565900" cy="2440940"/>
                <wp:effectExtent l="0" t="0" r="6350" b="0"/>
                <wp:wrapSquare wrapText="bothSides"/>
                <wp:docPr id="1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5900" cy="2440940"/>
                        </a:xfrm>
                        <a:prstGeom prst="rect">
                          <a:avLst/>
                        </a:prstGeom>
                        <a:solidFill>
                          <a:srgbClr val="FFFFFF"/>
                        </a:solidFill>
                        <a:ln w="9525">
                          <a:noFill/>
                          <a:miter lim="800000"/>
                          <a:headEnd/>
                          <a:tailEnd/>
                        </a:ln>
                      </wps:spPr>
                      <wps:txbx>
                        <w:txbxContent>
                          <w:tbl>
                            <w:tblPr>
                              <w:tblStyle w:val="a9"/>
                              <w:tblW w:w="10051" w:type="dxa"/>
                              <w:tblLayout w:type="fixed"/>
                              <w:tblLook w:val="04A0" w:firstRow="1" w:lastRow="0" w:firstColumn="1" w:lastColumn="0" w:noHBand="0" w:noVBand="1"/>
                            </w:tblPr>
                            <w:tblGrid>
                              <w:gridCol w:w="2125"/>
                              <w:gridCol w:w="1625"/>
                              <w:gridCol w:w="1010"/>
                              <w:gridCol w:w="6"/>
                              <w:gridCol w:w="1322"/>
                              <w:gridCol w:w="1319"/>
                              <w:gridCol w:w="1320"/>
                              <w:gridCol w:w="1324"/>
                            </w:tblGrid>
                            <w:tr w:rsidR="00E671F8" w:rsidRPr="00151895" w14:paraId="703E300A" w14:textId="77777777" w:rsidTr="00E671F8">
                              <w:trPr>
                                <w:trHeight w:val="254"/>
                              </w:trPr>
                              <w:tc>
                                <w:tcPr>
                                  <w:tcW w:w="10051" w:type="dxa"/>
                                  <w:gridSpan w:val="8"/>
                                  <w:tcBorders>
                                    <w:top w:val="nil"/>
                                    <w:left w:val="nil"/>
                                    <w:bottom w:val="nil"/>
                                    <w:right w:val="nil"/>
                                  </w:tcBorders>
                                </w:tcPr>
                                <w:p w14:paraId="3DFB6428" w14:textId="77777777" w:rsidR="00E671F8" w:rsidRPr="00B140EF" w:rsidRDefault="00E671F8" w:rsidP="002A0CFF">
                                  <w:pPr>
                                    <w:overflowPunct w:val="0"/>
                                    <w:spacing w:line="0" w:lineRule="atLeast"/>
                                    <w:jc w:val="center"/>
                                    <w:rPr>
                                      <w:rFonts w:ascii="標楷體" w:eastAsia="標楷體" w:hAnsi="標楷體"/>
                                      <w:b/>
                                      <w:sz w:val="24"/>
                                      <w:szCs w:val="24"/>
                                    </w:rPr>
                                  </w:pPr>
                                  <w:r w:rsidRPr="00B140EF">
                                    <w:rPr>
                                      <w:rFonts w:ascii="標楷體" w:eastAsia="標楷體" w:hAnsi="標楷體" w:hint="eastAsia"/>
                                      <w:b/>
                                      <w:sz w:val="24"/>
                                      <w:szCs w:val="24"/>
                                    </w:rPr>
                                    <w:t>表5　經濟部所屬國營事業近</w:t>
                                  </w:r>
                                  <w:r w:rsidRPr="00B140EF">
                                    <w:rPr>
                                      <w:rFonts w:ascii="標楷體" w:eastAsia="標楷體" w:hAnsi="標楷體"/>
                                      <w:b/>
                                      <w:sz w:val="24"/>
                                      <w:szCs w:val="24"/>
                                    </w:rPr>
                                    <w:t>3年度</w:t>
                                  </w:r>
                                  <w:r w:rsidRPr="00B140EF">
                                    <w:rPr>
                                      <w:rFonts w:ascii="標楷體" w:eastAsia="標楷體" w:hAnsi="標楷體" w:hint="eastAsia"/>
                                      <w:b/>
                                      <w:sz w:val="24"/>
                                      <w:szCs w:val="24"/>
                                    </w:rPr>
                                    <w:t>遭裁處環保罰單金額</w:t>
                                  </w:r>
                                </w:p>
                              </w:tc>
                            </w:tr>
                            <w:tr w:rsidR="00E671F8" w:rsidRPr="00151895" w14:paraId="6EC2CB2E" w14:textId="77777777" w:rsidTr="00E671F8">
                              <w:trPr>
                                <w:trHeight w:val="68"/>
                              </w:trPr>
                              <w:tc>
                                <w:tcPr>
                                  <w:tcW w:w="10051" w:type="dxa"/>
                                  <w:gridSpan w:val="8"/>
                                  <w:tcBorders>
                                    <w:top w:val="nil"/>
                                    <w:left w:val="nil"/>
                                    <w:bottom w:val="single" w:sz="4" w:space="0" w:color="auto"/>
                                    <w:right w:val="nil"/>
                                  </w:tcBorders>
                                </w:tcPr>
                                <w:p w14:paraId="1CC5E3D9" w14:textId="77777777" w:rsidR="00E671F8" w:rsidRPr="001D4ECF" w:rsidRDefault="00E671F8" w:rsidP="00396E16">
                                  <w:pPr>
                                    <w:overflowPunct w:val="0"/>
                                    <w:spacing w:line="0" w:lineRule="atLeast"/>
                                    <w:jc w:val="right"/>
                                    <w:rPr>
                                      <w:rFonts w:ascii="標楷體" w:eastAsia="標楷體" w:hAnsi="標楷體"/>
                                    </w:rPr>
                                  </w:pPr>
                                  <w:r w:rsidRPr="001D4ECF">
                                    <w:rPr>
                                      <w:rFonts w:ascii="標楷體" w:eastAsia="標楷體" w:hAnsi="標楷體" w:hint="eastAsia"/>
                                    </w:rPr>
                                    <w:t>單位：新臺幣千元、％</w:t>
                                  </w:r>
                                </w:p>
                              </w:tc>
                            </w:tr>
                            <w:tr w:rsidR="00857F92" w:rsidRPr="00151895" w14:paraId="7615BD17" w14:textId="77777777" w:rsidTr="005164FB">
                              <w:trPr>
                                <w:trHeight w:val="397"/>
                              </w:trPr>
                              <w:tc>
                                <w:tcPr>
                                  <w:tcW w:w="2125" w:type="dxa"/>
                                  <w:vMerge w:val="restart"/>
                                  <w:tcBorders>
                                    <w:top w:val="single" w:sz="4" w:space="0" w:color="auto"/>
                                    <w:tl2br w:val="single" w:sz="4" w:space="0" w:color="auto"/>
                                  </w:tcBorders>
                                  <w:shd w:val="clear" w:color="auto" w:fill="C5E0B3" w:themeFill="accent6" w:themeFillTint="66"/>
                                </w:tcPr>
                                <w:p w14:paraId="41F98B43" w14:textId="77777777" w:rsidR="00857F92" w:rsidRPr="001D4ECF" w:rsidRDefault="00857F92" w:rsidP="00156650">
                                  <w:pPr>
                                    <w:overflowPunct w:val="0"/>
                                    <w:spacing w:line="240" w:lineRule="exact"/>
                                    <w:jc w:val="right"/>
                                    <w:rPr>
                                      <w:rFonts w:ascii="標楷體" w:eastAsia="標楷體" w:hAnsi="標楷體"/>
                                    </w:rPr>
                                  </w:pPr>
                                  <w:r w:rsidRPr="001D4ECF">
                                    <w:rPr>
                                      <w:rFonts w:ascii="標楷體" w:eastAsia="標楷體" w:hAnsi="標楷體" w:hint="eastAsia"/>
                                    </w:rPr>
                                    <w:t>年度</w:t>
                                  </w:r>
                                </w:p>
                                <w:p w14:paraId="1D606461" w14:textId="77777777" w:rsidR="00857F92" w:rsidRPr="00156650" w:rsidRDefault="00857F92" w:rsidP="00156650">
                                  <w:pPr>
                                    <w:overflowPunct w:val="0"/>
                                    <w:spacing w:line="200" w:lineRule="exact"/>
                                    <w:rPr>
                                      <w:rFonts w:ascii="標楷體" w:eastAsia="標楷體" w:hAnsi="標楷體"/>
                                      <w:sz w:val="18"/>
                                      <w:szCs w:val="18"/>
                                    </w:rPr>
                                  </w:pPr>
                                </w:p>
                                <w:p w14:paraId="15F7AB51" w14:textId="77777777" w:rsidR="00857F92" w:rsidRPr="001D4ECF" w:rsidRDefault="00857F92" w:rsidP="00156650">
                                  <w:pPr>
                                    <w:overflowPunct w:val="0"/>
                                    <w:spacing w:line="240" w:lineRule="exact"/>
                                    <w:rPr>
                                      <w:rFonts w:ascii="標楷體" w:eastAsia="標楷體" w:hAnsi="標楷體"/>
                                    </w:rPr>
                                  </w:pPr>
                                  <w:r w:rsidRPr="001D4ECF">
                                    <w:rPr>
                                      <w:rFonts w:ascii="標楷體" w:eastAsia="標楷體" w:hAnsi="標楷體" w:hint="eastAsia"/>
                                    </w:rPr>
                                    <w:t>事業名稱</w:t>
                                  </w:r>
                                </w:p>
                              </w:tc>
                              <w:tc>
                                <w:tcPr>
                                  <w:tcW w:w="2635" w:type="dxa"/>
                                  <w:gridSpan w:val="2"/>
                                  <w:tcBorders>
                                    <w:top w:val="single" w:sz="4" w:space="0" w:color="auto"/>
                                  </w:tcBorders>
                                  <w:shd w:val="clear" w:color="auto" w:fill="C5E0B3" w:themeFill="accent6" w:themeFillTint="66"/>
                                  <w:vAlign w:val="center"/>
                                </w:tcPr>
                                <w:p w14:paraId="420CF1B8" w14:textId="5B81C8D9" w:rsidR="00857F92" w:rsidRPr="001D4ECF" w:rsidRDefault="00857F92" w:rsidP="00396E16">
                                  <w:pPr>
                                    <w:overflowPunct w:val="0"/>
                                    <w:spacing w:line="0" w:lineRule="atLeast"/>
                                    <w:jc w:val="center"/>
                                    <w:rPr>
                                      <w:rFonts w:ascii="標楷體" w:hAnsi="標楷體"/>
                                    </w:rPr>
                                  </w:pPr>
                                  <w:r w:rsidRPr="001D4ECF">
                                    <w:rPr>
                                      <w:rFonts w:ascii="標楷體" w:eastAsia="標楷體" w:hAnsi="標楷體" w:hint="eastAsia"/>
                                    </w:rPr>
                                    <w:t>112</w:t>
                                  </w:r>
                                </w:p>
                              </w:tc>
                              <w:tc>
                                <w:tcPr>
                                  <w:tcW w:w="2647" w:type="dxa"/>
                                  <w:gridSpan w:val="3"/>
                                  <w:tcBorders>
                                    <w:top w:val="single" w:sz="4" w:space="0" w:color="auto"/>
                                  </w:tcBorders>
                                  <w:shd w:val="clear" w:color="auto" w:fill="C5E0B3" w:themeFill="accent6" w:themeFillTint="66"/>
                                  <w:vAlign w:val="center"/>
                                </w:tcPr>
                                <w:p w14:paraId="523A1EBE" w14:textId="5F71DA2B" w:rsidR="00857F92" w:rsidRPr="001D4ECF" w:rsidRDefault="00857F92" w:rsidP="00396E16">
                                  <w:pPr>
                                    <w:overflowPunct w:val="0"/>
                                    <w:spacing w:line="0" w:lineRule="atLeast"/>
                                    <w:jc w:val="center"/>
                                    <w:rPr>
                                      <w:rFonts w:ascii="標楷體" w:eastAsia="標楷體" w:hAnsi="標楷體"/>
                                    </w:rPr>
                                  </w:pPr>
                                  <w:r w:rsidRPr="001D4ECF">
                                    <w:rPr>
                                      <w:rFonts w:ascii="標楷體" w:eastAsia="標楷體" w:hAnsi="標楷體" w:hint="eastAsia"/>
                                    </w:rPr>
                                    <w:t>113</w:t>
                                  </w:r>
                                </w:p>
                              </w:tc>
                              <w:tc>
                                <w:tcPr>
                                  <w:tcW w:w="2644" w:type="dxa"/>
                                  <w:gridSpan w:val="2"/>
                                  <w:tcBorders>
                                    <w:top w:val="single" w:sz="4" w:space="0" w:color="auto"/>
                                  </w:tcBorders>
                                  <w:shd w:val="clear" w:color="auto" w:fill="C5E0B3" w:themeFill="accent6" w:themeFillTint="66"/>
                                  <w:vAlign w:val="center"/>
                                </w:tcPr>
                                <w:p w14:paraId="1ABA3F29" w14:textId="77777777" w:rsidR="00857F92" w:rsidRPr="001D4ECF" w:rsidRDefault="00857F92" w:rsidP="00396E16">
                                  <w:pPr>
                                    <w:overflowPunct w:val="0"/>
                                    <w:spacing w:line="0" w:lineRule="atLeast"/>
                                    <w:jc w:val="center"/>
                                    <w:rPr>
                                      <w:rFonts w:ascii="標楷體" w:eastAsia="標楷體" w:hAnsi="標楷體"/>
                                    </w:rPr>
                                  </w:pPr>
                                  <w:r w:rsidRPr="001D4ECF">
                                    <w:rPr>
                                      <w:rFonts w:ascii="標楷體" w:eastAsia="標楷體" w:hAnsi="標楷體" w:hint="eastAsia"/>
                                    </w:rPr>
                                    <w:t>114</w:t>
                                  </w:r>
                                </w:p>
                              </w:tc>
                            </w:tr>
                            <w:tr w:rsidR="00E671F8" w:rsidRPr="00151895" w14:paraId="584228AC" w14:textId="77777777" w:rsidTr="005164FB">
                              <w:trPr>
                                <w:trHeight w:val="397"/>
                              </w:trPr>
                              <w:tc>
                                <w:tcPr>
                                  <w:tcW w:w="2125" w:type="dxa"/>
                                  <w:vMerge/>
                                  <w:shd w:val="clear" w:color="auto" w:fill="C5E0B3" w:themeFill="accent6" w:themeFillTint="66"/>
                                </w:tcPr>
                                <w:p w14:paraId="3B041A36" w14:textId="77777777" w:rsidR="00E671F8" w:rsidRPr="001D4ECF" w:rsidRDefault="00E671F8" w:rsidP="009B5DE1">
                                  <w:pPr>
                                    <w:overflowPunct w:val="0"/>
                                    <w:spacing w:line="0" w:lineRule="atLeast"/>
                                    <w:jc w:val="both"/>
                                    <w:rPr>
                                      <w:rFonts w:ascii="標楷體" w:eastAsia="標楷體" w:hAnsi="標楷體"/>
                                    </w:rPr>
                                  </w:pPr>
                                </w:p>
                              </w:tc>
                              <w:tc>
                                <w:tcPr>
                                  <w:tcW w:w="1625" w:type="dxa"/>
                                  <w:shd w:val="clear" w:color="auto" w:fill="C5E0B3" w:themeFill="accent6" w:themeFillTint="66"/>
                                  <w:vAlign w:val="center"/>
                                </w:tcPr>
                                <w:p w14:paraId="276E5107" w14:textId="77777777" w:rsidR="00E671F8" w:rsidRPr="001D4ECF" w:rsidRDefault="00E671F8" w:rsidP="009B5DE1">
                                  <w:pPr>
                                    <w:overflowPunct w:val="0"/>
                                    <w:spacing w:line="0" w:lineRule="atLeast"/>
                                    <w:jc w:val="center"/>
                                    <w:rPr>
                                      <w:rFonts w:ascii="標楷體" w:eastAsia="標楷體" w:hAnsi="標楷體"/>
                                    </w:rPr>
                                  </w:pPr>
                                  <w:r w:rsidRPr="001D4ECF">
                                    <w:rPr>
                                      <w:rFonts w:ascii="標楷體" w:eastAsia="標楷體" w:hAnsi="標楷體" w:hint="eastAsia"/>
                                    </w:rPr>
                                    <w:t>金額</w:t>
                                  </w:r>
                                </w:p>
                              </w:tc>
                              <w:tc>
                                <w:tcPr>
                                  <w:tcW w:w="1016" w:type="dxa"/>
                                  <w:gridSpan w:val="2"/>
                                  <w:shd w:val="clear" w:color="auto" w:fill="C5E0B3" w:themeFill="accent6" w:themeFillTint="66"/>
                                  <w:vAlign w:val="center"/>
                                </w:tcPr>
                                <w:p w14:paraId="4E2730FD" w14:textId="77777777" w:rsidR="00E671F8" w:rsidRPr="001D4ECF" w:rsidRDefault="00E671F8" w:rsidP="009B5DE1">
                                  <w:pPr>
                                    <w:overflowPunct w:val="0"/>
                                    <w:spacing w:line="0" w:lineRule="atLeast"/>
                                    <w:jc w:val="center"/>
                                    <w:rPr>
                                      <w:rFonts w:ascii="標楷體" w:eastAsia="標楷體" w:hAnsi="標楷體"/>
                                    </w:rPr>
                                  </w:pPr>
                                  <w:r w:rsidRPr="001D4ECF">
                                    <w:rPr>
                                      <w:rFonts w:ascii="標楷體" w:eastAsia="標楷體" w:hAnsi="標楷體" w:hint="eastAsia"/>
                                    </w:rPr>
                                    <w:t>占比</w:t>
                                  </w:r>
                                </w:p>
                              </w:tc>
                              <w:tc>
                                <w:tcPr>
                                  <w:tcW w:w="1322" w:type="dxa"/>
                                  <w:shd w:val="clear" w:color="auto" w:fill="C5E0B3" w:themeFill="accent6" w:themeFillTint="66"/>
                                  <w:vAlign w:val="center"/>
                                </w:tcPr>
                                <w:p w14:paraId="508F43A2" w14:textId="77777777" w:rsidR="00E671F8" w:rsidRPr="001D4ECF" w:rsidRDefault="00E671F8" w:rsidP="009B5DE1">
                                  <w:pPr>
                                    <w:overflowPunct w:val="0"/>
                                    <w:spacing w:line="0" w:lineRule="atLeast"/>
                                    <w:jc w:val="center"/>
                                    <w:rPr>
                                      <w:rFonts w:ascii="標楷體" w:eastAsia="標楷體" w:hAnsi="標楷體"/>
                                    </w:rPr>
                                  </w:pPr>
                                  <w:r w:rsidRPr="001D4ECF">
                                    <w:rPr>
                                      <w:rFonts w:ascii="標楷體" w:eastAsia="標楷體" w:hAnsi="標楷體" w:hint="eastAsia"/>
                                    </w:rPr>
                                    <w:t>金額</w:t>
                                  </w:r>
                                </w:p>
                              </w:tc>
                              <w:tc>
                                <w:tcPr>
                                  <w:tcW w:w="1319" w:type="dxa"/>
                                  <w:shd w:val="clear" w:color="auto" w:fill="C5E0B3" w:themeFill="accent6" w:themeFillTint="66"/>
                                  <w:vAlign w:val="center"/>
                                </w:tcPr>
                                <w:p w14:paraId="23228302" w14:textId="77777777" w:rsidR="00E671F8" w:rsidRPr="001D4ECF" w:rsidRDefault="00E671F8" w:rsidP="009B5DE1">
                                  <w:pPr>
                                    <w:overflowPunct w:val="0"/>
                                    <w:spacing w:line="0" w:lineRule="atLeast"/>
                                    <w:jc w:val="center"/>
                                    <w:rPr>
                                      <w:rFonts w:ascii="標楷體" w:eastAsia="標楷體" w:hAnsi="標楷體"/>
                                    </w:rPr>
                                  </w:pPr>
                                  <w:r w:rsidRPr="001D4ECF">
                                    <w:rPr>
                                      <w:rFonts w:ascii="標楷體" w:eastAsia="標楷體" w:hAnsi="標楷體" w:hint="eastAsia"/>
                                    </w:rPr>
                                    <w:t>占比</w:t>
                                  </w:r>
                                </w:p>
                              </w:tc>
                              <w:tc>
                                <w:tcPr>
                                  <w:tcW w:w="1320" w:type="dxa"/>
                                  <w:shd w:val="clear" w:color="auto" w:fill="C5E0B3" w:themeFill="accent6" w:themeFillTint="66"/>
                                  <w:vAlign w:val="center"/>
                                </w:tcPr>
                                <w:p w14:paraId="7E089F71" w14:textId="77777777" w:rsidR="00E671F8" w:rsidRPr="001D4ECF" w:rsidRDefault="00E671F8" w:rsidP="009B5DE1">
                                  <w:pPr>
                                    <w:overflowPunct w:val="0"/>
                                    <w:spacing w:line="0" w:lineRule="atLeast"/>
                                    <w:jc w:val="center"/>
                                    <w:rPr>
                                      <w:rFonts w:ascii="標楷體" w:eastAsia="標楷體" w:hAnsi="標楷體"/>
                                    </w:rPr>
                                  </w:pPr>
                                  <w:r w:rsidRPr="001D4ECF">
                                    <w:rPr>
                                      <w:rFonts w:ascii="標楷體" w:eastAsia="標楷體" w:hAnsi="標楷體" w:hint="eastAsia"/>
                                    </w:rPr>
                                    <w:t>金額</w:t>
                                  </w:r>
                                </w:p>
                              </w:tc>
                              <w:tc>
                                <w:tcPr>
                                  <w:tcW w:w="1324" w:type="dxa"/>
                                  <w:shd w:val="clear" w:color="auto" w:fill="C5E0B3" w:themeFill="accent6" w:themeFillTint="66"/>
                                  <w:vAlign w:val="center"/>
                                </w:tcPr>
                                <w:p w14:paraId="2BD9A957" w14:textId="77777777" w:rsidR="00E671F8" w:rsidRPr="001D4ECF" w:rsidRDefault="00E671F8" w:rsidP="009B5DE1">
                                  <w:pPr>
                                    <w:overflowPunct w:val="0"/>
                                    <w:spacing w:line="0" w:lineRule="atLeast"/>
                                    <w:jc w:val="center"/>
                                    <w:rPr>
                                      <w:rFonts w:ascii="標楷體" w:eastAsia="標楷體" w:hAnsi="標楷體"/>
                                    </w:rPr>
                                  </w:pPr>
                                  <w:r w:rsidRPr="001D4ECF">
                                    <w:rPr>
                                      <w:rFonts w:ascii="標楷體" w:eastAsia="標楷體" w:hAnsi="標楷體" w:hint="eastAsia"/>
                                    </w:rPr>
                                    <w:t>占比</w:t>
                                  </w:r>
                                </w:p>
                              </w:tc>
                            </w:tr>
                            <w:tr w:rsidR="00857F92" w:rsidRPr="00151895" w14:paraId="490BEC7D" w14:textId="77777777" w:rsidTr="005164FB">
                              <w:trPr>
                                <w:trHeight w:val="397"/>
                              </w:trPr>
                              <w:tc>
                                <w:tcPr>
                                  <w:tcW w:w="2125" w:type="dxa"/>
                                  <w:vAlign w:val="center"/>
                                </w:tcPr>
                                <w:p w14:paraId="7D1F45EB" w14:textId="77777777" w:rsidR="00E671F8" w:rsidRPr="001D4ECF" w:rsidRDefault="00E671F8" w:rsidP="00156650">
                                  <w:pPr>
                                    <w:overflowPunct w:val="0"/>
                                    <w:spacing w:line="260" w:lineRule="exact"/>
                                    <w:jc w:val="center"/>
                                    <w:rPr>
                                      <w:rFonts w:ascii="標楷體" w:eastAsia="標楷體" w:hAnsi="標楷體"/>
                                      <w:b/>
                                      <w:bCs/>
                                    </w:rPr>
                                  </w:pPr>
                                  <w:r w:rsidRPr="001D4ECF">
                                    <w:rPr>
                                      <w:rFonts w:ascii="標楷體" w:eastAsia="標楷體" w:hAnsi="標楷體" w:hint="eastAsia"/>
                                      <w:b/>
                                      <w:bCs/>
                                    </w:rPr>
                                    <w:t>合　　計</w:t>
                                  </w:r>
                                </w:p>
                              </w:tc>
                              <w:tc>
                                <w:tcPr>
                                  <w:tcW w:w="1625" w:type="dxa"/>
                                  <w:vAlign w:val="center"/>
                                </w:tcPr>
                                <w:p w14:paraId="33CA36BE" w14:textId="77777777" w:rsidR="00E671F8" w:rsidRPr="001D4ECF" w:rsidRDefault="00E671F8" w:rsidP="007E5CDD">
                                  <w:pPr>
                                    <w:widowControl/>
                                    <w:spacing w:line="260" w:lineRule="exact"/>
                                    <w:jc w:val="right"/>
                                    <w:rPr>
                                      <w:rFonts w:ascii="標楷體" w:eastAsia="標楷體" w:hAnsi="標楷體"/>
                                      <w:b/>
                                      <w:bCs/>
                                    </w:rPr>
                                  </w:pPr>
                                  <w:r w:rsidRPr="001D4ECF">
                                    <w:rPr>
                                      <w:rFonts w:ascii="標楷體" w:eastAsia="標楷體" w:hAnsi="標楷體" w:hint="eastAsia"/>
                                      <w:b/>
                                      <w:bCs/>
                                    </w:rPr>
                                    <w:t>23,603</w:t>
                                  </w:r>
                                </w:p>
                              </w:tc>
                              <w:tc>
                                <w:tcPr>
                                  <w:tcW w:w="1016" w:type="dxa"/>
                                  <w:gridSpan w:val="2"/>
                                  <w:vAlign w:val="center"/>
                                </w:tcPr>
                                <w:p w14:paraId="6FA2DFED" w14:textId="77777777" w:rsidR="00E671F8" w:rsidRPr="001D4ECF" w:rsidRDefault="00E671F8" w:rsidP="007E5CDD">
                                  <w:pPr>
                                    <w:overflowPunct w:val="0"/>
                                    <w:spacing w:line="260" w:lineRule="exact"/>
                                    <w:jc w:val="right"/>
                                    <w:rPr>
                                      <w:rFonts w:ascii="標楷體" w:eastAsia="標楷體" w:hAnsi="標楷體"/>
                                      <w:b/>
                                      <w:bCs/>
                                    </w:rPr>
                                  </w:pPr>
                                  <w:r w:rsidRPr="001D4ECF">
                                    <w:rPr>
                                      <w:rFonts w:ascii="標楷體" w:eastAsia="標楷體" w:hAnsi="標楷體" w:hint="eastAsia"/>
                                      <w:b/>
                                      <w:bCs/>
                                    </w:rPr>
                                    <w:t>1</w:t>
                                  </w:r>
                                  <w:r w:rsidRPr="001D4ECF">
                                    <w:rPr>
                                      <w:rFonts w:ascii="標楷體" w:eastAsia="標楷體" w:hAnsi="標楷體"/>
                                      <w:b/>
                                      <w:bCs/>
                                    </w:rPr>
                                    <w:t>00.00</w:t>
                                  </w:r>
                                </w:p>
                              </w:tc>
                              <w:tc>
                                <w:tcPr>
                                  <w:tcW w:w="1322" w:type="dxa"/>
                                  <w:vAlign w:val="center"/>
                                </w:tcPr>
                                <w:p w14:paraId="56757D2F" w14:textId="77777777" w:rsidR="00E671F8" w:rsidRPr="001D4ECF" w:rsidRDefault="00E671F8" w:rsidP="007E5CDD">
                                  <w:pPr>
                                    <w:widowControl/>
                                    <w:spacing w:line="260" w:lineRule="exact"/>
                                    <w:jc w:val="right"/>
                                    <w:rPr>
                                      <w:rFonts w:ascii="標楷體" w:eastAsia="標楷體" w:hAnsi="標楷體"/>
                                      <w:b/>
                                      <w:bCs/>
                                    </w:rPr>
                                  </w:pPr>
                                  <w:r w:rsidRPr="001D4ECF">
                                    <w:rPr>
                                      <w:rFonts w:ascii="標楷體" w:eastAsia="標楷體" w:hAnsi="標楷體" w:hint="eastAsia"/>
                                      <w:b/>
                                      <w:bCs/>
                                    </w:rPr>
                                    <w:t>28,938</w:t>
                                  </w:r>
                                </w:p>
                              </w:tc>
                              <w:tc>
                                <w:tcPr>
                                  <w:tcW w:w="1319" w:type="dxa"/>
                                  <w:vAlign w:val="center"/>
                                </w:tcPr>
                                <w:p w14:paraId="7450581A" w14:textId="77777777" w:rsidR="00E671F8" w:rsidRPr="001D4ECF" w:rsidRDefault="00E671F8" w:rsidP="007E5CDD">
                                  <w:pPr>
                                    <w:overflowPunct w:val="0"/>
                                    <w:spacing w:line="260" w:lineRule="exact"/>
                                    <w:jc w:val="right"/>
                                    <w:rPr>
                                      <w:rFonts w:ascii="標楷體" w:eastAsia="標楷體" w:hAnsi="標楷體"/>
                                      <w:b/>
                                      <w:bCs/>
                                    </w:rPr>
                                  </w:pPr>
                                  <w:r w:rsidRPr="001D4ECF">
                                    <w:rPr>
                                      <w:rFonts w:ascii="標楷體" w:eastAsia="標楷體" w:hAnsi="標楷體" w:hint="eastAsia"/>
                                      <w:b/>
                                      <w:bCs/>
                                    </w:rPr>
                                    <w:t>1</w:t>
                                  </w:r>
                                  <w:r w:rsidRPr="001D4ECF">
                                    <w:rPr>
                                      <w:rFonts w:ascii="標楷體" w:eastAsia="標楷體" w:hAnsi="標楷體"/>
                                      <w:b/>
                                      <w:bCs/>
                                    </w:rPr>
                                    <w:t>00.00</w:t>
                                  </w:r>
                                </w:p>
                              </w:tc>
                              <w:tc>
                                <w:tcPr>
                                  <w:tcW w:w="1320" w:type="dxa"/>
                                  <w:vAlign w:val="center"/>
                                </w:tcPr>
                                <w:p w14:paraId="4950CA17" w14:textId="77777777" w:rsidR="00E671F8" w:rsidRPr="001D4ECF" w:rsidRDefault="00E671F8" w:rsidP="007E5CDD">
                                  <w:pPr>
                                    <w:widowControl/>
                                    <w:spacing w:line="260" w:lineRule="exact"/>
                                    <w:jc w:val="right"/>
                                    <w:rPr>
                                      <w:rFonts w:ascii="標楷體" w:eastAsia="標楷體" w:hAnsi="標楷體"/>
                                      <w:b/>
                                      <w:bCs/>
                                    </w:rPr>
                                  </w:pPr>
                                  <w:r w:rsidRPr="001D4ECF">
                                    <w:rPr>
                                      <w:rFonts w:ascii="標楷體" w:eastAsia="標楷體" w:hAnsi="標楷體" w:hint="eastAsia"/>
                                      <w:b/>
                                      <w:bCs/>
                                    </w:rPr>
                                    <w:t>24,637</w:t>
                                  </w:r>
                                </w:p>
                              </w:tc>
                              <w:tc>
                                <w:tcPr>
                                  <w:tcW w:w="1324" w:type="dxa"/>
                                  <w:vAlign w:val="center"/>
                                </w:tcPr>
                                <w:p w14:paraId="3B65BCE2" w14:textId="77777777" w:rsidR="00E671F8" w:rsidRPr="001D4ECF" w:rsidRDefault="00E671F8" w:rsidP="007E5CDD">
                                  <w:pPr>
                                    <w:overflowPunct w:val="0"/>
                                    <w:spacing w:line="260" w:lineRule="exact"/>
                                    <w:jc w:val="right"/>
                                    <w:rPr>
                                      <w:rFonts w:ascii="標楷體" w:eastAsia="標楷體" w:hAnsi="標楷體"/>
                                      <w:b/>
                                      <w:bCs/>
                                    </w:rPr>
                                  </w:pPr>
                                  <w:r w:rsidRPr="001D4ECF">
                                    <w:rPr>
                                      <w:rFonts w:ascii="標楷體" w:eastAsia="標楷體" w:hAnsi="標楷體" w:hint="eastAsia"/>
                                      <w:b/>
                                      <w:bCs/>
                                    </w:rPr>
                                    <w:t>1</w:t>
                                  </w:r>
                                  <w:r w:rsidRPr="001D4ECF">
                                    <w:rPr>
                                      <w:rFonts w:ascii="標楷體" w:eastAsia="標楷體" w:hAnsi="標楷體"/>
                                      <w:b/>
                                      <w:bCs/>
                                    </w:rPr>
                                    <w:t>00.00</w:t>
                                  </w:r>
                                </w:p>
                              </w:tc>
                            </w:tr>
                            <w:tr w:rsidR="00E671F8" w:rsidRPr="00151895" w14:paraId="4620A045" w14:textId="77777777" w:rsidTr="006C1A06">
                              <w:trPr>
                                <w:trHeight w:val="397"/>
                              </w:trPr>
                              <w:tc>
                                <w:tcPr>
                                  <w:tcW w:w="2125" w:type="dxa"/>
                                  <w:vAlign w:val="center"/>
                                </w:tcPr>
                                <w:p w14:paraId="697C4EB3" w14:textId="77777777" w:rsidR="00E671F8" w:rsidRPr="001D4ECF" w:rsidRDefault="00E671F8" w:rsidP="00156650">
                                  <w:pPr>
                                    <w:overflowPunct w:val="0"/>
                                    <w:spacing w:line="260" w:lineRule="exact"/>
                                    <w:jc w:val="center"/>
                                    <w:rPr>
                                      <w:rFonts w:ascii="標楷體" w:eastAsia="標楷體" w:hAnsi="標楷體"/>
                                    </w:rPr>
                                  </w:pPr>
                                  <w:r w:rsidRPr="001D4ECF">
                                    <w:rPr>
                                      <w:rFonts w:ascii="標楷體" w:eastAsia="標楷體" w:hAnsi="標楷體" w:hint="eastAsia"/>
                                    </w:rPr>
                                    <w:t>台灣電力公司</w:t>
                                  </w:r>
                                </w:p>
                              </w:tc>
                              <w:tc>
                                <w:tcPr>
                                  <w:tcW w:w="1625" w:type="dxa"/>
                                  <w:vAlign w:val="center"/>
                                </w:tcPr>
                                <w:p w14:paraId="60E41A51"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800</w:t>
                                  </w:r>
                                </w:p>
                              </w:tc>
                              <w:tc>
                                <w:tcPr>
                                  <w:tcW w:w="1016" w:type="dxa"/>
                                  <w:gridSpan w:val="2"/>
                                  <w:vAlign w:val="center"/>
                                </w:tcPr>
                                <w:p w14:paraId="29D287D8"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3.39</w:t>
                                  </w:r>
                                </w:p>
                              </w:tc>
                              <w:tc>
                                <w:tcPr>
                                  <w:tcW w:w="1322" w:type="dxa"/>
                                  <w:vAlign w:val="center"/>
                                </w:tcPr>
                                <w:p w14:paraId="0CB22AF6"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2,164</w:t>
                                  </w:r>
                                </w:p>
                              </w:tc>
                              <w:tc>
                                <w:tcPr>
                                  <w:tcW w:w="1319" w:type="dxa"/>
                                  <w:vAlign w:val="center"/>
                                </w:tcPr>
                                <w:p w14:paraId="2A26C967"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7.48</w:t>
                                  </w:r>
                                </w:p>
                              </w:tc>
                              <w:tc>
                                <w:tcPr>
                                  <w:tcW w:w="1320" w:type="dxa"/>
                                  <w:vAlign w:val="center"/>
                                </w:tcPr>
                                <w:p w14:paraId="2D094A70"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2,382</w:t>
                                  </w:r>
                                </w:p>
                              </w:tc>
                              <w:tc>
                                <w:tcPr>
                                  <w:tcW w:w="1324" w:type="dxa"/>
                                  <w:vAlign w:val="center"/>
                                </w:tcPr>
                                <w:p w14:paraId="5879723E"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9.67</w:t>
                                  </w:r>
                                </w:p>
                              </w:tc>
                            </w:tr>
                            <w:tr w:rsidR="00E671F8" w:rsidRPr="00151895" w14:paraId="074AEF14" w14:textId="77777777" w:rsidTr="006C1A06">
                              <w:trPr>
                                <w:trHeight w:val="397"/>
                              </w:trPr>
                              <w:tc>
                                <w:tcPr>
                                  <w:tcW w:w="2125" w:type="dxa"/>
                                  <w:vAlign w:val="center"/>
                                </w:tcPr>
                                <w:p w14:paraId="6CB1588C" w14:textId="77777777" w:rsidR="00E671F8" w:rsidRPr="001D4ECF" w:rsidRDefault="00E671F8" w:rsidP="00156650">
                                  <w:pPr>
                                    <w:overflowPunct w:val="0"/>
                                    <w:spacing w:line="260" w:lineRule="exact"/>
                                    <w:jc w:val="center"/>
                                    <w:rPr>
                                      <w:rFonts w:ascii="標楷體" w:eastAsia="標楷體" w:hAnsi="標楷體"/>
                                    </w:rPr>
                                  </w:pPr>
                                  <w:r w:rsidRPr="001D4ECF">
                                    <w:rPr>
                                      <w:rFonts w:ascii="標楷體" w:eastAsia="標楷體" w:hAnsi="標楷體" w:hint="eastAsia"/>
                                    </w:rPr>
                                    <w:t>台灣中油公司</w:t>
                                  </w:r>
                                </w:p>
                              </w:tc>
                              <w:tc>
                                <w:tcPr>
                                  <w:tcW w:w="1625" w:type="dxa"/>
                                  <w:vAlign w:val="center"/>
                                </w:tcPr>
                                <w:p w14:paraId="6A9ED8C2"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20,899</w:t>
                                  </w:r>
                                </w:p>
                              </w:tc>
                              <w:tc>
                                <w:tcPr>
                                  <w:tcW w:w="1016" w:type="dxa"/>
                                  <w:gridSpan w:val="2"/>
                                  <w:vAlign w:val="center"/>
                                </w:tcPr>
                                <w:p w14:paraId="6AEE8BE0"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88.54</w:t>
                                  </w:r>
                                </w:p>
                              </w:tc>
                              <w:tc>
                                <w:tcPr>
                                  <w:tcW w:w="1322" w:type="dxa"/>
                                  <w:vAlign w:val="center"/>
                                </w:tcPr>
                                <w:p w14:paraId="5C7904D0"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25,335</w:t>
                                  </w:r>
                                </w:p>
                              </w:tc>
                              <w:tc>
                                <w:tcPr>
                                  <w:tcW w:w="1319" w:type="dxa"/>
                                  <w:vAlign w:val="center"/>
                                </w:tcPr>
                                <w:p w14:paraId="29BA83E5"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87.55</w:t>
                                  </w:r>
                                </w:p>
                              </w:tc>
                              <w:tc>
                                <w:tcPr>
                                  <w:tcW w:w="1320" w:type="dxa"/>
                                  <w:vAlign w:val="center"/>
                                </w:tcPr>
                                <w:p w14:paraId="7362A3FB"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21,601</w:t>
                                  </w:r>
                                </w:p>
                              </w:tc>
                              <w:tc>
                                <w:tcPr>
                                  <w:tcW w:w="1324" w:type="dxa"/>
                                  <w:vAlign w:val="center"/>
                                </w:tcPr>
                                <w:p w14:paraId="2A39D270"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87.68</w:t>
                                  </w:r>
                                </w:p>
                              </w:tc>
                            </w:tr>
                            <w:tr w:rsidR="00E671F8" w:rsidRPr="00151895" w14:paraId="0C00F275" w14:textId="77777777" w:rsidTr="006C1A06">
                              <w:trPr>
                                <w:trHeight w:val="397"/>
                              </w:trPr>
                              <w:tc>
                                <w:tcPr>
                                  <w:tcW w:w="2125" w:type="dxa"/>
                                  <w:vAlign w:val="center"/>
                                </w:tcPr>
                                <w:p w14:paraId="60C28451" w14:textId="77777777" w:rsidR="00E671F8" w:rsidRPr="001D4ECF" w:rsidRDefault="00E671F8" w:rsidP="00156650">
                                  <w:pPr>
                                    <w:overflowPunct w:val="0"/>
                                    <w:spacing w:line="260" w:lineRule="exact"/>
                                    <w:jc w:val="center"/>
                                    <w:rPr>
                                      <w:rFonts w:ascii="標楷體" w:eastAsia="標楷體" w:hAnsi="標楷體"/>
                                    </w:rPr>
                                  </w:pPr>
                                  <w:r w:rsidRPr="001D4ECF">
                                    <w:rPr>
                                      <w:rFonts w:ascii="標楷體" w:eastAsia="標楷體" w:hAnsi="標楷體" w:hint="eastAsia"/>
                                    </w:rPr>
                                    <w:t>台灣糖業公司</w:t>
                                  </w:r>
                                </w:p>
                              </w:tc>
                              <w:tc>
                                <w:tcPr>
                                  <w:tcW w:w="1625" w:type="dxa"/>
                                  <w:vAlign w:val="center"/>
                                </w:tcPr>
                                <w:p w14:paraId="215AFE28"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1,304</w:t>
                                  </w:r>
                                </w:p>
                              </w:tc>
                              <w:tc>
                                <w:tcPr>
                                  <w:tcW w:w="1016" w:type="dxa"/>
                                  <w:gridSpan w:val="2"/>
                                  <w:vAlign w:val="center"/>
                                </w:tcPr>
                                <w:p w14:paraId="3AD4F922"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5.53</w:t>
                                  </w:r>
                                </w:p>
                              </w:tc>
                              <w:tc>
                                <w:tcPr>
                                  <w:tcW w:w="1322" w:type="dxa"/>
                                  <w:vAlign w:val="center"/>
                                </w:tcPr>
                                <w:p w14:paraId="17665476"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881</w:t>
                                  </w:r>
                                </w:p>
                              </w:tc>
                              <w:tc>
                                <w:tcPr>
                                  <w:tcW w:w="1319" w:type="dxa"/>
                                  <w:vAlign w:val="center"/>
                                </w:tcPr>
                                <w:p w14:paraId="4BC2F4CE"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3.05</w:t>
                                  </w:r>
                                </w:p>
                              </w:tc>
                              <w:tc>
                                <w:tcPr>
                                  <w:tcW w:w="1320" w:type="dxa"/>
                                  <w:vAlign w:val="center"/>
                                </w:tcPr>
                                <w:p w14:paraId="113656AF"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293</w:t>
                                  </w:r>
                                </w:p>
                              </w:tc>
                              <w:tc>
                                <w:tcPr>
                                  <w:tcW w:w="1324" w:type="dxa"/>
                                  <w:vAlign w:val="center"/>
                                </w:tcPr>
                                <w:p w14:paraId="6CA834DD"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1.19</w:t>
                                  </w:r>
                                </w:p>
                              </w:tc>
                            </w:tr>
                            <w:tr w:rsidR="00E671F8" w:rsidRPr="00151895" w14:paraId="493C01B5" w14:textId="77777777" w:rsidTr="006C1A06">
                              <w:trPr>
                                <w:trHeight w:val="397"/>
                              </w:trPr>
                              <w:tc>
                                <w:tcPr>
                                  <w:tcW w:w="2125" w:type="dxa"/>
                                  <w:tcBorders>
                                    <w:bottom w:val="single" w:sz="4" w:space="0" w:color="auto"/>
                                  </w:tcBorders>
                                  <w:vAlign w:val="center"/>
                                </w:tcPr>
                                <w:p w14:paraId="1B6222D6" w14:textId="77777777" w:rsidR="00E671F8" w:rsidRPr="00B93AA2" w:rsidRDefault="00E671F8" w:rsidP="00156650">
                                  <w:pPr>
                                    <w:overflowPunct w:val="0"/>
                                    <w:spacing w:line="260" w:lineRule="exact"/>
                                    <w:jc w:val="center"/>
                                    <w:rPr>
                                      <w:rFonts w:ascii="標楷體" w:eastAsia="標楷體" w:hAnsi="標楷體"/>
                                      <w:spacing w:val="-16"/>
                                    </w:rPr>
                                  </w:pPr>
                                  <w:r w:rsidRPr="00B93AA2">
                                    <w:rPr>
                                      <w:rFonts w:ascii="標楷體" w:eastAsia="標楷體" w:hAnsi="標楷體" w:hint="eastAsia"/>
                                      <w:spacing w:val="-16"/>
                                    </w:rPr>
                                    <w:t>台灣自來水公司</w:t>
                                  </w:r>
                                </w:p>
                              </w:tc>
                              <w:tc>
                                <w:tcPr>
                                  <w:tcW w:w="1625" w:type="dxa"/>
                                  <w:tcBorders>
                                    <w:bottom w:val="single" w:sz="4" w:space="0" w:color="auto"/>
                                  </w:tcBorders>
                                  <w:vAlign w:val="center"/>
                                </w:tcPr>
                                <w:p w14:paraId="1EDF254A"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600</w:t>
                                  </w:r>
                                </w:p>
                              </w:tc>
                              <w:tc>
                                <w:tcPr>
                                  <w:tcW w:w="1016" w:type="dxa"/>
                                  <w:gridSpan w:val="2"/>
                                  <w:tcBorders>
                                    <w:bottom w:val="single" w:sz="4" w:space="0" w:color="auto"/>
                                  </w:tcBorders>
                                  <w:vAlign w:val="center"/>
                                </w:tcPr>
                                <w:p w14:paraId="71A64E8A"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2.54</w:t>
                                  </w:r>
                                </w:p>
                              </w:tc>
                              <w:tc>
                                <w:tcPr>
                                  <w:tcW w:w="1322" w:type="dxa"/>
                                  <w:tcBorders>
                                    <w:bottom w:val="single" w:sz="4" w:space="0" w:color="auto"/>
                                  </w:tcBorders>
                                  <w:vAlign w:val="center"/>
                                </w:tcPr>
                                <w:p w14:paraId="141FE8FD"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556</w:t>
                                  </w:r>
                                </w:p>
                              </w:tc>
                              <w:tc>
                                <w:tcPr>
                                  <w:tcW w:w="1319" w:type="dxa"/>
                                  <w:tcBorders>
                                    <w:bottom w:val="single" w:sz="4" w:space="0" w:color="auto"/>
                                  </w:tcBorders>
                                  <w:vAlign w:val="center"/>
                                </w:tcPr>
                                <w:p w14:paraId="2739F845"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1.92</w:t>
                                  </w:r>
                                </w:p>
                              </w:tc>
                              <w:tc>
                                <w:tcPr>
                                  <w:tcW w:w="1320" w:type="dxa"/>
                                  <w:tcBorders>
                                    <w:bottom w:val="single" w:sz="4" w:space="0" w:color="auto"/>
                                  </w:tcBorders>
                                  <w:vAlign w:val="center"/>
                                </w:tcPr>
                                <w:p w14:paraId="75F6380B"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360</w:t>
                                  </w:r>
                                </w:p>
                              </w:tc>
                              <w:tc>
                                <w:tcPr>
                                  <w:tcW w:w="1324" w:type="dxa"/>
                                  <w:tcBorders>
                                    <w:bottom w:val="single" w:sz="4" w:space="0" w:color="auto"/>
                                  </w:tcBorders>
                                  <w:vAlign w:val="center"/>
                                </w:tcPr>
                                <w:p w14:paraId="01D0FB0E"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1.46</w:t>
                                  </w:r>
                                </w:p>
                              </w:tc>
                            </w:tr>
                            <w:tr w:rsidR="00E671F8" w:rsidRPr="00151895" w14:paraId="71A462F9" w14:textId="77777777" w:rsidTr="00E671F8">
                              <w:trPr>
                                <w:trHeight w:val="244"/>
                              </w:trPr>
                              <w:tc>
                                <w:tcPr>
                                  <w:tcW w:w="10051" w:type="dxa"/>
                                  <w:gridSpan w:val="8"/>
                                  <w:tcBorders>
                                    <w:top w:val="single" w:sz="4" w:space="0" w:color="auto"/>
                                    <w:left w:val="nil"/>
                                    <w:bottom w:val="nil"/>
                                    <w:right w:val="nil"/>
                                  </w:tcBorders>
                                </w:tcPr>
                                <w:p w14:paraId="1E1A4A62" w14:textId="77777777" w:rsidR="00E671F8" w:rsidRPr="00151895" w:rsidRDefault="00E671F8" w:rsidP="00B140EF">
                                  <w:pPr>
                                    <w:overflowPunct w:val="0"/>
                                    <w:spacing w:line="0" w:lineRule="atLeast"/>
                                    <w:ind w:leftChars="-43" w:left="1" w:hangingChars="58" w:hanging="104"/>
                                    <w:rPr>
                                      <w:rFonts w:ascii="標楷體" w:eastAsia="標楷體" w:hAnsi="標楷體"/>
                                      <w:sz w:val="22"/>
                                    </w:rPr>
                                  </w:pPr>
                                  <w:r w:rsidRPr="001D4ECF">
                                    <w:rPr>
                                      <w:rFonts w:ascii="標楷體" w:eastAsia="標楷體" w:hAnsi="標楷體" w:hint="eastAsia"/>
                                      <w:sz w:val="18"/>
                                      <w:szCs w:val="18"/>
                                    </w:rPr>
                                    <w:t>資料來源：整理自</w:t>
                                  </w:r>
                                  <w:r>
                                    <w:rPr>
                                      <w:rFonts w:ascii="標楷體" w:eastAsia="標楷體" w:hAnsi="標楷體" w:hint="eastAsia"/>
                                      <w:sz w:val="18"/>
                                      <w:szCs w:val="18"/>
                                    </w:rPr>
                                    <w:t>經濟</w:t>
                                  </w:r>
                                  <w:r w:rsidRPr="001D4ECF">
                                    <w:rPr>
                                      <w:rFonts w:ascii="標楷體" w:eastAsia="標楷體" w:hAnsi="標楷體" w:hint="eastAsia"/>
                                      <w:sz w:val="18"/>
                                      <w:szCs w:val="18"/>
                                    </w:rPr>
                                    <w:t>部所屬各事業提供資料。</w:t>
                                  </w:r>
                                </w:p>
                              </w:tc>
                            </w:tr>
                          </w:tbl>
                          <w:p w14:paraId="4A75CE56" w14:textId="77777777" w:rsidR="00E671F8" w:rsidRPr="009B5DE1" w:rsidRDefault="00E671F8" w:rsidP="00E671F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CA15C3" id="_x0000_s1028" type="#_x0000_t202" style="position:absolute;left:0;text-align:left;margin-left:0;margin-top:1.05pt;width:517pt;height:192.2pt;z-index:2517708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" stroked="f">
                <v:textbox>
                  <w:txbxContent>
                    <w:tbl>
                      <w:tblPr>
                        <w:tblStyle w:val="a9"/>
                        <w:tblW w:w="10051" w:type="dxa"/>
                        <w:tblLayout w:type="fixed"/>
                        <w:tblLook w:val="04A0" w:firstRow="1" w:lastRow="0" w:firstColumn="1" w:lastColumn="0" w:noHBand="0" w:noVBand="1"/>
                      </w:tblPr>
                      <w:tblGrid>
                        <w:gridCol w:w="2125"/>
                        <w:gridCol w:w="1625"/>
                        <w:gridCol w:w="1010"/>
                        <w:gridCol w:w="6"/>
                        <w:gridCol w:w="1322"/>
                        <w:gridCol w:w="1319"/>
                        <w:gridCol w:w="1320"/>
                        <w:gridCol w:w="1324"/>
                      </w:tblGrid>
                      <w:tr w:rsidR="00E671F8" w:rsidRPr="00151895" w14:paraId="703E300A" w14:textId="77777777" w:rsidTr="00E671F8">
                        <w:trPr>
                          <w:trHeight w:val="254"/>
                        </w:trPr>
                        <w:tc>
                          <w:tcPr>
                            <w:tcW w:w="10051" w:type="dxa"/>
                            <w:gridSpan w:val="8"/>
                            <w:tcBorders>
                              <w:top w:val="nil"/>
                              <w:left w:val="nil"/>
                              <w:bottom w:val="nil"/>
                              <w:right w:val="nil"/>
                            </w:tcBorders>
                          </w:tcPr>
                          <w:p w14:paraId="3DFB6428" w14:textId="77777777" w:rsidR="00E671F8" w:rsidRPr="00B140EF" w:rsidRDefault="00E671F8" w:rsidP="002A0CFF">
                            <w:pPr>
                              <w:overflowPunct w:val="0"/>
                              <w:spacing w:line="0" w:lineRule="atLeast"/>
                              <w:jc w:val="center"/>
                              <w:rPr>
                                <w:rFonts w:ascii="標楷體" w:eastAsia="標楷體" w:hAnsi="標楷體"/>
                                <w:b/>
                                <w:sz w:val="24"/>
                                <w:szCs w:val="24"/>
                              </w:rPr>
                            </w:pPr>
                            <w:r w:rsidRPr="00B140EF">
                              <w:rPr>
                                <w:rFonts w:ascii="標楷體" w:eastAsia="標楷體" w:hAnsi="標楷體" w:hint="eastAsia"/>
                                <w:b/>
                                <w:sz w:val="24"/>
                                <w:szCs w:val="24"/>
                              </w:rPr>
                              <w:t>表5　經濟部所屬國營事業近</w:t>
                            </w:r>
                            <w:r w:rsidRPr="00B140EF">
                              <w:rPr>
                                <w:rFonts w:ascii="標楷體" w:eastAsia="標楷體" w:hAnsi="標楷體"/>
                                <w:b/>
                                <w:sz w:val="24"/>
                                <w:szCs w:val="24"/>
                              </w:rPr>
                              <w:t>3年度</w:t>
                            </w:r>
                            <w:r w:rsidRPr="00B140EF">
                              <w:rPr>
                                <w:rFonts w:ascii="標楷體" w:eastAsia="標楷體" w:hAnsi="標楷體" w:hint="eastAsia"/>
                                <w:b/>
                                <w:sz w:val="24"/>
                                <w:szCs w:val="24"/>
                              </w:rPr>
                              <w:t>遭裁處環保罰單金額</w:t>
                            </w:r>
                          </w:p>
                        </w:tc>
                      </w:tr>
                      <w:tr w:rsidR="00E671F8" w:rsidRPr="00151895" w14:paraId="6EC2CB2E" w14:textId="77777777" w:rsidTr="00E671F8">
                        <w:trPr>
                          <w:trHeight w:val="68"/>
                        </w:trPr>
                        <w:tc>
                          <w:tcPr>
                            <w:tcW w:w="10051" w:type="dxa"/>
                            <w:gridSpan w:val="8"/>
                            <w:tcBorders>
                              <w:top w:val="nil"/>
                              <w:left w:val="nil"/>
                              <w:bottom w:val="single" w:sz="4" w:space="0" w:color="auto"/>
                              <w:right w:val="nil"/>
                            </w:tcBorders>
                          </w:tcPr>
                          <w:p w14:paraId="1CC5E3D9" w14:textId="77777777" w:rsidR="00E671F8" w:rsidRPr="001D4ECF" w:rsidRDefault="00E671F8" w:rsidP="00396E16">
                            <w:pPr>
                              <w:overflowPunct w:val="0"/>
                              <w:spacing w:line="0" w:lineRule="atLeast"/>
                              <w:jc w:val="right"/>
                              <w:rPr>
                                <w:rFonts w:ascii="標楷體" w:eastAsia="標楷體" w:hAnsi="標楷體"/>
                              </w:rPr>
                            </w:pPr>
                            <w:r w:rsidRPr="001D4ECF">
                              <w:rPr>
                                <w:rFonts w:ascii="標楷體" w:eastAsia="標楷體" w:hAnsi="標楷體" w:hint="eastAsia"/>
                              </w:rPr>
                              <w:t>單位：新臺幣千元、％</w:t>
                            </w:r>
                          </w:p>
                        </w:tc>
                      </w:tr>
                      <w:tr w:rsidR="00857F92" w:rsidRPr="00151895" w14:paraId="7615BD17" w14:textId="77777777" w:rsidTr="005164FB">
                        <w:trPr>
                          <w:trHeight w:val="397"/>
                        </w:trPr>
                        <w:tc>
                          <w:tcPr>
                            <w:tcW w:w="2125" w:type="dxa"/>
                            <w:vMerge w:val="restart"/>
                            <w:tcBorders>
                              <w:top w:val="single" w:sz="4" w:space="0" w:color="auto"/>
                              <w:tl2br w:val="single" w:sz="4" w:space="0" w:color="auto"/>
                            </w:tcBorders>
                            <w:shd w:val="clear" w:color="auto" w:fill="C5E0B3" w:themeFill="accent6" w:themeFillTint="66"/>
                          </w:tcPr>
                          <w:p w14:paraId="41F98B43" w14:textId="77777777" w:rsidR="00857F92" w:rsidRPr="001D4ECF" w:rsidRDefault="00857F92" w:rsidP="00156650">
                            <w:pPr>
                              <w:overflowPunct w:val="0"/>
                              <w:spacing w:line="240" w:lineRule="exact"/>
                              <w:jc w:val="right"/>
                              <w:rPr>
                                <w:rFonts w:ascii="標楷體" w:eastAsia="標楷體" w:hAnsi="標楷體"/>
                              </w:rPr>
                            </w:pPr>
                            <w:r w:rsidRPr="001D4ECF">
                              <w:rPr>
                                <w:rFonts w:ascii="標楷體" w:eastAsia="標楷體" w:hAnsi="標楷體" w:hint="eastAsia"/>
                              </w:rPr>
                              <w:t>年度</w:t>
                            </w:r>
                          </w:p>
                          <w:p w14:paraId="1D606461" w14:textId="77777777" w:rsidR="00857F92" w:rsidRPr="00156650" w:rsidRDefault="00857F92" w:rsidP="00156650">
                            <w:pPr>
                              <w:overflowPunct w:val="0"/>
                              <w:spacing w:line="200" w:lineRule="exact"/>
                              <w:rPr>
                                <w:rFonts w:ascii="標楷體" w:eastAsia="標楷體" w:hAnsi="標楷體"/>
                                <w:sz w:val="18"/>
                                <w:szCs w:val="18"/>
                              </w:rPr>
                            </w:pPr>
                          </w:p>
                          <w:p w14:paraId="15F7AB51" w14:textId="77777777" w:rsidR="00857F92" w:rsidRPr="001D4ECF" w:rsidRDefault="00857F92" w:rsidP="00156650">
                            <w:pPr>
                              <w:overflowPunct w:val="0"/>
                              <w:spacing w:line="240" w:lineRule="exact"/>
                              <w:rPr>
                                <w:rFonts w:ascii="標楷體" w:eastAsia="標楷體" w:hAnsi="標楷體"/>
                              </w:rPr>
                            </w:pPr>
                            <w:r w:rsidRPr="001D4ECF">
                              <w:rPr>
                                <w:rFonts w:ascii="標楷體" w:eastAsia="標楷體" w:hAnsi="標楷體" w:hint="eastAsia"/>
                              </w:rPr>
                              <w:t>事業名稱</w:t>
                            </w:r>
                          </w:p>
                        </w:tc>
                        <w:tc>
                          <w:tcPr>
                            <w:tcW w:w="2635" w:type="dxa"/>
                            <w:gridSpan w:val="2"/>
                            <w:tcBorders>
                              <w:top w:val="single" w:sz="4" w:space="0" w:color="auto"/>
                            </w:tcBorders>
                            <w:shd w:val="clear" w:color="auto" w:fill="C5E0B3" w:themeFill="accent6" w:themeFillTint="66"/>
                            <w:vAlign w:val="center"/>
                          </w:tcPr>
                          <w:p w14:paraId="420CF1B8" w14:textId="5B81C8D9" w:rsidR="00857F92" w:rsidRPr="001D4ECF" w:rsidRDefault="00857F92" w:rsidP="00396E16">
                            <w:pPr>
                              <w:overflowPunct w:val="0"/>
                              <w:spacing w:line="0" w:lineRule="atLeast"/>
                              <w:jc w:val="center"/>
                              <w:rPr>
                                <w:rFonts w:ascii="標楷體" w:hAnsi="標楷體"/>
                              </w:rPr>
                            </w:pPr>
                            <w:r w:rsidRPr="001D4ECF">
                              <w:rPr>
                                <w:rFonts w:ascii="標楷體" w:eastAsia="標楷體" w:hAnsi="標楷體" w:hint="eastAsia"/>
                              </w:rPr>
                              <w:t>112</w:t>
                            </w:r>
                          </w:p>
                        </w:tc>
                        <w:tc>
                          <w:tcPr>
                            <w:tcW w:w="2647" w:type="dxa"/>
                            <w:gridSpan w:val="3"/>
                            <w:tcBorders>
                              <w:top w:val="single" w:sz="4" w:space="0" w:color="auto"/>
                            </w:tcBorders>
                            <w:shd w:val="clear" w:color="auto" w:fill="C5E0B3" w:themeFill="accent6" w:themeFillTint="66"/>
                            <w:vAlign w:val="center"/>
                          </w:tcPr>
                          <w:p w14:paraId="523A1EBE" w14:textId="5F71DA2B" w:rsidR="00857F92" w:rsidRPr="001D4ECF" w:rsidRDefault="00857F92" w:rsidP="00396E16">
                            <w:pPr>
                              <w:overflowPunct w:val="0"/>
                              <w:spacing w:line="0" w:lineRule="atLeast"/>
                              <w:jc w:val="center"/>
                              <w:rPr>
                                <w:rFonts w:ascii="標楷體" w:eastAsia="標楷體" w:hAnsi="標楷體"/>
                              </w:rPr>
                            </w:pPr>
                            <w:r w:rsidRPr="001D4ECF">
                              <w:rPr>
                                <w:rFonts w:ascii="標楷體" w:eastAsia="標楷體" w:hAnsi="標楷體" w:hint="eastAsia"/>
                              </w:rPr>
                              <w:t>113</w:t>
                            </w:r>
                          </w:p>
                        </w:tc>
                        <w:tc>
                          <w:tcPr>
                            <w:tcW w:w="2644" w:type="dxa"/>
                            <w:gridSpan w:val="2"/>
                            <w:tcBorders>
                              <w:top w:val="single" w:sz="4" w:space="0" w:color="auto"/>
                            </w:tcBorders>
                            <w:shd w:val="clear" w:color="auto" w:fill="C5E0B3" w:themeFill="accent6" w:themeFillTint="66"/>
                            <w:vAlign w:val="center"/>
                          </w:tcPr>
                          <w:p w14:paraId="1ABA3F29" w14:textId="77777777" w:rsidR="00857F92" w:rsidRPr="001D4ECF" w:rsidRDefault="00857F92" w:rsidP="00396E16">
                            <w:pPr>
                              <w:overflowPunct w:val="0"/>
                              <w:spacing w:line="0" w:lineRule="atLeast"/>
                              <w:jc w:val="center"/>
                              <w:rPr>
                                <w:rFonts w:ascii="標楷體" w:eastAsia="標楷體" w:hAnsi="標楷體"/>
                              </w:rPr>
                            </w:pPr>
                            <w:r w:rsidRPr="001D4ECF">
                              <w:rPr>
                                <w:rFonts w:ascii="標楷體" w:eastAsia="標楷體" w:hAnsi="標楷體" w:hint="eastAsia"/>
                              </w:rPr>
                              <w:t>114</w:t>
                            </w:r>
                          </w:p>
                        </w:tc>
                      </w:tr>
                      <w:tr w:rsidR="00E671F8" w:rsidRPr="00151895" w14:paraId="584228AC" w14:textId="77777777" w:rsidTr="005164FB">
                        <w:trPr>
                          <w:trHeight w:val="397"/>
                        </w:trPr>
                        <w:tc>
                          <w:tcPr>
                            <w:tcW w:w="2125" w:type="dxa"/>
                            <w:vMerge/>
                            <w:shd w:val="clear" w:color="auto" w:fill="C5E0B3" w:themeFill="accent6" w:themeFillTint="66"/>
                          </w:tcPr>
                          <w:p w14:paraId="3B041A36" w14:textId="77777777" w:rsidR="00E671F8" w:rsidRPr="001D4ECF" w:rsidRDefault="00E671F8" w:rsidP="009B5DE1">
                            <w:pPr>
                              <w:overflowPunct w:val="0"/>
                              <w:spacing w:line="0" w:lineRule="atLeast"/>
                              <w:jc w:val="both"/>
                              <w:rPr>
                                <w:rFonts w:ascii="標楷體" w:eastAsia="標楷體" w:hAnsi="標楷體"/>
                              </w:rPr>
                            </w:pPr>
                          </w:p>
                        </w:tc>
                        <w:tc>
                          <w:tcPr>
                            <w:tcW w:w="1625" w:type="dxa"/>
                            <w:shd w:val="clear" w:color="auto" w:fill="C5E0B3" w:themeFill="accent6" w:themeFillTint="66"/>
                            <w:vAlign w:val="center"/>
                          </w:tcPr>
                          <w:p w14:paraId="276E5107" w14:textId="77777777" w:rsidR="00E671F8" w:rsidRPr="001D4ECF" w:rsidRDefault="00E671F8" w:rsidP="009B5DE1">
                            <w:pPr>
                              <w:overflowPunct w:val="0"/>
                              <w:spacing w:line="0" w:lineRule="atLeast"/>
                              <w:jc w:val="center"/>
                              <w:rPr>
                                <w:rFonts w:ascii="標楷體" w:eastAsia="標楷體" w:hAnsi="標楷體"/>
                              </w:rPr>
                            </w:pPr>
                            <w:r w:rsidRPr="001D4ECF">
                              <w:rPr>
                                <w:rFonts w:ascii="標楷體" w:eastAsia="標楷體" w:hAnsi="標楷體" w:hint="eastAsia"/>
                              </w:rPr>
                              <w:t>金額</w:t>
                            </w:r>
                          </w:p>
                        </w:tc>
                        <w:tc>
                          <w:tcPr>
                            <w:tcW w:w="1016" w:type="dxa"/>
                            <w:gridSpan w:val="2"/>
                            <w:shd w:val="clear" w:color="auto" w:fill="C5E0B3" w:themeFill="accent6" w:themeFillTint="66"/>
                            <w:vAlign w:val="center"/>
                          </w:tcPr>
                          <w:p w14:paraId="4E2730FD" w14:textId="77777777" w:rsidR="00E671F8" w:rsidRPr="001D4ECF" w:rsidRDefault="00E671F8" w:rsidP="009B5DE1">
                            <w:pPr>
                              <w:overflowPunct w:val="0"/>
                              <w:spacing w:line="0" w:lineRule="atLeast"/>
                              <w:jc w:val="center"/>
                              <w:rPr>
                                <w:rFonts w:ascii="標楷體" w:eastAsia="標楷體" w:hAnsi="標楷體"/>
                              </w:rPr>
                            </w:pPr>
                            <w:r w:rsidRPr="001D4ECF">
                              <w:rPr>
                                <w:rFonts w:ascii="標楷體" w:eastAsia="標楷體" w:hAnsi="標楷體" w:hint="eastAsia"/>
                              </w:rPr>
                              <w:t>占比</w:t>
                            </w:r>
                          </w:p>
                        </w:tc>
                        <w:tc>
                          <w:tcPr>
                            <w:tcW w:w="1322" w:type="dxa"/>
                            <w:shd w:val="clear" w:color="auto" w:fill="C5E0B3" w:themeFill="accent6" w:themeFillTint="66"/>
                            <w:vAlign w:val="center"/>
                          </w:tcPr>
                          <w:p w14:paraId="508F43A2" w14:textId="77777777" w:rsidR="00E671F8" w:rsidRPr="001D4ECF" w:rsidRDefault="00E671F8" w:rsidP="009B5DE1">
                            <w:pPr>
                              <w:overflowPunct w:val="0"/>
                              <w:spacing w:line="0" w:lineRule="atLeast"/>
                              <w:jc w:val="center"/>
                              <w:rPr>
                                <w:rFonts w:ascii="標楷體" w:eastAsia="標楷體" w:hAnsi="標楷體"/>
                              </w:rPr>
                            </w:pPr>
                            <w:r w:rsidRPr="001D4ECF">
                              <w:rPr>
                                <w:rFonts w:ascii="標楷體" w:eastAsia="標楷體" w:hAnsi="標楷體" w:hint="eastAsia"/>
                              </w:rPr>
                              <w:t>金額</w:t>
                            </w:r>
                          </w:p>
                        </w:tc>
                        <w:tc>
                          <w:tcPr>
                            <w:tcW w:w="1319" w:type="dxa"/>
                            <w:shd w:val="clear" w:color="auto" w:fill="C5E0B3" w:themeFill="accent6" w:themeFillTint="66"/>
                            <w:vAlign w:val="center"/>
                          </w:tcPr>
                          <w:p w14:paraId="23228302" w14:textId="77777777" w:rsidR="00E671F8" w:rsidRPr="001D4ECF" w:rsidRDefault="00E671F8" w:rsidP="009B5DE1">
                            <w:pPr>
                              <w:overflowPunct w:val="0"/>
                              <w:spacing w:line="0" w:lineRule="atLeast"/>
                              <w:jc w:val="center"/>
                              <w:rPr>
                                <w:rFonts w:ascii="標楷體" w:eastAsia="標楷體" w:hAnsi="標楷體"/>
                              </w:rPr>
                            </w:pPr>
                            <w:r w:rsidRPr="001D4ECF">
                              <w:rPr>
                                <w:rFonts w:ascii="標楷體" w:eastAsia="標楷體" w:hAnsi="標楷體" w:hint="eastAsia"/>
                              </w:rPr>
                              <w:t>占比</w:t>
                            </w:r>
                          </w:p>
                        </w:tc>
                        <w:tc>
                          <w:tcPr>
                            <w:tcW w:w="1320" w:type="dxa"/>
                            <w:shd w:val="clear" w:color="auto" w:fill="C5E0B3" w:themeFill="accent6" w:themeFillTint="66"/>
                            <w:vAlign w:val="center"/>
                          </w:tcPr>
                          <w:p w14:paraId="7E089F71" w14:textId="77777777" w:rsidR="00E671F8" w:rsidRPr="001D4ECF" w:rsidRDefault="00E671F8" w:rsidP="009B5DE1">
                            <w:pPr>
                              <w:overflowPunct w:val="0"/>
                              <w:spacing w:line="0" w:lineRule="atLeast"/>
                              <w:jc w:val="center"/>
                              <w:rPr>
                                <w:rFonts w:ascii="標楷體" w:eastAsia="標楷體" w:hAnsi="標楷體"/>
                              </w:rPr>
                            </w:pPr>
                            <w:r w:rsidRPr="001D4ECF">
                              <w:rPr>
                                <w:rFonts w:ascii="標楷體" w:eastAsia="標楷體" w:hAnsi="標楷體" w:hint="eastAsia"/>
                              </w:rPr>
                              <w:t>金額</w:t>
                            </w:r>
                          </w:p>
                        </w:tc>
                        <w:tc>
                          <w:tcPr>
                            <w:tcW w:w="1324" w:type="dxa"/>
                            <w:shd w:val="clear" w:color="auto" w:fill="C5E0B3" w:themeFill="accent6" w:themeFillTint="66"/>
                            <w:vAlign w:val="center"/>
                          </w:tcPr>
                          <w:p w14:paraId="2BD9A957" w14:textId="77777777" w:rsidR="00E671F8" w:rsidRPr="001D4ECF" w:rsidRDefault="00E671F8" w:rsidP="009B5DE1">
                            <w:pPr>
                              <w:overflowPunct w:val="0"/>
                              <w:spacing w:line="0" w:lineRule="atLeast"/>
                              <w:jc w:val="center"/>
                              <w:rPr>
                                <w:rFonts w:ascii="標楷體" w:eastAsia="標楷體" w:hAnsi="標楷體"/>
                              </w:rPr>
                            </w:pPr>
                            <w:r w:rsidRPr="001D4ECF">
                              <w:rPr>
                                <w:rFonts w:ascii="標楷體" w:eastAsia="標楷體" w:hAnsi="標楷體" w:hint="eastAsia"/>
                              </w:rPr>
                              <w:t>占比</w:t>
                            </w:r>
                          </w:p>
                        </w:tc>
                      </w:tr>
                      <w:tr w:rsidR="00857F92" w:rsidRPr="00151895" w14:paraId="490BEC7D" w14:textId="77777777" w:rsidTr="005164FB">
                        <w:trPr>
                          <w:trHeight w:val="397"/>
                        </w:trPr>
                        <w:tc>
                          <w:tcPr>
                            <w:tcW w:w="2125" w:type="dxa"/>
                            <w:vAlign w:val="center"/>
                          </w:tcPr>
                          <w:p w14:paraId="7D1F45EB" w14:textId="77777777" w:rsidR="00E671F8" w:rsidRPr="001D4ECF" w:rsidRDefault="00E671F8" w:rsidP="00156650">
                            <w:pPr>
                              <w:overflowPunct w:val="0"/>
                              <w:spacing w:line="260" w:lineRule="exact"/>
                              <w:jc w:val="center"/>
                              <w:rPr>
                                <w:rFonts w:ascii="標楷體" w:eastAsia="標楷體" w:hAnsi="標楷體"/>
                                <w:b/>
                                <w:bCs/>
                              </w:rPr>
                            </w:pPr>
                            <w:r w:rsidRPr="001D4ECF">
                              <w:rPr>
                                <w:rFonts w:ascii="標楷體" w:eastAsia="標楷體" w:hAnsi="標楷體" w:hint="eastAsia"/>
                                <w:b/>
                                <w:bCs/>
                              </w:rPr>
                              <w:t>合　　計</w:t>
                            </w:r>
                          </w:p>
                        </w:tc>
                        <w:tc>
                          <w:tcPr>
                            <w:tcW w:w="1625" w:type="dxa"/>
                            <w:vAlign w:val="center"/>
                          </w:tcPr>
                          <w:p w14:paraId="33CA36BE" w14:textId="77777777" w:rsidR="00E671F8" w:rsidRPr="001D4ECF" w:rsidRDefault="00E671F8" w:rsidP="007E5CDD">
                            <w:pPr>
                              <w:widowControl/>
                              <w:spacing w:line="260" w:lineRule="exact"/>
                              <w:jc w:val="right"/>
                              <w:rPr>
                                <w:rFonts w:ascii="標楷體" w:eastAsia="標楷體" w:hAnsi="標楷體"/>
                                <w:b/>
                                <w:bCs/>
                              </w:rPr>
                            </w:pPr>
                            <w:r w:rsidRPr="001D4ECF">
                              <w:rPr>
                                <w:rFonts w:ascii="標楷體" w:eastAsia="標楷體" w:hAnsi="標楷體" w:hint="eastAsia"/>
                                <w:b/>
                                <w:bCs/>
                              </w:rPr>
                              <w:t>23,603</w:t>
                            </w:r>
                          </w:p>
                        </w:tc>
                        <w:tc>
                          <w:tcPr>
                            <w:tcW w:w="1016" w:type="dxa"/>
                            <w:gridSpan w:val="2"/>
                            <w:vAlign w:val="center"/>
                          </w:tcPr>
                          <w:p w14:paraId="6FA2DFED" w14:textId="77777777" w:rsidR="00E671F8" w:rsidRPr="001D4ECF" w:rsidRDefault="00E671F8" w:rsidP="007E5CDD">
                            <w:pPr>
                              <w:overflowPunct w:val="0"/>
                              <w:spacing w:line="260" w:lineRule="exact"/>
                              <w:jc w:val="right"/>
                              <w:rPr>
                                <w:rFonts w:ascii="標楷體" w:eastAsia="標楷體" w:hAnsi="標楷體"/>
                                <w:b/>
                                <w:bCs/>
                              </w:rPr>
                            </w:pPr>
                            <w:r w:rsidRPr="001D4ECF">
                              <w:rPr>
                                <w:rFonts w:ascii="標楷體" w:eastAsia="標楷體" w:hAnsi="標楷體" w:hint="eastAsia"/>
                                <w:b/>
                                <w:bCs/>
                              </w:rPr>
                              <w:t>1</w:t>
                            </w:r>
                            <w:r w:rsidRPr="001D4ECF">
                              <w:rPr>
                                <w:rFonts w:ascii="標楷體" w:eastAsia="標楷體" w:hAnsi="標楷體"/>
                                <w:b/>
                                <w:bCs/>
                              </w:rPr>
                              <w:t>00.00</w:t>
                            </w:r>
                          </w:p>
                        </w:tc>
                        <w:tc>
                          <w:tcPr>
                            <w:tcW w:w="1322" w:type="dxa"/>
                            <w:vAlign w:val="center"/>
                          </w:tcPr>
                          <w:p w14:paraId="56757D2F" w14:textId="77777777" w:rsidR="00E671F8" w:rsidRPr="001D4ECF" w:rsidRDefault="00E671F8" w:rsidP="007E5CDD">
                            <w:pPr>
                              <w:widowControl/>
                              <w:spacing w:line="260" w:lineRule="exact"/>
                              <w:jc w:val="right"/>
                              <w:rPr>
                                <w:rFonts w:ascii="標楷體" w:eastAsia="標楷體" w:hAnsi="標楷體"/>
                                <w:b/>
                                <w:bCs/>
                              </w:rPr>
                            </w:pPr>
                            <w:r w:rsidRPr="001D4ECF">
                              <w:rPr>
                                <w:rFonts w:ascii="標楷體" w:eastAsia="標楷體" w:hAnsi="標楷體" w:hint="eastAsia"/>
                                <w:b/>
                                <w:bCs/>
                              </w:rPr>
                              <w:t>28,938</w:t>
                            </w:r>
                          </w:p>
                        </w:tc>
                        <w:tc>
                          <w:tcPr>
                            <w:tcW w:w="1319" w:type="dxa"/>
                            <w:vAlign w:val="center"/>
                          </w:tcPr>
                          <w:p w14:paraId="7450581A" w14:textId="77777777" w:rsidR="00E671F8" w:rsidRPr="001D4ECF" w:rsidRDefault="00E671F8" w:rsidP="007E5CDD">
                            <w:pPr>
                              <w:overflowPunct w:val="0"/>
                              <w:spacing w:line="260" w:lineRule="exact"/>
                              <w:jc w:val="right"/>
                              <w:rPr>
                                <w:rFonts w:ascii="標楷體" w:eastAsia="標楷體" w:hAnsi="標楷體"/>
                                <w:b/>
                                <w:bCs/>
                              </w:rPr>
                            </w:pPr>
                            <w:r w:rsidRPr="001D4ECF">
                              <w:rPr>
                                <w:rFonts w:ascii="標楷體" w:eastAsia="標楷體" w:hAnsi="標楷體" w:hint="eastAsia"/>
                                <w:b/>
                                <w:bCs/>
                              </w:rPr>
                              <w:t>1</w:t>
                            </w:r>
                            <w:r w:rsidRPr="001D4ECF">
                              <w:rPr>
                                <w:rFonts w:ascii="標楷體" w:eastAsia="標楷體" w:hAnsi="標楷體"/>
                                <w:b/>
                                <w:bCs/>
                              </w:rPr>
                              <w:t>00.00</w:t>
                            </w:r>
                          </w:p>
                        </w:tc>
                        <w:tc>
                          <w:tcPr>
                            <w:tcW w:w="1320" w:type="dxa"/>
                            <w:vAlign w:val="center"/>
                          </w:tcPr>
                          <w:p w14:paraId="4950CA17" w14:textId="77777777" w:rsidR="00E671F8" w:rsidRPr="001D4ECF" w:rsidRDefault="00E671F8" w:rsidP="007E5CDD">
                            <w:pPr>
                              <w:widowControl/>
                              <w:spacing w:line="260" w:lineRule="exact"/>
                              <w:jc w:val="right"/>
                              <w:rPr>
                                <w:rFonts w:ascii="標楷體" w:eastAsia="標楷體" w:hAnsi="標楷體"/>
                                <w:b/>
                                <w:bCs/>
                              </w:rPr>
                            </w:pPr>
                            <w:r w:rsidRPr="001D4ECF">
                              <w:rPr>
                                <w:rFonts w:ascii="標楷體" w:eastAsia="標楷體" w:hAnsi="標楷體" w:hint="eastAsia"/>
                                <w:b/>
                                <w:bCs/>
                              </w:rPr>
                              <w:t>24,637</w:t>
                            </w:r>
                          </w:p>
                        </w:tc>
                        <w:tc>
                          <w:tcPr>
                            <w:tcW w:w="1324" w:type="dxa"/>
                            <w:vAlign w:val="center"/>
                          </w:tcPr>
                          <w:p w14:paraId="3B65BCE2" w14:textId="77777777" w:rsidR="00E671F8" w:rsidRPr="001D4ECF" w:rsidRDefault="00E671F8" w:rsidP="007E5CDD">
                            <w:pPr>
                              <w:overflowPunct w:val="0"/>
                              <w:spacing w:line="260" w:lineRule="exact"/>
                              <w:jc w:val="right"/>
                              <w:rPr>
                                <w:rFonts w:ascii="標楷體" w:eastAsia="標楷體" w:hAnsi="標楷體"/>
                                <w:b/>
                                <w:bCs/>
                              </w:rPr>
                            </w:pPr>
                            <w:r w:rsidRPr="001D4ECF">
                              <w:rPr>
                                <w:rFonts w:ascii="標楷體" w:eastAsia="標楷體" w:hAnsi="標楷體" w:hint="eastAsia"/>
                                <w:b/>
                                <w:bCs/>
                              </w:rPr>
                              <w:t>1</w:t>
                            </w:r>
                            <w:r w:rsidRPr="001D4ECF">
                              <w:rPr>
                                <w:rFonts w:ascii="標楷體" w:eastAsia="標楷體" w:hAnsi="標楷體"/>
                                <w:b/>
                                <w:bCs/>
                              </w:rPr>
                              <w:t>00.00</w:t>
                            </w:r>
                          </w:p>
                        </w:tc>
                      </w:tr>
                      <w:tr w:rsidR="00E671F8" w:rsidRPr="00151895" w14:paraId="4620A045" w14:textId="77777777" w:rsidTr="006C1A06">
                        <w:trPr>
                          <w:trHeight w:val="397"/>
                        </w:trPr>
                        <w:tc>
                          <w:tcPr>
                            <w:tcW w:w="2125" w:type="dxa"/>
                            <w:vAlign w:val="center"/>
                          </w:tcPr>
                          <w:p w14:paraId="697C4EB3" w14:textId="77777777" w:rsidR="00E671F8" w:rsidRPr="001D4ECF" w:rsidRDefault="00E671F8" w:rsidP="00156650">
                            <w:pPr>
                              <w:overflowPunct w:val="0"/>
                              <w:spacing w:line="260" w:lineRule="exact"/>
                              <w:jc w:val="center"/>
                              <w:rPr>
                                <w:rFonts w:ascii="標楷體" w:eastAsia="標楷體" w:hAnsi="標楷體"/>
                              </w:rPr>
                            </w:pPr>
                            <w:r w:rsidRPr="001D4ECF">
                              <w:rPr>
                                <w:rFonts w:ascii="標楷體" w:eastAsia="標楷體" w:hAnsi="標楷體" w:hint="eastAsia"/>
                              </w:rPr>
                              <w:t>台灣電力公司</w:t>
                            </w:r>
                          </w:p>
                        </w:tc>
                        <w:tc>
                          <w:tcPr>
                            <w:tcW w:w="1625" w:type="dxa"/>
                            <w:vAlign w:val="center"/>
                          </w:tcPr>
                          <w:p w14:paraId="60E41A51"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800</w:t>
                            </w:r>
                          </w:p>
                        </w:tc>
                        <w:tc>
                          <w:tcPr>
                            <w:tcW w:w="1016" w:type="dxa"/>
                            <w:gridSpan w:val="2"/>
                            <w:vAlign w:val="center"/>
                          </w:tcPr>
                          <w:p w14:paraId="29D287D8"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3.39</w:t>
                            </w:r>
                          </w:p>
                        </w:tc>
                        <w:tc>
                          <w:tcPr>
                            <w:tcW w:w="1322" w:type="dxa"/>
                            <w:vAlign w:val="center"/>
                          </w:tcPr>
                          <w:p w14:paraId="0CB22AF6"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2,164</w:t>
                            </w:r>
                          </w:p>
                        </w:tc>
                        <w:tc>
                          <w:tcPr>
                            <w:tcW w:w="1319" w:type="dxa"/>
                            <w:vAlign w:val="center"/>
                          </w:tcPr>
                          <w:p w14:paraId="2A26C967"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7.48</w:t>
                            </w:r>
                          </w:p>
                        </w:tc>
                        <w:tc>
                          <w:tcPr>
                            <w:tcW w:w="1320" w:type="dxa"/>
                            <w:vAlign w:val="center"/>
                          </w:tcPr>
                          <w:p w14:paraId="2D094A70"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2,382</w:t>
                            </w:r>
                          </w:p>
                        </w:tc>
                        <w:tc>
                          <w:tcPr>
                            <w:tcW w:w="1324" w:type="dxa"/>
                            <w:vAlign w:val="center"/>
                          </w:tcPr>
                          <w:p w14:paraId="5879723E"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9.67</w:t>
                            </w:r>
                          </w:p>
                        </w:tc>
                      </w:tr>
                      <w:tr w:rsidR="00E671F8" w:rsidRPr="00151895" w14:paraId="074AEF14" w14:textId="77777777" w:rsidTr="006C1A06">
                        <w:trPr>
                          <w:trHeight w:val="397"/>
                        </w:trPr>
                        <w:tc>
                          <w:tcPr>
                            <w:tcW w:w="2125" w:type="dxa"/>
                            <w:vAlign w:val="center"/>
                          </w:tcPr>
                          <w:p w14:paraId="6CB1588C" w14:textId="77777777" w:rsidR="00E671F8" w:rsidRPr="001D4ECF" w:rsidRDefault="00E671F8" w:rsidP="00156650">
                            <w:pPr>
                              <w:overflowPunct w:val="0"/>
                              <w:spacing w:line="260" w:lineRule="exact"/>
                              <w:jc w:val="center"/>
                              <w:rPr>
                                <w:rFonts w:ascii="標楷體" w:eastAsia="標楷體" w:hAnsi="標楷體"/>
                              </w:rPr>
                            </w:pPr>
                            <w:r w:rsidRPr="001D4ECF">
                              <w:rPr>
                                <w:rFonts w:ascii="標楷體" w:eastAsia="標楷體" w:hAnsi="標楷體" w:hint="eastAsia"/>
                              </w:rPr>
                              <w:t>台灣中油公司</w:t>
                            </w:r>
                          </w:p>
                        </w:tc>
                        <w:tc>
                          <w:tcPr>
                            <w:tcW w:w="1625" w:type="dxa"/>
                            <w:vAlign w:val="center"/>
                          </w:tcPr>
                          <w:p w14:paraId="6A9ED8C2"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20,899</w:t>
                            </w:r>
                          </w:p>
                        </w:tc>
                        <w:tc>
                          <w:tcPr>
                            <w:tcW w:w="1016" w:type="dxa"/>
                            <w:gridSpan w:val="2"/>
                            <w:vAlign w:val="center"/>
                          </w:tcPr>
                          <w:p w14:paraId="6AEE8BE0"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88.54</w:t>
                            </w:r>
                          </w:p>
                        </w:tc>
                        <w:tc>
                          <w:tcPr>
                            <w:tcW w:w="1322" w:type="dxa"/>
                            <w:vAlign w:val="center"/>
                          </w:tcPr>
                          <w:p w14:paraId="5C7904D0"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25,335</w:t>
                            </w:r>
                          </w:p>
                        </w:tc>
                        <w:tc>
                          <w:tcPr>
                            <w:tcW w:w="1319" w:type="dxa"/>
                            <w:vAlign w:val="center"/>
                          </w:tcPr>
                          <w:p w14:paraId="29BA83E5"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87.55</w:t>
                            </w:r>
                          </w:p>
                        </w:tc>
                        <w:tc>
                          <w:tcPr>
                            <w:tcW w:w="1320" w:type="dxa"/>
                            <w:vAlign w:val="center"/>
                          </w:tcPr>
                          <w:p w14:paraId="7362A3FB"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21,601</w:t>
                            </w:r>
                          </w:p>
                        </w:tc>
                        <w:tc>
                          <w:tcPr>
                            <w:tcW w:w="1324" w:type="dxa"/>
                            <w:vAlign w:val="center"/>
                          </w:tcPr>
                          <w:p w14:paraId="2A39D270"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87.68</w:t>
                            </w:r>
                          </w:p>
                        </w:tc>
                      </w:tr>
                      <w:tr w:rsidR="00E671F8" w:rsidRPr="00151895" w14:paraId="0C00F275" w14:textId="77777777" w:rsidTr="006C1A06">
                        <w:trPr>
                          <w:trHeight w:val="397"/>
                        </w:trPr>
                        <w:tc>
                          <w:tcPr>
                            <w:tcW w:w="2125" w:type="dxa"/>
                            <w:vAlign w:val="center"/>
                          </w:tcPr>
                          <w:p w14:paraId="60C28451" w14:textId="77777777" w:rsidR="00E671F8" w:rsidRPr="001D4ECF" w:rsidRDefault="00E671F8" w:rsidP="00156650">
                            <w:pPr>
                              <w:overflowPunct w:val="0"/>
                              <w:spacing w:line="260" w:lineRule="exact"/>
                              <w:jc w:val="center"/>
                              <w:rPr>
                                <w:rFonts w:ascii="標楷體" w:eastAsia="標楷體" w:hAnsi="標楷體"/>
                              </w:rPr>
                            </w:pPr>
                            <w:r w:rsidRPr="001D4ECF">
                              <w:rPr>
                                <w:rFonts w:ascii="標楷體" w:eastAsia="標楷體" w:hAnsi="標楷體" w:hint="eastAsia"/>
                              </w:rPr>
                              <w:t>台灣糖業公司</w:t>
                            </w:r>
                          </w:p>
                        </w:tc>
                        <w:tc>
                          <w:tcPr>
                            <w:tcW w:w="1625" w:type="dxa"/>
                            <w:vAlign w:val="center"/>
                          </w:tcPr>
                          <w:p w14:paraId="215AFE28"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1,304</w:t>
                            </w:r>
                          </w:p>
                        </w:tc>
                        <w:tc>
                          <w:tcPr>
                            <w:tcW w:w="1016" w:type="dxa"/>
                            <w:gridSpan w:val="2"/>
                            <w:vAlign w:val="center"/>
                          </w:tcPr>
                          <w:p w14:paraId="3AD4F922"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5.53</w:t>
                            </w:r>
                          </w:p>
                        </w:tc>
                        <w:tc>
                          <w:tcPr>
                            <w:tcW w:w="1322" w:type="dxa"/>
                            <w:vAlign w:val="center"/>
                          </w:tcPr>
                          <w:p w14:paraId="17665476"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881</w:t>
                            </w:r>
                          </w:p>
                        </w:tc>
                        <w:tc>
                          <w:tcPr>
                            <w:tcW w:w="1319" w:type="dxa"/>
                            <w:vAlign w:val="center"/>
                          </w:tcPr>
                          <w:p w14:paraId="4BC2F4CE"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3.05</w:t>
                            </w:r>
                          </w:p>
                        </w:tc>
                        <w:tc>
                          <w:tcPr>
                            <w:tcW w:w="1320" w:type="dxa"/>
                            <w:vAlign w:val="center"/>
                          </w:tcPr>
                          <w:p w14:paraId="113656AF"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293</w:t>
                            </w:r>
                          </w:p>
                        </w:tc>
                        <w:tc>
                          <w:tcPr>
                            <w:tcW w:w="1324" w:type="dxa"/>
                            <w:vAlign w:val="center"/>
                          </w:tcPr>
                          <w:p w14:paraId="6CA834DD"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1.19</w:t>
                            </w:r>
                          </w:p>
                        </w:tc>
                      </w:tr>
                      <w:tr w:rsidR="00E671F8" w:rsidRPr="00151895" w14:paraId="493C01B5" w14:textId="77777777" w:rsidTr="006C1A06">
                        <w:trPr>
                          <w:trHeight w:val="397"/>
                        </w:trPr>
                        <w:tc>
                          <w:tcPr>
                            <w:tcW w:w="2125" w:type="dxa"/>
                            <w:tcBorders>
                              <w:bottom w:val="single" w:sz="4" w:space="0" w:color="auto"/>
                            </w:tcBorders>
                            <w:vAlign w:val="center"/>
                          </w:tcPr>
                          <w:p w14:paraId="1B6222D6" w14:textId="77777777" w:rsidR="00E671F8" w:rsidRPr="00B93AA2" w:rsidRDefault="00E671F8" w:rsidP="00156650">
                            <w:pPr>
                              <w:overflowPunct w:val="0"/>
                              <w:spacing w:line="260" w:lineRule="exact"/>
                              <w:jc w:val="center"/>
                              <w:rPr>
                                <w:rFonts w:ascii="標楷體" w:eastAsia="標楷體" w:hAnsi="標楷體"/>
                                <w:spacing w:val="-16"/>
                              </w:rPr>
                            </w:pPr>
                            <w:r w:rsidRPr="00B93AA2">
                              <w:rPr>
                                <w:rFonts w:ascii="標楷體" w:eastAsia="標楷體" w:hAnsi="標楷體" w:hint="eastAsia"/>
                                <w:spacing w:val="-16"/>
                              </w:rPr>
                              <w:t>台灣自來水公司</w:t>
                            </w:r>
                          </w:p>
                        </w:tc>
                        <w:tc>
                          <w:tcPr>
                            <w:tcW w:w="1625" w:type="dxa"/>
                            <w:tcBorders>
                              <w:bottom w:val="single" w:sz="4" w:space="0" w:color="auto"/>
                            </w:tcBorders>
                            <w:vAlign w:val="center"/>
                          </w:tcPr>
                          <w:p w14:paraId="1EDF254A"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600</w:t>
                            </w:r>
                          </w:p>
                        </w:tc>
                        <w:tc>
                          <w:tcPr>
                            <w:tcW w:w="1016" w:type="dxa"/>
                            <w:gridSpan w:val="2"/>
                            <w:tcBorders>
                              <w:bottom w:val="single" w:sz="4" w:space="0" w:color="auto"/>
                            </w:tcBorders>
                            <w:vAlign w:val="center"/>
                          </w:tcPr>
                          <w:p w14:paraId="71A64E8A"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2.54</w:t>
                            </w:r>
                          </w:p>
                        </w:tc>
                        <w:tc>
                          <w:tcPr>
                            <w:tcW w:w="1322" w:type="dxa"/>
                            <w:tcBorders>
                              <w:bottom w:val="single" w:sz="4" w:space="0" w:color="auto"/>
                            </w:tcBorders>
                            <w:vAlign w:val="center"/>
                          </w:tcPr>
                          <w:p w14:paraId="141FE8FD"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556</w:t>
                            </w:r>
                          </w:p>
                        </w:tc>
                        <w:tc>
                          <w:tcPr>
                            <w:tcW w:w="1319" w:type="dxa"/>
                            <w:tcBorders>
                              <w:bottom w:val="single" w:sz="4" w:space="0" w:color="auto"/>
                            </w:tcBorders>
                            <w:vAlign w:val="center"/>
                          </w:tcPr>
                          <w:p w14:paraId="2739F845"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1.92</w:t>
                            </w:r>
                          </w:p>
                        </w:tc>
                        <w:tc>
                          <w:tcPr>
                            <w:tcW w:w="1320" w:type="dxa"/>
                            <w:tcBorders>
                              <w:bottom w:val="single" w:sz="4" w:space="0" w:color="auto"/>
                            </w:tcBorders>
                            <w:vAlign w:val="center"/>
                          </w:tcPr>
                          <w:p w14:paraId="75F6380B"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360</w:t>
                            </w:r>
                          </w:p>
                        </w:tc>
                        <w:tc>
                          <w:tcPr>
                            <w:tcW w:w="1324" w:type="dxa"/>
                            <w:tcBorders>
                              <w:bottom w:val="single" w:sz="4" w:space="0" w:color="auto"/>
                            </w:tcBorders>
                            <w:vAlign w:val="center"/>
                          </w:tcPr>
                          <w:p w14:paraId="01D0FB0E" w14:textId="77777777" w:rsidR="00E671F8" w:rsidRPr="001D4ECF" w:rsidRDefault="00E671F8" w:rsidP="007E5CDD">
                            <w:pPr>
                              <w:overflowPunct w:val="0"/>
                              <w:spacing w:line="260" w:lineRule="exact"/>
                              <w:jc w:val="right"/>
                              <w:rPr>
                                <w:rFonts w:ascii="標楷體" w:eastAsia="標楷體" w:hAnsi="標楷體"/>
                              </w:rPr>
                            </w:pPr>
                            <w:r w:rsidRPr="001D4ECF">
                              <w:rPr>
                                <w:rFonts w:ascii="標楷體" w:eastAsia="標楷體" w:hAnsi="標楷體" w:hint="eastAsia"/>
                              </w:rPr>
                              <w:t>1.46</w:t>
                            </w:r>
                          </w:p>
                        </w:tc>
                      </w:tr>
                      <w:tr w:rsidR="00E671F8" w:rsidRPr="00151895" w14:paraId="71A462F9" w14:textId="77777777" w:rsidTr="00E671F8">
                        <w:trPr>
                          <w:trHeight w:val="244"/>
                        </w:trPr>
                        <w:tc>
                          <w:tcPr>
                            <w:tcW w:w="10051" w:type="dxa"/>
                            <w:gridSpan w:val="8"/>
                            <w:tcBorders>
                              <w:top w:val="single" w:sz="4" w:space="0" w:color="auto"/>
                              <w:left w:val="nil"/>
                              <w:bottom w:val="nil"/>
                              <w:right w:val="nil"/>
                            </w:tcBorders>
                          </w:tcPr>
                          <w:p w14:paraId="1E1A4A62" w14:textId="77777777" w:rsidR="00E671F8" w:rsidRPr="00151895" w:rsidRDefault="00E671F8" w:rsidP="00B140EF">
                            <w:pPr>
                              <w:overflowPunct w:val="0"/>
                              <w:spacing w:line="0" w:lineRule="atLeast"/>
                              <w:ind w:leftChars="-43" w:left="1" w:hangingChars="58" w:hanging="104"/>
                              <w:rPr>
                                <w:rFonts w:ascii="標楷體" w:eastAsia="標楷體" w:hAnsi="標楷體"/>
                                <w:sz w:val="22"/>
                              </w:rPr>
                            </w:pPr>
                            <w:r w:rsidRPr="001D4ECF">
                              <w:rPr>
                                <w:rFonts w:ascii="標楷體" w:eastAsia="標楷體" w:hAnsi="標楷體" w:hint="eastAsia"/>
                                <w:sz w:val="18"/>
                                <w:szCs w:val="18"/>
                              </w:rPr>
                              <w:t>資料來源：整理自</w:t>
                            </w:r>
                            <w:r>
                              <w:rPr>
                                <w:rFonts w:ascii="標楷體" w:eastAsia="標楷體" w:hAnsi="標楷體" w:hint="eastAsia"/>
                                <w:sz w:val="18"/>
                                <w:szCs w:val="18"/>
                              </w:rPr>
                              <w:t>經濟</w:t>
                            </w:r>
                            <w:r w:rsidRPr="001D4ECF">
                              <w:rPr>
                                <w:rFonts w:ascii="標楷體" w:eastAsia="標楷體" w:hAnsi="標楷體" w:hint="eastAsia"/>
                                <w:sz w:val="18"/>
                                <w:szCs w:val="18"/>
                              </w:rPr>
                              <w:t>部所屬各事業提供資料。</w:t>
                            </w:r>
                          </w:p>
                        </w:tc>
                      </w:tr>
                    </w:tbl>
                    <w:p w14:paraId="4A75CE56" w14:textId="77777777" w:rsidR="00E671F8" w:rsidRPr="009B5DE1" w:rsidRDefault="00E671F8" w:rsidP="00E671F8"/>
                  </w:txbxContent>
                </v:textbox>
                <w10:wrap type="square" anchorx="margin"/>
              </v:shape>
            </w:pict>
          </mc:Fallback>
        </mc:AlternateContent>
      </w:r>
      <w:r w:rsidRPr="00DA5C77">
        <w:rPr>
          <w:rFonts w:ascii="標楷體" w:hAnsi="標楷體" w:hint="eastAsia"/>
          <w:sz w:val="28"/>
          <w:szCs w:val="24"/>
        </w:rPr>
        <w:t>址、1處控制場址），主要係發電廠區土壤總石油碳氫化合物超過污染管制標準及輸油管線洩漏所致；另截至114年底止，台灣電力公司、台灣中油公司及台灣糖業公司遭列管之污染場址分別計有5處（含應變場址2處、整治場址3處）、27處（含應變場址2處、控制場址19處、整治場址6處）及2處（均為整治場址），其中台灣中油公司為最多遭列管污染場址之事業，且遭列管逾5年遲未改善竣事之污染場址計18處，占該公司合計遭列管場址27處逾半數</w:t>
      </w:r>
      <w:r>
        <w:rPr>
          <w:rFonts w:ascii="標楷體" w:hAnsi="標楷體" w:hint="eastAsia"/>
          <w:sz w:val="28"/>
          <w:szCs w:val="24"/>
        </w:rPr>
        <w:t>。經函請經濟部督促各事業研謀善策妥處，</w:t>
      </w:r>
      <w:r w:rsidRPr="00A91BD3">
        <w:rPr>
          <w:rFonts w:ascii="標楷體" w:hAnsi="標楷體" w:hint="eastAsia"/>
          <w:sz w:val="28"/>
          <w:szCs w:val="24"/>
        </w:rPr>
        <w:t>儘速完成污染改善措施，落實環境保護工作，以利污染場址解除列管，並降低環保罰單支出。</w:t>
      </w:r>
      <w:r>
        <w:rPr>
          <w:rFonts w:ascii="標楷體" w:hAnsi="標楷體" w:hint="eastAsia"/>
          <w:sz w:val="28"/>
          <w:szCs w:val="24"/>
        </w:rPr>
        <w:t>據復：已督促各該事業落實空氣污染改善工作，並配合環境部「國（公）營事業及大型企業空污減量」盤點成果，每半年召開1次檢討會議，定期檢視空污減量成效；另就受罰案件或通案性缺失，辦理環保法規宣導會，並持續積極加速整治期程，及強化就源預防機制。</w:t>
      </w:r>
    </w:p>
    <w:p w14:paraId="0EBD9C6E" w14:textId="77777777" w:rsidR="00BD562D" w:rsidRPr="005C54A2" w:rsidRDefault="00BD562D" w:rsidP="00BD562D">
      <w:pPr>
        <w:overflowPunct w:val="0"/>
        <w:spacing w:line="560" w:lineRule="exact"/>
        <w:ind w:firstLineChars="200" w:firstLine="561"/>
        <w:jc w:val="both"/>
        <w:rPr>
          <w:rFonts w:ascii="標楷體" w:hAnsi="標楷體"/>
          <w:b/>
          <w:color w:val="000000" w:themeColor="text1"/>
          <w:sz w:val="28"/>
          <w:szCs w:val="32"/>
        </w:rPr>
      </w:pPr>
      <w:r w:rsidRPr="005C54A2">
        <w:rPr>
          <w:rFonts w:ascii="標楷體" w:hAnsi="標楷體" w:hint="eastAsia"/>
          <w:b/>
          <w:color w:val="000000" w:themeColor="text1"/>
          <w:sz w:val="28"/>
          <w:szCs w:val="28"/>
        </w:rPr>
        <w:t xml:space="preserve">（三）　</w:t>
      </w:r>
      <w:r w:rsidRPr="00CE1577">
        <w:rPr>
          <w:rFonts w:ascii="標楷體" w:hAnsi="標楷體" w:hint="eastAsia"/>
          <w:b/>
          <w:color w:val="000000" w:themeColor="text1"/>
          <w:sz w:val="28"/>
          <w:szCs w:val="24"/>
        </w:rPr>
        <w:t>經濟部所屬</w:t>
      </w:r>
      <w:r>
        <w:rPr>
          <w:rFonts w:ascii="標楷體" w:hAnsi="標楷體" w:hint="eastAsia"/>
          <w:b/>
          <w:color w:val="000000" w:themeColor="text1"/>
          <w:sz w:val="28"/>
          <w:szCs w:val="24"/>
        </w:rPr>
        <w:t>4家</w:t>
      </w:r>
      <w:r w:rsidRPr="00CE1577">
        <w:rPr>
          <w:rFonts w:ascii="標楷體" w:hAnsi="標楷體" w:hint="eastAsia"/>
          <w:b/>
          <w:color w:val="000000" w:themeColor="text1"/>
          <w:sz w:val="28"/>
          <w:szCs w:val="24"/>
        </w:rPr>
        <w:t>國營事業</w:t>
      </w:r>
      <w:r>
        <w:rPr>
          <w:rFonts w:ascii="標楷體" w:hAnsi="標楷體" w:hint="eastAsia"/>
          <w:b/>
          <w:color w:val="000000" w:themeColor="text1"/>
          <w:sz w:val="28"/>
          <w:szCs w:val="24"/>
        </w:rPr>
        <w:t>肩負</w:t>
      </w:r>
      <w:r w:rsidRPr="00CE1577">
        <w:rPr>
          <w:rFonts w:ascii="標楷體" w:hAnsi="標楷體" w:hint="eastAsia"/>
          <w:b/>
          <w:color w:val="000000" w:themeColor="text1"/>
          <w:sz w:val="28"/>
          <w:szCs w:val="24"/>
        </w:rPr>
        <w:t>穩定國家民生及經濟</w:t>
      </w:r>
      <w:r>
        <w:rPr>
          <w:rFonts w:ascii="標楷體" w:hAnsi="標楷體" w:hint="eastAsia"/>
          <w:b/>
          <w:color w:val="000000" w:themeColor="text1"/>
          <w:sz w:val="28"/>
          <w:szCs w:val="24"/>
        </w:rPr>
        <w:t>發展任務</w:t>
      </w:r>
      <w:r w:rsidRPr="00CE1577">
        <w:rPr>
          <w:rFonts w:ascii="標楷體" w:hAnsi="標楷體" w:hint="eastAsia"/>
          <w:b/>
          <w:color w:val="000000" w:themeColor="text1"/>
          <w:sz w:val="28"/>
          <w:szCs w:val="24"/>
        </w:rPr>
        <w:t>，辦理重大購建固定資產專案計畫，惟部分計畫仍存</w:t>
      </w:r>
      <w:r>
        <w:rPr>
          <w:rFonts w:ascii="標楷體" w:hAnsi="標楷體" w:hint="eastAsia"/>
          <w:b/>
          <w:color w:val="000000" w:themeColor="text1"/>
          <w:sz w:val="28"/>
          <w:szCs w:val="24"/>
        </w:rPr>
        <w:t>有</w:t>
      </w:r>
      <w:r w:rsidRPr="00CE1577">
        <w:rPr>
          <w:rFonts w:ascii="標楷體" w:hAnsi="標楷體" w:hint="eastAsia"/>
          <w:b/>
          <w:color w:val="000000" w:themeColor="text1"/>
          <w:sz w:val="28"/>
          <w:szCs w:val="24"/>
        </w:rPr>
        <w:t>執行</w:t>
      </w:r>
      <w:r>
        <w:rPr>
          <w:rFonts w:ascii="標楷體" w:hAnsi="標楷體" w:hint="eastAsia"/>
          <w:b/>
          <w:color w:val="000000" w:themeColor="text1"/>
          <w:sz w:val="28"/>
          <w:szCs w:val="24"/>
        </w:rPr>
        <w:t>進度落後</w:t>
      </w:r>
      <w:r w:rsidRPr="00CE1577">
        <w:rPr>
          <w:rFonts w:ascii="標楷體" w:hAnsi="標楷體" w:hint="eastAsia"/>
          <w:b/>
          <w:color w:val="000000" w:themeColor="text1"/>
          <w:sz w:val="28"/>
          <w:szCs w:val="24"/>
        </w:rPr>
        <w:t>、</w:t>
      </w:r>
      <w:r>
        <w:rPr>
          <w:rFonts w:ascii="標楷體" w:hAnsi="標楷體" w:hint="eastAsia"/>
          <w:b/>
          <w:color w:val="000000" w:themeColor="text1"/>
          <w:sz w:val="28"/>
          <w:szCs w:val="24"/>
        </w:rPr>
        <w:t>展延計畫期程或增加投資金額</w:t>
      </w:r>
      <w:r w:rsidRPr="00CE1577">
        <w:rPr>
          <w:rFonts w:ascii="標楷體" w:hAnsi="標楷體" w:hint="eastAsia"/>
          <w:b/>
          <w:color w:val="000000" w:themeColor="text1"/>
          <w:sz w:val="28"/>
          <w:szCs w:val="24"/>
        </w:rPr>
        <w:t>等情事，允宜</w:t>
      </w:r>
      <w:r>
        <w:rPr>
          <w:rFonts w:ascii="標楷體" w:hAnsi="標楷體" w:hint="eastAsia"/>
          <w:b/>
          <w:color w:val="000000" w:themeColor="text1"/>
          <w:sz w:val="28"/>
          <w:szCs w:val="24"/>
        </w:rPr>
        <w:t>督促研謀</w:t>
      </w:r>
      <w:r w:rsidRPr="00CE1577">
        <w:rPr>
          <w:rFonts w:ascii="標楷體" w:hAnsi="標楷體" w:hint="eastAsia"/>
          <w:b/>
          <w:color w:val="000000" w:themeColor="text1"/>
          <w:sz w:val="28"/>
          <w:szCs w:val="24"/>
        </w:rPr>
        <w:t>強化計畫管理與控管機制，俾提升國家</w:t>
      </w:r>
      <w:r>
        <w:rPr>
          <w:rFonts w:ascii="標楷體" w:hAnsi="標楷體" w:hint="eastAsia"/>
          <w:b/>
          <w:color w:val="000000" w:themeColor="text1"/>
          <w:sz w:val="28"/>
          <w:szCs w:val="24"/>
        </w:rPr>
        <w:t>經濟</w:t>
      </w:r>
      <w:r w:rsidRPr="00CE1577">
        <w:rPr>
          <w:rFonts w:ascii="標楷體" w:hAnsi="標楷體" w:hint="eastAsia"/>
          <w:b/>
          <w:color w:val="000000" w:themeColor="text1"/>
          <w:sz w:val="28"/>
          <w:szCs w:val="24"/>
        </w:rPr>
        <w:t>建設之實質貢獻</w:t>
      </w:r>
      <w:r w:rsidRPr="005C54A2">
        <w:rPr>
          <w:rFonts w:ascii="標楷體" w:hAnsi="標楷體" w:hint="eastAsia"/>
          <w:b/>
          <w:color w:val="000000" w:themeColor="text1"/>
          <w:sz w:val="28"/>
          <w:szCs w:val="32"/>
        </w:rPr>
        <w:t>。</w:t>
      </w:r>
    </w:p>
    <w:p w14:paraId="65F48FAE" w14:textId="5DACC2B3" w:rsidR="00F42400" w:rsidRPr="00C10FAF" w:rsidRDefault="00BD562D" w:rsidP="00A94F3B">
      <w:pPr>
        <w:overflowPunct w:val="0"/>
        <w:adjustRightInd w:val="0"/>
        <w:snapToGrid w:val="0"/>
        <w:spacing w:line="540" w:lineRule="exact"/>
        <w:ind w:firstLineChars="200" w:firstLine="560"/>
        <w:jc w:val="both"/>
        <w:rPr>
          <w:rFonts w:ascii="標楷體" w:hAnsi="標楷體"/>
          <w:spacing w:val="-2"/>
          <w:sz w:val="28"/>
          <w:szCs w:val="28"/>
        </w:rPr>
      </w:pPr>
      <w:r w:rsidRPr="005C54A2">
        <w:rPr>
          <w:rFonts w:ascii="標楷體" w:hAnsi="標楷體" w:hint="eastAsia"/>
          <w:color w:val="000000" w:themeColor="text1"/>
          <w:sz w:val="28"/>
          <w:szCs w:val="28"/>
        </w:rPr>
        <w:t>經</w:t>
      </w:r>
      <w:r w:rsidRPr="005C54A2">
        <w:rPr>
          <w:rFonts w:ascii="標楷體" w:hAnsi="標楷體" w:hint="eastAsia"/>
          <w:color w:val="000000" w:themeColor="text1"/>
          <w:spacing w:val="-2"/>
          <w:sz w:val="28"/>
          <w:szCs w:val="28"/>
        </w:rPr>
        <w:t>濟部所屬</w:t>
      </w:r>
      <w:r>
        <w:rPr>
          <w:rFonts w:ascii="標楷體" w:hAnsi="標楷體" w:hint="eastAsia"/>
          <w:color w:val="000000" w:themeColor="text1"/>
          <w:spacing w:val="-2"/>
          <w:sz w:val="28"/>
          <w:szCs w:val="28"/>
        </w:rPr>
        <w:t>台灣糖業公司、台灣中油公司、台灣電力公司、台灣自來水公司等</w:t>
      </w:r>
      <w:r w:rsidRPr="005C54A2">
        <w:rPr>
          <w:rFonts w:ascii="標楷體" w:hAnsi="標楷體" w:hint="eastAsia"/>
          <w:color w:val="000000" w:themeColor="text1"/>
          <w:spacing w:val="-2"/>
          <w:sz w:val="28"/>
          <w:szCs w:val="28"/>
        </w:rPr>
        <w:t>4家國營事業，配合國家經濟建設及再生能源發電政策、因應營運永續發展暨提升企業競爭力等需要，每年投入龐鉅經費辦理電廠與煉油設備更新、再生能源發展、自來水</w:t>
      </w:r>
      <w:r w:rsidRPr="005C54A2">
        <w:rPr>
          <w:rFonts w:ascii="標楷體" w:hAnsi="標楷體" w:hint="eastAsia"/>
          <w:color w:val="000000" w:themeColor="text1"/>
          <w:spacing w:val="-2"/>
          <w:sz w:val="28"/>
          <w:szCs w:val="28"/>
        </w:rPr>
        <w:lastRenderedPageBreak/>
        <w:t>源開發等購建固定資產專案計畫</w:t>
      </w:r>
      <w:r>
        <w:rPr>
          <w:rFonts w:ascii="標楷體" w:hAnsi="標楷體" w:hint="eastAsia"/>
          <w:color w:val="000000" w:themeColor="text1"/>
          <w:spacing w:val="-2"/>
          <w:sz w:val="28"/>
          <w:szCs w:val="28"/>
        </w:rPr>
        <w:t>。有關經濟部所屬4家國營事業部分重大購建固定資產計畫執行進度落後</w:t>
      </w:r>
      <w:r w:rsidRPr="005C54A2">
        <w:rPr>
          <w:rFonts w:ascii="標楷體" w:hAnsi="標楷體" w:hint="eastAsia"/>
          <w:color w:val="000000" w:themeColor="text1"/>
          <w:spacing w:val="-2"/>
          <w:sz w:val="28"/>
          <w:szCs w:val="28"/>
        </w:rPr>
        <w:t>，前經</w:t>
      </w:r>
      <w:r>
        <w:rPr>
          <w:rFonts w:ascii="標楷體" w:hAnsi="標楷體" w:hint="eastAsia"/>
          <w:color w:val="000000" w:themeColor="text1"/>
          <w:spacing w:val="-2"/>
          <w:sz w:val="28"/>
          <w:szCs w:val="28"/>
        </w:rPr>
        <w:t>本部</w:t>
      </w:r>
      <w:r w:rsidRPr="005C54A2">
        <w:rPr>
          <w:rFonts w:ascii="標楷體" w:hAnsi="標楷體" w:hint="eastAsia"/>
          <w:color w:val="000000" w:themeColor="text1"/>
          <w:spacing w:val="-2"/>
          <w:sz w:val="28"/>
          <w:szCs w:val="28"/>
        </w:rPr>
        <w:t>函請經濟部督促檢討改善</w:t>
      </w:r>
      <w:r w:rsidR="00E0004D">
        <w:rPr>
          <w:rFonts w:ascii="標楷體" w:hAnsi="標楷體" w:hint="eastAsia"/>
          <w:color w:val="000000" w:themeColor="text1"/>
          <w:spacing w:val="-2"/>
          <w:sz w:val="28"/>
          <w:szCs w:val="28"/>
        </w:rPr>
        <w:t>，</w:t>
      </w:r>
      <w:r w:rsidRPr="005C54A2">
        <w:rPr>
          <w:rFonts w:ascii="標楷體" w:hAnsi="標楷體" w:hint="eastAsia"/>
          <w:color w:val="000000" w:themeColor="text1"/>
          <w:spacing w:val="-2"/>
          <w:sz w:val="28"/>
          <w:szCs w:val="28"/>
        </w:rPr>
        <w:t>據復</w:t>
      </w:r>
      <w:r w:rsidRPr="00CE1577">
        <w:rPr>
          <w:rFonts w:ascii="標楷體" w:hAnsi="標楷體" w:hint="eastAsia"/>
          <w:color w:val="000000" w:themeColor="text1"/>
          <w:spacing w:val="-2"/>
          <w:sz w:val="28"/>
          <w:szCs w:val="28"/>
        </w:rPr>
        <w:t>各事業承攬商加派人力趕辦工項、儘速完成環評及加速用地取得，並定期召開進度及預警管控會議，以利控</w:t>
      </w:r>
      <w:r w:rsidRPr="00C10FAF">
        <w:rPr>
          <w:rFonts w:ascii="標楷體" w:hAnsi="標楷體" w:hint="eastAsia"/>
          <w:spacing w:val="-2"/>
          <w:sz w:val="28"/>
          <w:szCs w:val="28"/>
        </w:rPr>
        <w:t>管計畫執行進度等。案經追蹤查核結果，截至11</w:t>
      </w:r>
      <w:r w:rsidRPr="00C10FAF">
        <w:rPr>
          <w:rFonts w:ascii="標楷體" w:hAnsi="標楷體"/>
          <w:spacing w:val="-2"/>
          <w:sz w:val="28"/>
          <w:szCs w:val="28"/>
        </w:rPr>
        <w:t>4</w:t>
      </w:r>
      <w:r w:rsidRPr="00C10FAF">
        <w:rPr>
          <w:rFonts w:ascii="標楷體" w:hAnsi="標楷體" w:hint="eastAsia"/>
          <w:spacing w:val="-2"/>
          <w:sz w:val="28"/>
          <w:szCs w:val="28"/>
        </w:rPr>
        <w:t>年底止，4家國營事業投資1億元以上之購建固定資產專案計畫計有66項（扣除緩辦或停止辦理者4項），投資總額2兆9,820億2,543萬餘元，累計可用預算數1兆</w:t>
      </w:r>
      <w:r w:rsidRPr="00C10FAF">
        <w:rPr>
          <w:rFonts w:ascii="標楷體" w:hAnsi="標楷體" w:hint="eastAsia"/>
          <w:spacing w:val="6"/>
          <w:sz w:val="28"/>
          <w:szCs w:val="28"/>
        </w:rPr>
        <w:t>1,029億1,758萬餘元，累計支用數1兆917億5,460萬餘元，預算執行比率98.99％</w:t>
      </w:r>
      <w:r w:rsidRPr="00C10FAF">
        <w:rPr>
          <w:rFonts w:ascii="標楷體" w:hAnsi="標楷體" w:hint="eastAsia"/>
          <w:spacing w:val="-2"/>
          <w:sz w:val="28"/>
          <w:szCs w:val="28"/>
        </w:rPr>
        <w:t>，惟累計工程實際進度較預</w:t>
      </w:r>
    </w:p>
    <w:p w14:paraId="70AB05FF" w14:textId="3E88CF9D" w:rsidR="00B22A11" w:rsidRDefault="00BD562D" w:rsidP="00A94F3B">
      <w:pPr>
        <w:overflowPunct w:val="0"/>
        <w:adjustRightInd w:val="0"/>
        <w:snapToGrid w:val="0"/>
        <w:spacing w:line="540" w:lineRule="exact"/>
        <w:ind w:leftChars="-5" w:left="2" w:hangingChars="5" w:hanging="14"/>
        <w:jc w:val="both"/>
        <w:rPr>
          <w:rFonts w:ascii="標楷體" w:hAnsi="標楷體"/>
          <w:color w:val="000000" w:themeColor="text1"/>
          <w:spacing w:val="-2"/>
          <w:sz w:val="28"/>
          <w:szCs w:val="28"/>
        </w:rPr>
      </w:pPr>
      <w:r w:rsidRPr="00C10FAF">
        <w:rPr>
          <w:rFonts w:ascii="標楷體" w:hAnsi="標楷體" w:hint="eastAsia"/>
          <w:spacing w:val="-2"/>
          <w:sz w:val="28"/>
          <w:szCs w:val="28"/>
        </w:rPr>
        <w:t>計進度落後者計13項（表</w:t>
      </w:r>
      <w:r w:rsidR="00B140EF" w:rsidRPr="00C10FAF">
        <w:rPr>
          <w:rFonts w:ascii="標楷體" w:hAnsi="標楷體" w:hint="eastAsia"/>
          <w:spacing w:val="-2"/>
          <w:sz w:val="28"/>
          <w:szCs w:val="28"/>
        </w:rPr>
        <w:t>6</w:t>
      </w:r>
      <w:r w:rsidRPr="00C10FAF">
        <w:rPr>
          <w:rFonts w:ascii="標楷體" w:hAnsi="標楷體" w:hint="eastAsia"/>
          <w:spacing w:val="-2"/>
          <w:sz w:val="28"/>
          <w:szCs w:val="28"/>
        </w:rPr>
        <w:t>），包括：台灣糖業公司之農業循環豬場改建投資計畫</w:t>
      </w:r>
      <w:r>
        <w:rPr>
          <w:rFonts w:ascii="標楷體" w:hAnsi="標楷體" w:hint="eastAsia"/>
          <w:color w:val="000000" w:themeColor="text1"/>
          <w:spacing w:val="-2"/>
          <w:sz w:val="28"/>
          <w:szCs w:val="28"/>
        </w:rPr>
        <w:t>、</w:t>
      </w:r>
    </w:p>
    <w:p w14:paraId="51B52068" w14:textId="14BB1FA6" w:rsidR="00F649B3" w:rsidRDefault="00BD562D" w:rsidP="00B22A11">
      <w:pPr>
        <w:overflowPunct w:val="0"/>
        <w:adjustRightInd w:val="0"/>
        <w:snapToGrid w:val="0"/>
        <w:spacing w:line="560" w:lineRule="exact"/>
        <w:ind w:leftChars="-5" w:left="2" w:hangingChars="5" w:hanging="14"/>
        <w:jc w:val="both"/>
        <w:rPr>
          <w:rFonts w:ascii="標楷體" w:hAnsi="標楷體"/>
          <w:color w:val="000000" w:themeColor="text1"/>
          <w:spacing w:val="-2"/>
          <w:sz w:val="28"/>
          <w:szCs w:val="28"/>
        </w:rPr>
      </w:pPr>
      <w:r w:rsidRPr="00AB7523">
        <w:rPr>
          <w:rFonts w:ascii="標楷體" w:hAnsi="標楷體" w:hint="eastAsia"/>
          <w:color w:val="000000" w:themeColor="text1"/>
          <w:spacing w:val="-2"/>
          <w:sz w:val="28"/>
          <w:szCs w:val="28"/>
        </w:rPr>
        <w:t>台灣中油公司</w:t>
      </w:r>
      <w:r>
        <w:rPr>
          <w:rFonts w:ascii="標楷體" w:hAnsi="標楷體" w:hint="eastAsia"/>
          <w:color w:val="000000" w:themeColor="text1"/>
          <w:spacing w:val="-2"/>
          <w:sz w:val="28"/>
          <w:szCs w:val="28"/>
        </w:rPr>
        <w:t>之</w:t>
      </w:r>
      <w:r w:rsidRPr="00AB7523">
        <w:rPr>
          <w:rFonts w:ascii="標楷體" w:hAnsi="標楷體" w:hint="eastAsia"/>
          <w:color w:val="000000" w:themeColor="text1"/>
          <w:spacing w:val="-2"/>
          <w:sz w:val="28"/>
          <w:szCs w:val="28"/>
        </w:rPr>
        <w:t>示範級軟碳製程工場新建投資計畫</w:t>
      </w:r>
      <w:r>
        <w:rPr>
          <w:rFonts w:ascii="標楷體" w:hAnsi="標楷體" w:hint="eastAsia"/>
          <w:color w:val="000000" w:themeColor="text1"/>
          <w:spacing w:val="-2"/>
          <w:sz w:val="28"/>
          <w:szCs w:val="28"/>
        </w:rPr>
        <w:t>、</w:t>
      </w:r>
      <w:r w:rsidRPr="005C54A2">
        <w:rPr>
          <w:rFonts w:ascii="標楷體" w:hAnsi="標楷體" w:hint="eastAsia"/>
          <w:color w:val="000000" w:themeColor="text1"/>
          <w:spacing w:val="-2"/>
          <w:sz w:val="28"/>
          <w:szCs w:val="28"/>
        </w:rPr>
        <w:t>台灣電力公司之協和電廠更新改建計畫等</w:t>
      </w:r>
      <w:r>
        <w:rPr>
          <w:rFonts w:ascii="標楷體" w:hAnsi="標楷體" w:hint="eastAsia"/>
          <w:color w:val="000000" w:themeColor="text1"/>
          <w:spacing w:val="-2"/>
          <w:sz w:val="28"/>
          <w:szCs w:val="28"/>
        </w:rPr>
        <w:t>8</w:t>
      </w:r>
      <w:r w:rsidRPr="005C54A2">
        <w:rPr>
          <w:rFonts w:ascii="標楷體" w:hAnsi="標楷體" w:hint="eastAsia"/>
          <w:color w:val="000000" w:themeColor="text1"/>
          <w:spacing w:val="-2"/>
          <w:sz w:val="28"/>
          <w:szCs w:val="28"/>
        </w:rPr>
        <w:t>項</w:t>
      </w:r>
      <w:r>
        <w:rPr>
          <w:rFonts w:ascii="標楷體" w:hAnsi="標楷體" w:hint="eastAsia"/>
          <w:color w:val="000000" w:themeColor="text1"/>
          <w:spacing w:val="-2"/>
          <w:sz w:val="28"/>
          <w:szCs w:val="28"/>
        </w:rPr>
        <w:t>，及</w:t>
      </w:r>
      <w:r w:rsidRPr="005C54A2">
        <w:rPr>
          <w:rFonts w:ascii="標楷體" w:hAnsi="標楷體" w:hint="eastAsia"/>
          <w:color w:val="000000" w:themeColor="text1"/>
          <w:spacing w:val="-2"/>
          <w:sz w:val="28"/>
          <w:szCs w:val="28"/>
        </w:rPr>
        <w:t>台灣自來水公司之</w:t>
      </w:r>
      <w:r w:rsidRPr="007070F4">
        <w:rPr>
          <w:rFonts w:ascii="標楷體" w:hAnsi="標楷體" w:hint="eastAsia"/>
          <w:color w:val="000000" w:themeColor="text1"/>
          <w:spacing w:val="-2"/>
          <w:sz w:val="28"/>
          <w:szCs w:val="28"/>
        </w:rPr>
        <w:t>降低漏水率計畫</w:t>
      </w:r>
      <w:r>
        <w:rPr>
          <w:rFonts w:ascii="標楷體" w:hAnsi="標楷體" w:hint="eastAsia"/>
          <w:color w:val="000000" w:themeColor="text1"/>
          <w:spacing w:val="-2"/>
          <w:sz w:val="28"/>
          <w:szCs w:val="28"/>
        </w:rPr>
        <w:t>（</w:t>
      </w:r>
      <w:r w:rsidRPr="007070F4">
        <w:rPr>
          <w:rFonts w:ascii="標楷體" w:hAnsi="標楷體" w:hint="eastAsia"/>
          <w:color w:val="000000" w:themeColor="text1"/>
          <w:spacing w:val="-2"/>
          <w:sz w:val="28"/>
          <w:szCs w:val="28"/>
        </w:rPr>
        <w:t>102至113年</w:t>
      </w:r>
      <w:r>
        <w:rPr>
          <w:rFonts w:ascii="標楷體" w:hAnsi="標楷體" w:hint="eastAsia"/>
          <w:color w:val="000000" w:themeColor="text1"/>
          <w:spacing w:val="-2"/>
          <w:sz w:val="28"/>
          <w:szCs w:val="28"/>
        </w:rPr>
        <w:t>）</w:t>
      </w:r>
      <w:r w:rsidRPr="005C54A2">
        <w:rPr>
          <w:rFonts w:ascii="標楷體" w:hAnsi="標楷體" w:hint="eastAsia"/>
          <w:color w:val="000000" w:themeColor="text1"/>
          <w:spacing w:val="-2"/>
          <w:sz w:val="28"/>
          <w:szCs w:val="28"/>
        </w:rPr>
        <w:t>等</w:t>
      </w:r>
      <w:r>
        <w:rPr>
          <w:rFonts w:ascii="標楷體" w:hAnsi="標楷體" w:hint="eastAsia"/>
          <w:color w:val="000000" w:themeColor="text1"/>
          <w:spacing w:val="-2"/>
          <w:sz w:val="28"/>
          <w:szCs w:val="28"/>
        </w:rPr>
        <w:t>3</w:t>
      </w:r>
      <w:r w:rsidRPr="005C54A2">
        <w:rPr>
          <w:rFonts w:ascii="標楷體" w:hAnsi="標楷體" w:hint="eastAsia"/>
          <w:color w:val="000000" w:themeColor="text1"/>
          <w:spacing w:val="-2"/>
          <w:sz w:val="28"/>
          <w:szCs w:val="28"/>
        </w:rPr>
        <w:t>項。</w:t>
      </w:r>
      <w:r>
        <w:rPr>
          <w:rFonts w:ascii="標楷體" w:hAnsi="標楷體" w:hint="eastAsia"/>
          <w:color w:val="000000" w:themeColor="text1"/>
          <w:spacing w:val="-2"/>
          <w:sz w:val="28"/>
          <w:szCs w:val="28"/>
        </w:rPr>
        <w:t>該</w:t>
      </w:r>
      <w:r w:rsidRPr="00E170E4">
        <w:rPr>
          <w:rFonts w:ascii="標楷體" w:hAnsi="標楷體" w:hint="eastAsia"/>
          <w:color w:val="000000" w:themeColor="text1"/>
          <w:spacing w:val="-2"/>
          <w:sz w:val="28"/>
          <w:szCs w:val="28"/>
        </w:rPr>
        <w:t>1</w:t>
      </w:r>
      <w:r>
        <w:rPr>
          <w:rFonts w:ascii="標楷體" w:hAnsi="標楷體" w:hint="eastAsia"/>
          <w:color w:val="000000" w:themeColor="text1"/>
          <w:spacing w:val="-2"/>
          <w:sz w:val="28"/>
          <w:szCs w:val="28"/>
        </w:rPr>
        <w:t>3</w:t>
      </w:r>
      <w:r w:rsidRPr="00E170E4">
        <w:rPr>
          <w:rFonts w:ascii="標楷體" w:hAnsi="標楷體" w:hint="eastAsia"/>
          <w:color w:val="000000" w:themeColor="text1"/>
          <w:spacing w:val="-2"/>
          <w:sz w:val="28"/>
          <w:szCs w:val="28"/>
        </w:rPr>
        <w:t>項進度落後計畫中，除台灣自來水公司之「降低漏水率計畫</w:t>
      </w:r>
      <w:r>
        <w:rPr>
          <w:rFonts w:ascii="標楷體" w:hAnsi="標楷體" w:hint="eastAsia"/>
          <w:color w:val="000000" w:themeColor="text1"/>
          <w:spacing w:val="-2"/>
          <w:sz w:val="28"/>
          <w:szCs w:val="28"/>
        </w:rPr>
        <w:t>（</w:t>
      </w:r>
      <w:r w:rsidRPr="00E170E4">
        <w:rPr>
          <w:rFonts w:ascii="標楷體" w:hAnsi="標楷體" w:hint="eastAsia"/>
          <w:color w:val="000000" w:themeColor="text1"/>
          <w:spacing w:val="-2"/>
          <w:sz w:val="28"/>
          <w:szCs w:val="28"/>
        </w:rPr>
        <w:t>114至121年</w:t>
      </w:r>
      <w:r>
        <w:rPr>
          <w:rFonts w:ascii="標楷體" w:hAnsi="標楷體" w:hint="eastAsia"/>
          <w:color w:val="000000" w:themeColor="text1"/>
          <w:spacing w:val="-2"/>
          <w:sz w:val="28"/>
          <w:szCs w:val="28"/>
        </w:rPr>
        <w:t>）</w:t>
      </w:r>
      <w:r w:rsidRPr="00E170E4">
        <w:rPr>
          <w:rFonts w:ascii="標楷體" w:hAnsi="標楷體" w:hint="eastAsia"/>
          <w:color w:val="000000" w:themeColor="text1"/>
          <w:spacing w:val="-2"/>
          <w:sz w:val="28"/>
          <w:szCs w:val="28"/>
        </w:rPr>
        <w:t>」屬114年度新興計畫</w:t>
      </w:r>
      <w:r>
        <w:rPr>
          <w:rFonts w:ascii="標楷體" w:hAnsi="標楷體" w:hint="eastAsia"/>
          <w:color w:val="000000" w:themeColor="text1"/>
          <w:spacing w:val="-2"/>
          <w:sz w:val="28"/>
          <w:szCs w:val="28"/>
        </w:rPr>
        <w:t>，及</w:t>
      </w:r>
      <w:r w:rsidRPr="001C55B6">
        <w:rPr>
          <w:rFonts w:ascii="標楷體" w:hAnsi="標楷體" w:hint="eastAsia"/>
          <w:color w:val="000000" w:themeColor="text1"/>
          <w:spacing w:val="-2"/>
          <w:sz w:val="28"/>
          <w:szCs w:val="28"/>
        </w:rPr>
        <w:t>台灣中油公司</w:t>
      </w:r>
      <w:r>
        <w:rPr>
          <w:rFonts w:ascii="標楷體" w:hAnsi="標楷體" w:hint="eastAsia"/>
          <w:color w:val="000000" w:themeColor="text1"/>
          <w:spacing w:val="-2"/>
          <w:sz w:val="28"/>
          <w:szCs w:val="28"/>
        </w:rPr>
        <w:t>之</w:t>
      </w:r>
      <w:r w:rsidRPr="00E170E4">
        <w:rPr>
          <w:rFonts w:ascii="標楷體" w:hAnsi="標楷體" w:hint="eastAsia"/>
          <w:color w:val="000000" w:themeColor="text1"/>
          <w:spacing w:val="-2"/>
          <w:sz w:val="28"/>
          <w:szCs w:val="28"/>
        </w:rPr>
        <w:t>「</w:t>
      </w:r>
      <w:r w:rsidRPr="001C55B6">
        <w:rPr>
          <w:rFonts w:ascii="標楷體" w:hAnsi="標楷體" w:hint="eastAsia"/>
          <w:color w:val="000000" w:themeColor="text1"/>
          <w:spacing w:val="-2"/>
          <w:sz w:val="28"/>
          <w:szCs w:val="28"/>
        </w:rPr>
        <w:t>示範級軟碳製程工場新建投資計畫</w:t>
      </w:r>
      <w:r w:rsidRPr="00E170E4">
        <w:rPr>
          <w:rFonts w:ascii="標楷體" w:hAnsi="標楷體" w:hint="eastAsia"/>
          <w:color w:val="000000" w:themeColor="text1"/>
          <w:spacing w:val="-2"/>
          <w:sz w:val="28"/>
          <w:szCs w:val="28"/>
        </w:rPr>
        <w:t>」</w:t>
      </w:r>
      <w:r>
        <w:rPr>
          <w:rFonts w:ascii="標楷體" w:hAnsi="標楷體" w:hint="eastAsia"/>
          <w:color w:val="000000" w:themeColor="text1"/>
          <w:spacing w:val="-2"/>
          <w:sz w:val="28"/>
          <w:szCs w:val="28"/>
        </w:rPr>
        <w:t>113年度進</w:t>
      </w:r>
    </w:p>
    <w:p w14:paraId="69B9E6BD" w14:textId="77777777" w:rsidR="00F649B3" w:rsidRDefault="00F649B3" w:rsidP="00F649B3">
      <w:pPr>
        <w:overflowPunct w:val="0"/>
        <w:adjustRightInd w:val="0"/>
        <w:snapToGrid w:val="0"/>
        <w:spacing w:line="320" w:lineRule="exact"/>
        <w:ind w:leftChars="-5" w:left="2" w:hangingChars="5" w:hanging="14"/>
        <w:jc w:val="both"/>
        <w:rPr>
          <w:rFonts w:ascii="標楷體" w:hAnsi="標楷體"/>
          <w:color w:val="000000" w:themeColor="text1"/>
          <w:spacing w:val="-2"/>
          <w:sz w:val="28"/>
          <w:szCs w:val="28"/>
        </w:rPr>
      </w:pP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35"/>
        <w:gridCol w:w="3039"/>
        <w:gridCol w:w="714"/>
        <w:gridCol w:w="657"/>
        <w:gridCol w:w="966"/>
        <w:gridCol w:w="1302"/>
        <w:gridCol w:w="1610"/>
      </w:tblGrid>
      <w:tr w:rsidR="00F649B3" w:rsidRPr="00E83452" w14:paraId="033F5D87" w14:textId="77777777" w:rsidTr="001A67F7">
        <w:trPr>
          <w:trHeight w:val="279"/>
          <w:jc w:val="center"/>
        </w:trPr>
        <w:tc>
          <w:tcPr>
            <w:tcW w:w="10023" w:type="dxa"/>
            <w:gridSpan w:val="7"/>
            <w:tcBorders>
              <w:top w:val="nil"/>
              <w:left w:val="nil"/>
              <w:bottom w:val="nil"/>
              <w:right w:val="nil"/>
            </w:tcBorders>
          </w:tcPr>
          <w:p w14:paraId="6E02FA0B" w14:textId="2699375A" w:rsidR="00F649B3" w:rsidRPr="00E83452" w:rsidRDefault="00F649B3" w:rsidP="001A67F7">
            <w:pPr>
              <w:snapToGrid w:val="0"/>
              <w:spacing w:line="240" w:lineRule="exact"/>
              <w:ind w:left="456" w:hangingChars="200" w:hanging="456"/>
              <w:jc w:val="center"/>
              <w:rPr>
                <w:rFonts w:ascii="標楷體" w:hAnsi="標楷體"/>
                <w:b/>
                <w:bCs/>
                <w:color w:val="000000"/>
                <w:spacing w:val="-6"/>
                <w:szCs w:val="24"/>
              </w:rPr>
            </w:pPr>
            <w:r w:rsidRPr="00E83452">
              <w:rPr>
                <w:rFonts w:ascii="標楷體" w:hAnsi="標楷體" w:hint="eastAsia"/>
                <w:b/>
                <w:bCs/>
                <w:color w:val="000000"/>
                <w:spacing w:val="-6"/>
                <w:szCs w:val="24"/>
              </w:rPr>
              <w:t>表</w:t>
            </w:r>
            <w:r w:rsidR="00FF4291">
              <w:rPr>
                <w:rFonts w:ascii="標楷體" w:hAnsi="標楷體" w:hint="eastAsia"/>
                <w:b/>
                <w:bCs/>
                <w:color w:val="000000"/>
                <w:spacing w:val="-6"/>
                <w:szCs w:val="24"/>
              </w:rPr>
              <w:t>6</w:t>
            </w:r>
            <w:r w:rsidRPr="00E83452">
              <w:rPr>
                <w:rFonts w:ascii="標楷體" w:hAnsi="標楷體" w:hint="eastAsia"/>
                <w:b/>
                <w:bCs/>
                <w:color w:val="000000"/>
                <w:spacing w:val="-6"/>
                <w:szCs w:val="24"/>
              </w:rPr>
              <w:t xml:space="preserve"> </w:t>
            </w:r>
            <w:r>
              <w:rPr>
                <w:rFonts w:ascii="標楷體" w:hAnsi="標楷體"/>
                <w:b/>
                <w:bCs/>
                <w:color w:val="000000"/>
                <w:spacing w:val="-6"/>
                <w:szCs w:val="24"/>
              </w:rPr>
              <w:t xml:space="preserve"> </w:t>
            </w:r>
            <w:r w:rsidRPr="00E83452">
              <w:rPr>
                <w:rFonts w:ascii="標楷體" w:hAnsi="標楷體" w:hint="eastAsia"/>
                <w:b/>
                <w:bCs/>
                <w:color w:val="000000"/>
                <w:spacing w:val="-6"/>
                <w:szCs w:val="24"/>
              </w:rPr>
              <w:t>經濟部所屬國營事業11</w:t>
            </w:r>
            <w:r w:rsidRPr="00E83452">
              <w:rPr>
                <w:rFonts w:ascii="標楷體" w:hAnsi="標楷體"/>
                <w:b/>
                <w:bCs/>
                <w:color w:val="000000"/>
                <w:spacing w:val="-6"/>
                <w:szCs w:val="24"/>
              </w:rPr>
              <w:t>4</w:t>
            </w:r>
            <w:r w:rsidRPr="00E83452">
              <w:rPr>
                <w:rFonts w:ascii="標楷體" w:hAnsi="標楷體" w:hint="eastAsia"/>
                <w:b/>
                <w:bCs/>
                <w:color w:val="000000"/>
                <w:spacing w:val="-6"/>
                <w:szCs w:val="24"/>
              </w:rPr>
              <w:t>年度購建固定資產專案計畫執行進度落後情形</w:t>
            </w:r>
          </w:p>
        </w:tc>
      </w:tr>
      <w:tr w:rsidR="00F649B3" w:rsidRPr="00E83452" w14:paraId="118C32B8" w14:textId="77777777" w:rsidTr="001A67F7">
        <w:trPr>
          <w:trHeight w:val="207"/>
          <w:jc w:val="center"/>
        </w:trPr>
        <w:tc>
          <w:tcPr>
            <w:tcW w:w="10023" w:type="dxa"/>
            <w:gridSpan w:val="7"/>
            <w:tcBorders>
              <w:top w:val="nil"/>
              <w:left w:val="nil"/>
              <w:bottom w:val="single" w:sz="4" w:space="0" w:color="auto"/>
              <w:right w:val="nil"/>
            </w:tcBorders>
          </w:tcPr>
          <w:p w14:paraId="30F3BC51" w14:textId="77777777" w:rsidR="00F649B3" w:rsidRPr="00E83452" w:rsidRDefault="00F649B3" w:rsidP="00A147E5">
            <w:pPr>
              <w:spacing w:line="240" w:lineRule="exact"/>
              <w:jc w:val="right"/>
              <w:rPr>
                <w:rFonts w:ascii="標楷體" w:hAnsi="標楷體"/>
                <w:color w:val="000000"/>
              </w:rPr>
            </w:pPr>
            <w:r w:rsidRPr="00E83452">
              <w:rPr>
                <w:rFonts w:ascii="標楷體" w:hAnsi="標楷體" w:hint="eastAsia"/>
                <w:color w:val="000000"/>
                <w:sz w:val="20"/>
              </w:rPr>
              <w:t>單位：項、％、百分點</w:t>
            </w:r>
          </w:p>
        </w:tc>
      </w:tr>
      <w:tr w:rsidR="00F649B3" w:rsidRPr="00E83452" w14:paraId="5602A3CA" w14:textId="77777777" w:rsidTr="005164FB">
        <w:trPr>
          <w:trHeight w:val="220"/>
          <w:jc w:val="center"/>
        </w:trPr>
        <w:tc>
          <w:tcPr>
            <w:tcW w:w="1735" w:type="dxa"/>
            <w:vMerge w:val="restart"/>
            <w:shd w:val="clear" w:color="auto" w:fill="FFE599" w:themeFill="accent4" w:themeFillTint="66"/>
            <w:vAlign w:val="center"/>
            <w:hideMark/>
          </w:tcPr>
          <w:p w14:paraId="4A82654E" w14:textId="77777777" w:rsidR="00F649B3" w:rsidRPr="00E83452" w:rsidRDefault="00F649B3" w:rsidP="00A147E5">
            <w:pPr>
              <w:spacing w:line="240" w:lineRule="exact"/>
              <w:jc w:val="center"/>
              <w:rPr>
                <w:rFonts w:ascii="標楷體" w:hAnsi="標楷體"/>
                <w:color w:val="000000"/>
                <w:sz w:val="20"/>
                <w:szCs w:val="20"/>
              </w:rPr>
            </w:pPr>
            <w:r w:rsidRPr="00E83452">
              <w:rPr>
                <w:rFonts w:ascii="標楷體" w:hAnsi="標楷體" w:hint="eastAsia"/>
                <w:color w:val="000000"/>
                <w:sz w:val="20"/>
                <w:szCs w:val="20"/>
              </w:rPr>
              <w:t>事業名稱</w:t>
            </w:r>
          </w:p>
        </w:tc>
        <w:tc>
          <w:tcPr>
            <w:tcW w:w="3039" w:type="dxa"/>
            <w:vMerge w:val="restart"/>
            <w:shd w:val="clear" w:color="auto" w:fill="FFE599" w:themeFill="accent4" w:themeFillTint="66"/>
            <w:vAlign w:val="center"/>
            <w:hideMark/>
          </w:tcPr>
          <w:p w14:paraId="07753E7A" w14:textId="77777777" w:rsidR="00F649B3" w:rsidRPr="00E83452" w:rsidRDefault="00F649B3" w:rsidP="00A147E5">
            <w:pPr>
              <w:spacing w:line="240" w:lineRule="exact"/>
              <w:jc w:val="center"/>
              <w:rPr>
                <w:rFonts w:ascii="標楷體" w:hAnsi="標楷體"/>
                <w:color w:val="000000"/>
                <w:sz w:val="20"/>
                <w:szCs w:val="20"/>
              </w:rPr>
            </w:pPr>
            <w:r w:rsidRPr="00E83452">
              <w:rPr>
                <w:rFonts w:ascii="標楷體" w:hAnsi="標楷體" w:hint="eastAsia"/>
                <w:color w:val="000000"/>
                <w:sz w:val="20"/>
                <w:szCs w:val="20"/>
              </w:rPr>
              <w:t>計畫名稱</w:t>
            </w:r>
          </w:p>
        </w:tc>
        <w:tc>
          <w:tcPr>
            <w:tcW w:w="2337" w:type="dxa"/>
            <w:gridSpan w:val="3"/>
            <w:shd w:val="clear" w:color="auto" w:fill="FFE599" w:themeFill="accent4" w:themeFillTint="66"/>
            <w:vAlign w:val="center"/>
          </w:tcPr>
          <w:p w14:paraId="37EA7954" w14:textId="77777777" w:rsidR="00F649B3" w:rsidRPr="00E83452" w:rsidRDefault="00F649B3" w:rsidP="00A147E5">
            <w:pPr>
              <w:spacing w:line="240" w:lineRule="exact"/>
              <w:jc w:val="center"/>
              <w:rPr>
                <w:rFonts w:ascii="標楷體" w:hAnsi="標楷體"/>
                <w:color w:val="000000"/>
                <w:sz w:val="20"/>
                <w:szCs w:val="20"/>
              </w:rPr>
            </w:pPr>
            <w:r>
              <w:rPr>
                <w:rFonts w:ascii="標楷體" w:hAnsi="標楷體" w:hint="eastAsia"/>
                <w:color w:val="000000"/>
                <w:sz w:val="20"/>
                <w:szCs w:val="20"/>
              </w:rPr>
              <w:t>1</w:t>
            </w:r>
            <w:r>
              <w:rPr>
                <w:rFonts w:ascii="標楷體" w:hAnsi="標楷體"/>
                <w:color w:val="000000"/>
                <w:sz w:val="20"/>
                <w:szCs w:val="20"/>
              </w:rPr>
              <w:t>14</w:t>
            </w:r>
            <w:r>
              <w:rPr>
                <w:rFonts w:ascii="標楷體" w:hAnsi="標楷體" w:hint="eastAsia"/>
                <w:color w:val="000000"/>
                <w:sz w:val="20"/>
                <w:szCs w:val="20"/>
              </w:rPr>
              <w:t>年度</w:t>
            </w:r>
          </w:p>
        </w:tc>
        <w:tc>
          <w:tcPr>
            <w:tcW w:w="1302" w:type="dxa"/>
            <w:vMerge w:val="restart"/>
            <w:shd w:val="clear" w:color="auto" w:fill="FFE599" w:themeFill="accent4" w:themeFillTint="66"/>
            <w:vAlign w:val="center"/>
          </w:tcPr>
          <w:p w14:paraId="393D6F65" w14:textId="77777777" w:rsidR="00F649B3" w:rsidRPr="002069A7" w:rsidRDefault="00F649B3" w:rsidP="00A147E5">
            <w:pPr>
              <w:spacing w:line="240" w:lineRule="exact"/>
              <w:jc w:val="center"/>
              <w:rPr>
                <w:rFonts w:ascii="標楷體" w:hAnsi="標楷體"/>
                <w:color w:val="000000"/>
                <w:sz w:val="20"/>
                <w:szCs w:val="20"/>
              </w:rPr>
            </w:pPr>
            <w:r w:rsidRPr="002069A7">
              <w:rPr>
                <w:rFonts w:ascii="標楷體" w:hAnsi="標楷體" w:hint="eastAsia"/>
                <w:color w:val="000000"/>
                <w:sz w:val="20"/>
                <w:szCs w:val="20"/>
              </w:rPr>
              <w:t>113年度</w:t>
            </w:r>
          </w:p>
          <w:p w14:paraId="04E75468" w14:textId="77777777" w:rsidR="00F649B3" w:rsidRDefault="00F649B3" w:rsidP="00A147E5">
            <w:pPr>
              <w:spacing w:line="240" w:lineRule="exact"/>
              <w:jc w:val="center"/>
              <w:rPr>
                <w:rFonts w:ascii="標楷體" w:hAnsi="標楷體"/>
                <w:color w:val="000000"/>
                <w:sz w:val="20"/>
                <w:szCs w:val="20"/>
              </w:rPr>
            </w:pPr>
            <w:r w:rsidRPr="002069A7">
              <w:rPr>
                <w:rFonts w:ascii="標楷體" w:hAnsi="標楷體" w:hint="eastAsia"/>
                <w:color w:val="000000"/>
                <w:sz w:val="20"/>
                <w:szCs w:val="20"/>
              </w:rPr>
              <w:t>落後情形</w:t>
            </w:r>
          </w:p>
          <w:p w14:paraId="399DBDAC" w14:textId="77777777" w:rsidR="00F649B3" w:rsidRPr="00E83452" w:rsidRDefault="00F649B3" w:rsidP="00A147E5">
            <w:pPr>
              <w:spacing w:line="240" w:lineRule="exact"/>
              <w:jc w:val="center"/>
              <w:rPr>
                <w:rFonts w:ascii="標楷體" w:hAnsi="標楷體"/>
                <w:color w:val="000000"/>
                <w:sz w:val="20"/>
                <w:szCs w:val="20"/>
              </w:rPr>
            </w:pPr>
            <w:r w:rsidRPr="00A1397F">
              <w:rPr>
                <w:rFonts w:ascii="標楷體" w:hAnsi="標楷體" w:hint="eastAsia"/>
                <w:color w:val="000000"/>
                <w:sz w:val="20"/>
                <w:szCs w:val="20"/>
              </w:rPr>
              <w:t>（</w:t>
            </w:r>
            <w:r>
              <w:rPr>
                <w:rFonts w:ascii="標楷體" w:hAnsi="標楷體"/>
                <w:color w:val="000000"/>
                <w:sz w:val="20"/>
                <w:szCs w:val="20"/>
              </w:rPr>
              <w:t>B</w:t>
            </w:r>
            <w:r w:rsidRPr="00A1397F">
              <w:rPr>
                <w:rFonts w:ascii="標楷體" w:hAnsi="標楷體" w:hint="eastAsia"/>
                <w:color w:val="000000"/>
                <w:sz w:val="20"/>
                <w:szCs w:val="20"/>
              </w:rPr>
              <w:t>）</w:t>
            </w:r>
          </w:p>
        </w:tc>
        <w:tc>
          <w:tcPr>
            <w:tcW w:w="1610" w:type="dxa"/>
            <w:vMerge w:val="restart"/>
            <w:shd w:val="clear" w:color="auto" w:fill="FFE599" w:themeFill="accent4" w:themeFillTint="66"/>
            <w:vAlign w:val="center"/>
          </w:tcPr>
          <w:p w14:paraId="7382498C" w14:textId="77777777" w:rsidR="00F649B3" w:rsidRDefault="00F649B3" w:rsidP="00A147E5">
            <w:pPr>
              <w:spacing w:line="240" w:lineRule="exact"/>
              <w:jc w:val="center"/>
              <w:rPr>
                <w:rFonts w:ascii="標楷體" w:hAnsi="標楷體"/>
                <w:color w:val="000000"/>
                <w:sz w:val="20"/>
                <w:szCs w:val="20"/>
              </w:rPr>
            </w:pPr>
            <w:r>
              <w:rPr>
                <w:rFonts w:ascii="標楷體" w:hAnsi="標楷體" w:hint="eastAsia"/>
                <w:color w:val="000000"/>
                <w:sz w:val="20"/>
                <w:szCs w:val="20"/>
              </w:rPr>
              <w:t>比較增減</w:t>
            </w:r>
          </w:p>
          <w:p w14:paraId="684C666F" w14:textId="77777777" w:rsidR="00F649B3" w:rsidRPr="002069A7" w:rsidRDefault="00F649B3" w:rsidP="00A147E5">
            <w:pPr>
              <w:spacing w:line="240" w:lineRule="exact"/>
              <w:jc w:val="center"/>
              <w:rPr>
                <w:rFonts w:ascii="標楷體" w:hAnsi="標楷體"/>
                <w:color w:val="000000"/>
                <w:sz w:val="20"/>
                <w:szCs w:val="20"/>
              </w:rPr>
            </w:pPr>
            <w:r w:rsidRPr="00A1397F">
              <w:rPr>
                <w:rFonts w:ascii="標楷體" w:hAnsi="標楷體" w:hint="eastAsia"/>
                <w:color w:val="000000"/>
                <w:sz w:val="20"/>
                <w:szCs w:val="20"/>
              </w:rPr>
              <w:t>（</w:t>
            </w:r>
            <w:r>
              <w:rPr>
                <w:rFonts w:ascii="標楷體" w:hAnsi="標楷體" w:hint="eastAsia"/>
                <w:color w:val="000000"/>
                <w:sz w:val="20"/>
                <w:szCs w:val="20"/>
              </w:rPr>
              <w:t>A</w:t>
            </w:r>
            <w:r>
              <w:rPr>
                <w:rFonts w:ascii="標楷體" w:hAnsi="標楷體"/>
                <w:color w:val="000000"/>
                <w:sz w:val="20"/>
                <w:szCs w:val="20"/>
              </w:rPr>
              <w:t>-B</w:t>
            </w:r>
            <w:r w:rsidRPr="00A1397F">
              <w:rPr>
                <w:rFonts w:ascii="標楷體" w:hAnsi="標楷體" w:hint="eastAsia"/>
                <w:color w:val="000000"/>
                <w:sz w:val="20"/>
                <w:szCs w:val="20"/>
              </w:rPr>
              <w:t>）</w:t>
            </w:r>
          </w:p>
        </w:tc>
      </w:tr>
      <w:tr w:rsidR="00F649B3" w:rsidRPr="00E83452" w14:paraId="4F936805" w14:textId="77777777" w:rsidTr="005164FB">
        <w:trPr>
          <w:trHeight w:val="220"/>
          <w:jc w:val="center"/>
        </w:trPr>
        <w:tc>
          <w:tcPr>
            <w:tcW w:w="1735" w:type="dxa"/>
            <w:vMerge/>
            <w:shd w:val="clear" w:color="auto" w:fill="D9D9D9" w:themeFill="background1" w:themeFillShade="D9"/>
            <w:vAlign w:val="center"/>
          </w:tcPr>
          <w:p w14:paraId="3E5252B3" w14:textId="77777777" w:rsidR="00F649B3" w:rsidRPr="00E83452" w:rsidRDefault="00F649B3" w:rsidP="00A147E5">
            <w:pPr>
              <w:spacing w:line="240" w:lineRule="exact"/>
              <w:jc w:val="center"/>
              <w:rPr>
                <w:rFonts w:ascii="標楷體" w:hAnsi="標楷體"/>
                <w:color w:val="000000"/>
                <w:sz w:val="20"/>
                <w:szCs w:val="20"/>
              </w:rPr>
            </w:pPr>
          </w:p>
        </w:tc>
        <w:tc>
          <w:tcPr>
            <w:tcW w:w="3039" w:type="dxa"/>
            <w:vMerge/>
            <w:shd w:val="clear" w:color="auto" w:fill="D9D9D9" w:themeFill="background1" w:themeFillShade="D9"/>
            <w:vAlign w:val="center"/>
          </w:tcPr>
          <w:p w14:paraId="773B8074" w14:textId="77777777" w:rsidR="00F649B3" w:rsidRPr="00E83452" w:rsidRDefault="00F649B3" w:rsidP="00A147E5">
            <w:pPr>
              <w:spacing w:line="240" w:lineRule="exact"/>
              <w:jc w:val="center"/>
              <w:rPr>
                <w:rFonts w:ascii="標楷體" w:hAnsi="標楷體"/>
                <w:color w:val="000000"/>
                <w:sz w:val="20"/>
                <w:szCs w:val="20"/>
              </w:rPr>
            </w:pPr>
          </w:p>
        </w:tc>
        <w:tc>
          <w:tcPr>
            <w:tcW w:w="714" w:type="dxa"/>
            <w:shd w:val="clear" w:color="auto" w:fill="FFE599" w:themeFill="accent4" w:themeFillTint="66"/>
            <w:vAlign w:val="center"/>
          </w:tcPr>
          <w:p w14:paraId="40BBE3C4" w14:textId="77777777" w:rsidR="00F649B3" w:rsidRPr="00E83452" w:rsidRDefault="00F649B3" w:rsidP="00A147E5">
            <w:pPr>
              <w:spacing w:line="240" w:lineRule="exact"/>
              <w:jc w:val="center"/>
              <w:rPr>
                <w:rFonts w:ascii="標楷體" w:hAnsi="標楷體"/>
                <w:color w:val="000000"/>
                <w:sz w:val="20"/>
                <w:szCs w:val="20"/>
              </w:rPr>
            </w:pPr>
            <w:r w:rsidRPr="00E83452">
              <w:rPr>
                <w:rFonts w:ascii="標楷體" w:hAnsi="標楷體" w:hint="eastAsia"/>
                <w:color w:val="000000"/>
                <w:sz w:val="20"/>
                <w:szCs w:val="20"/>
              </w:rPr>
              <w:t>預計</w:t>
            </w:r>
          </w:p>
        </w:tc>
        <w:tc>
          <w:tcPr>
            <w:tcW w:w="657" w:type="dxa"/>
            <w:shd w:val="clear" w:color="auto" w:fill="FFE599" w:themeFill="accent4" w:themeFillTint="66"/>
            <w:vAlign w:val="center"/>
          </w:tcPr>
          <w:p w14:paraId="031DB956" w14:textId="77777777" w:rsidR="00F649B3" w:rsidRPr="00E83452" w:rsidRDefault="00F649B3" w:rsidP="00A147E5">
            <w:pPr>
              <w:spacing w:line="240" w:lineRule="exact"/>
              <w:jc w:val="center"/>
              <w:rPr>
                <w:rFonts w:ascii="標楷體" w:hAnsi="標楷體"/>
                <w:color w:val="000000"/>
                <w:sz w:val="20"/>
                <w:szCs w:val="20"/>
              </w:rPr>
            </w:pPr>
            <w:r w:rsidRPr="00E83452">
              <w:rPr>
                <w:rFonts w:ascii="標楷體" w:hAnsi="標楷體" w:hint="eastAsia"/>
                <w:color w:val="000000"/>
                <w:sz w:val="20"/>
                <w:szCs w:val="20"/>
              </w:rPr>
              <w:t>實際</w:t>
            </w:r>
          </w:p>
        </w:tc>
        <w:tc>
          <w:tcPr>
            <w:tcW w:w="966" w:type="dxa"/>
            <w:shd w:val="clear" w:color="auto" w:fill="FFE599" w:themeFill="accent4" w:themeFillTint="66"/>
            <w:vAlign w:val="center"/>
          </w:tcPr>
          <w:p w14:paraId="265BD7A2" w14:textId="3AD73FB9" w:rsidR="00F649B3" w:rsidRDefault="00F649B3" w:rsidP="00A147E5">
            <w:pPr>
              <w:spacing w:line="240" w:lineRule="exact"/>
              <w:jc w:val="center"/>
              <w:rPr>
                <w:rFonts w:ascii="標楷體" w:hAnsi="標楷體"/>
                <w:color w:val="000000"/>
                <w:sz w:val="20"/>
                <w:szCs w:val="20"/>
              </w:rPr>
            </w:pPr>
            <w:r w:rsidRPr="00E83452">
              <w:rPr>
                <w:rFonts w:ascii="標楷體" w:hAnsi="標楷體" w:hint="eastAsia"/>
                <w:color w:val="000000"/>
                <w:sz w:val="20"/>
                <w:szCs w:val="20"/>
              </w:rPr>
              <w:t>落後</w:t>
            </w:r>
            <w:r w:rsidR="00871571" w:rsidRPr="002069A7">
              <w:rPr>
                <w:rFonts w:ascii="標楷體" w:hAnsi="標楷體" w:hint="eastAsia"/>
                <w:color w:val="000000"/>
                <w:sz w:val="20"/>
                <w:szCs w:val="20"/>
              </w:rPr>
              <w:t>情形</w:t>
            </w:r>
          </w:p>
          <w:p w14:paraId="2C6C2EF5" w14:textId="77777777" w:rsidR="00F649B3" w:rsidRPr="00E83452" w:rsidRDefault="00F649B3" w:rsidP="00A147E5">
            <w:pPr>
              <w:spacing w:line="240" w:lineRule="exact"/>
              <w:jc w:val="center"/>
              <w:rPr>
                <w:rFonts w:ascii="標楷體" w:hAnsi="標楷體"/>
                <w:color w:val="000000"/>
                <w:sz w:val="20"/>
                <w:szCs w:val="20"/>
              </w:rPr>
            </w:pPr>
            <w:r w:rsidRPr="00A1397F">
              <w:rPr>
                <w:rFonts w:ascii="標楷體" w:hAnsi="標楷體" w:hint="eastAsia"/>
                <w:color w:val="000000"/>
                <w:sz w:val="20"/>
                <w:szCs w:val="20"/>
              </w:rPr>
              <w:t>（</w:t>
            </w:r>
            <w:r>
              <w:rPr>
                <w:rFonts w:ascii="標楷體" w:hAnsi="標楷體" w:hint="eastAsia"/>
                <w:color w:val="000000"/>
                <w:sz w:val="20"/>
                <w:szCs w:val="20"/>
              </w:rPr>
              <w:t>A</w:t>
            </w:r>
            <w:r w:rsidRPr="00A1397F">
              <w:rPr>
                <w:rFonts w:ascii="標楷體" w:hAnsi="標楷體" w:hint="eastAsia"/>
                <w:color w:val="000000"/>
                <w:sz w:val="20"/>
                <w:szCs w:val="20"/>
              </w:rPr>
              <w:t>）</w:t>
            </w:r>
          </w:p>
        </w:tc>
        <w:tc>
          <w:tcPr>
            <w:tcW w:w="1302" w:type="dxa"/>
            <w:vMerge/>
            <w:shd w:val="clear" w:color="auto" w:fill="D9D9D9" w:themeFill="background1" w:themeFillShade="D9"/>
          </w:tcPr>
          <w:p w14:paraId="4D5233F6" w14:textId="77777777" w:rsidR="00F649B3" w:rsidRPr="00E83452" w:rsidRDefault="00F649B3" w:rsidP="00A147E5">
            <w:pPr>
              <w:spacing w:line="240" w:lineRule="exact"/>
              <w:jc w:val="center"/>
              <w:rPr>
                <w:rFonts w:ascii="標楷體" w:hAnsi="標楷體"/>
                <w:color w:val="000000"/>
                <w:sz w:val="20"/>
                <w:szCs w:val="20"/>
              </w:rPr>
            </w:pPr>
          </w:p>
        </w:tc>
        <w:tc>
          <w:tcPr>
            <w:tcW w:w="1610" w:type="dxa"/>
            <w:vMerge/>
            <w:shd w:val="clear" w:color="auto" w:fill="D9D9D9" w:themeFill="background1" w:themeFillShade="D9"/>
          </w:tcPr>
          <w:p w14:paraId="65A03EBB" w14:textId="77777777" w:rsidR="00F649B3" w:rsidRPr="00E83452" w:rsidRDefault="00F649B3" w:rsidP="00A147E5">
            <w:pPr>
              <w:spacing w:line="240" w:lineRule="exact"/>
              <w:jc w:val="center"/>
              <w:rPr>
                <w:rFonts w:ascii="標楷體" w:hAnsi="標楷體"/>
                <w:color w:val="000000"/>
                <w:sz w:val="20"/>
                <w:szCs w:val="20"/>
              </w:rPr>
            </w:pPr>
          </w:p>
        </w:tc>
      </w:tr>
      <w:tr w:rsidR="00F649B3" w:rsidRPr="00E83452" w14:paraId="0E55C3E3" w14:textId="77777777" w:rsidTr="005164FB">
        <w:trPr>
          <w:trHeight w:val="397"/>
          <w:jc w:val="center"/>
        </w:trPr>
        <w:tc>
          <w:tcPr>
            <w:tcW w:w="1735" w:type="dxa"/>
            <w:vAlign w:val="center"/>
          </w:tcPr>
          <w:p w14:paraId="650A6AB8" w14:textId="77777777" w:rsidR="00F649B3" w:rsidRDefault="00F649B3" w:rsidP="00A147E5">
            <w:pPr>
              <w:spacing w:line="240" w:lineRule="exact"/>
              <w:jc w:val="center"/>
              <w:rPr>
                <w:rFonts w:ascii="標楷體" w:hAnsi="標楷體"/>
                <w:color w:val="000000"/>
                <w:sz w:val="20"/>
                <w:szCs w:val="20"/>
              </w:rPr>
            </w:pPr>
            <w:r w:rsidRPr="00D85D7E">
              <w:rPr>
                <w:rFonts w:ascii="標楷體" w:hAnsi="標楷體" w:hint="eastAsia"/>
                <w:color w:val="000000"/>
                <w:sz w:val="20"/>
                <w:szCs w:val="20"/>
              </w:rPr>
              <w:t>台灣糖業公司</w:t>
            </w:r>
          </w:p>
        </w:tc>
        <w:tc>
          <w:tcPr>
            <w:tcW w:w="3039" w:type="dxa"/>
            <w:shd w:val="clear" w:color="auto" w:fill="C5E0B3" w:themeFill="accent6" w:themeFillTint="66"/>
            <w:vAlign w:val="center"/>
          </w:tcPr>
          <w:p w14:paraId="5BAD0C0E" w14:textId="77777777" w:rsidR="00F649B3" w:rsidRPr="00FF4291" w:rsidRDefault="00F649B3" w:rsidP="00A147E5">
            <w:pPr>
              <w:spacing w:line="240" w:lineRule="exact"/>
              <w:jc w:val="both"/>
              <w:rPr>
                <w:rFonts w:ascii="標楷體" w:hAnsi="標楷體"/>
                <w:spacing w:val="-6"/>
                <w:sz w:val="20"/>
                <w:szCs w:val="20"/>
              </w:rPr>
            </w:pPr>
            <w:r w:rsidRPr="00FF4291">
              <w:rPr>
                <w:rFonts w:ascii="標楷體" w:hAnsi="標楷體" w:hint="eastAsia"/>
                <w:b/>
                <w:bCs/>
                <w:sz w:val="20"/>
                <w:szCs w:val="20"/>
              </w:rPr>
              <w:t>農業循環豬場改建投資計畫</w:t>
            </w:r>
          </w:p>
        </w:tc>
        <w:tc>
          <w:tcPr>
            <w:tcW w:w="714" w:type="dxa"/>
            <w:shd w:val="clear" w:color="auto" w:fill="C5E0B3" w:themeFill="accent6" w:themeFillTint="66"/>
            <w:vAlign w:val="center"/>
          </w:tcPr>
          <w:p w14:paraId="18B44E8E" w14:textId="77777777" w:rsidR="00F649B3" w:rsidRPr="00FF4291" w:rsidRDefault="00F649B3" w:rsidP="00A147E5">
            <w:pPr>
              <w:spacing w:line="240" w:lineRule="exact"/>
              <w:jc w:val="right"/>
              <w:rPr>
                <w:rFonts w:ascii="標楷體" w:hAnsi="標楷體"/>
                <w:color w:val="000000" w:themeColor="text1"/>
                <w:sz w:val="20"/>
                <w:szCs w:val="20"/>
              </w:rPr>
            </w:pPr>
            <w:r w:rsidRPr="00FF4291">
              <w:rPr>
                <w:rFonts w:ascii="標楷體" w:hAnsi="標楷體"/>
                <w:b/>
                <w:bCs/>
                <w:sz w:val="20"/>
                <w:szCs w:val="20"/>
              </w:rPr>
              <w:t>100.00</w:t>
            </w:r>
          </w:p>
        </w:tc>
        <w:tc>
          <w:tcPr>
            <w:tcW w:w="657" w:type="dxa"/>
            <w:shd w:val="clear" w:color="auto" w:fill="C5E0B3" w:themeFill="accent6" w:themeFillTint="66"/>
            <w:vAlign w:val="center"/>
          </w:tcPr>
          <w:p w14:paraId="58364C6A" w14:textId="77777777" w:rsidR="00F649B3" w:rsidRPr="00FF4291" w:rsidRDefault="00F649B3" w:rsidP="00A147E5">
            <w:pPr>
              <w:spacing w:line="240" w:lineRule="exact"/>
              <w:jc w:val="right"/>
              <w:rPr>
                <w:rFonts w:ascii="標楷體" w:hAnsi="標楷體"/>
                <w:color w:val="000000" w:themeColor="text1"/>
                <w:sz w:val="20"/>
                <w:szCs w:val="20"/>
              </w:rPr>
            </w:pPr>
            <w:r w:rsidRPr="00FF4291">
              <w:rPr>
                <w:rFonts w:ascii="標楷體" w:hAnsi="標楷體"/>
                <w:b/>
                <w:bCs/>
                <w:sz w:val="20"/>
                <w:szCs w:val="20"/>
              </w:rPr>
              <w:t>99.35</w:t>
            </w:r>
          </w:p>
        </w:tc>
        <w:tc>
          <w:tcPr>
            <w:tcW w:w="966" w:type="dxa"/>
            <w:shd w:val="clear" w:color="auto" w:fill="C5E0B3" w:themeFill="accent6" w:themeFillTint="66"/>
            <w:vAlign w:val="center"/>
          </w:tcPr>
          <w:p w14:paraId="361E6C81" w14:textId="77777777" w:rsidR="00F649B3" w:rsidRPr="00FF4291" w:rsidRDefault="00F649B3" w:rsidP="00A147E5">
            <w:pPr>
              <w:spacing w:line="240" w:lineRule="exact"/>
              <w:jc w:val="right"/>
              <w:rPr>
                <w:rFonts w:ascii="標楷體" w:hAnsi="標楷體"/>
                <w:sz w:val="20"/>
                <w:szCs w:val="20"/>
              </w:rPr>
            </w:pPr>
            <w:r w:rsidRPr="00FF4291">
              <w:rPr>
                <w:rFonts w:ascii="標楷體" w:hAnsi="標楷體"/>
                <w:b/>
                <w:bCs/>
                <w:sz w:val="20"/>
                <w:szCs w:val="20"/>
              </w:rPr>
              <w:t xml:space="preserve"> 0.65</w:t>
            </w:r>
          </w:p>
        </w:tc>
        <w:tc>
          <w:tcPr>
            <w:tcW w:w="1302" w:type="dxa"/>
            <w:shd w:val="clear" w:color="auto" w:fill="C5E0B3" w:themeFill="accent6" w:themeFillTint="66"/>
            <w:vAlign w:val="center"/>
          </w:tcPr>
          <w:p w14:paraId="48355D37" w14:textId="77777777" w:rsidR="00F649B3" w:rsidRPr="00FF4291" w:rsidRDefault="00F649B3" w:rsidP="00A147E5">
            <w:pPr>
              <w:spacing w:line="240" w:lineRule="exact"/>
              <w:jc w:val="right"/>
              <w:rPr>
                <w:rFonts w:ascii="標楷體" w:hAnsi="標楷體"/>
                <w:sz w:val="20"/>
                <w:szCs w:val="20"/>
              </w:rPr>
            </w:pPr>
            <w:r w:rsidRPr="00FF4291">
              <w:rPr>
                <w:rFonts w:ascii="標楷體" w:hAnsi="標楷體"/>
                <w:b/>
                <w:bCs/>
                <w:sz w:val="20"/>
                <w:szCs w:val="20"/>
              </w:rPr>
              <w:t>0.20</w:t>
            </w:r>
          </w:p>
        </w:tc>
        <w:tc>
          <w:tcPr>
            <w:tcW w:w="1610" w:type="dxa"/>
            <w:shd w:val="clear" w:color="auto" w:fill="C5E0B3" w:themeFill="accent6" w:themeFillTint="66"/>
            <w:vAlign w:val="center"/>
          </w:tcPr>
          <w:p w14:paraId="4245E457" w14:textId="77777777" w:rsidR="00F649B3" w:rsidRPr="00FF4291" w:rsidRDefault="00F649B3" w:rsidP="00A147E5">
            <w:pPr>
              <w:spacing w:line="240" w:lineRule="exact"/>
              <w:jc w:val="right"/>
              <w:rPr>
                <w:rFonts w:ascii="標楷體" w:hAnsi="標楷體"/>
                <w:b/>
                <w:bCs/>
                <w:sz w:val="20"/>
                <w:szCs w:val="20"/>
              </w:rPr>
            </w:pPr>
            <w:r w:rsidRPr="00FF4291">
              <w:rPr>
                <w:rFonts w:ascii="標楷體" w:hAnsi="標楷體" w:hint="eastAsia"/>
                <w:b/>
                <w:bCs/>
                <w:sz w:val="20"/>
                <w:szCs w:val="20"/>
              </w:rPr>
              <w:t>0</w:t>
            </w:r>
            <w:r w:rsidRPr="00FF4291">
              <w:rPr>
                <w:rFonts w:ascii="標楷體" w:hAnsi="標楷體"/>
                <w:b/>
                <w:bCs/>
                <w:sz w:val="20"/>
                <w:szCs w:val="20"/>
              </w:rPr>
              <w:t>.45</w:t>
            </w:r>
          </w:p>
        </w:tc>
      </w:tr>
      <w:tr w:rsidR="00F649B3" w:rsidRPr="00E83452" w14:paraId="0F68D815" w14:textId="77777777" w:rsidTr="001A67F7">
        <w:trPr>
          <w:trHeight w:val="397"/>
          <w:jc w:val="center"/>
        </w:trPr>
        <w:tc>
          <w:tcPr>
            <w:tcW w:w="1735" w:type="dxa"/>
            <w:vAlign w:val="center"/>
          </w:tcPr>
          <w:p w14:paraId="0B488C9F" w14:textId="77777777" w:rsidR="00F649B3" w:rsidRPr="00D85D7E" w:rsidRDefault="00F649B3" w:rsidP="00A147E5">
            <w:pPr>
              <w:spacing w:line="240" w:lineRule="exact"/>
              <w:jc w:val="center"/>
              <w:rPr>
                <w:rFonts w:ascii="標楷體" w:hAnsi="標楷體"/>
                <w:color w:val="000000"/>
                <w:sz w:val="20"/>
                <w:szCs w:val="20"/>
              </w:rPr>
            </w:pPr>
            <w:r>
              <w:rPr>
                <w:rFonts w:ascii="標楷體" w:hAnsi="標楷體" w:hint="eastAsia"/>
                <w:color w:val="000000"/>
                <w:sz w:val="20"/>
                <w:szCs w:val="20"/>
              </w:rPr>
              <w:t>台灣中油公司</w:t>
            </w:r>
          </w:p>
        </w:tc>
        <w:tc>
          <w:tcPr>
            <w:tcW w:w="3039" w:type="dxa"/>
            <w:vAlign w:val="center"/>
          </w:tcPr>
          <w:p w14:paraId="7947693B" w14:textId="77777777" w:rsidR="00F649B3" w:rsidRPr="00E906DA" w:rsidRDefault="00F649B3" w:rsidP="00A147E5">
            <w:pPr>
              <w:spacing w:line="240" w:lineRule="exact"/>
              <w:jc w:val="both"/>
              <w:rPr>
                <w:rFonts w:ascii="標楷體" w:hAnsi="標楷體"/>
                <w:spacing w:val="-6"/>
                <w:sz w:val="20"/>
                <w:szCs w:val="20"/>
              </w:rPr>
            </w:pPr>
            <w:r w:rsidRPr="00E906DA">
              <w:rPr>
                <w:rFonts w:ascii="標楷體" w:hAnsi="標楷體" w:hint="eastAsia"/>
                <w:spacing w:val="-6"/>
                <w:sz w:val="20"/>
                <w:szCs w:val="20"/>
              </w:rPr>
              <w:t>示範級軟碳製程工場新建投資計畫</w:t>
            </w:r>
          </w:p>
        </w:tc>
        <w:tc>
          <w:tcPr>
            <w:tcW w:w="714" w:type="dxa"/>
            <w:vAlign w:val="center"/>
          </w:tcPr>
          <w:p w14:paraId="439CE27C" w14:textId="77777777" w:rsidR="00F649B3" w:rsidRPr="00D85D7E" w:rsidRDefault="00F649B3" w:rsidP="00A147E5">
            <w:pPr>
              <w:spacing w:line="240" w:lineRule="exact"/>
              <w:jc w:val="right"/>
              <w:rPr>
                <w:rFonts w:ascii="標楷體" w:hAnsi="標楷體"/>
                <w:color w:val="000000" w:themeColor="text1"/>
                <w:sz w:val="20"/>
                <w:szCs w:val="20"/>
              </w:rPr>
            </w:pPr>
            <w:r w:rsidRPr="00E906DA">
              <w:rPr>
                <w:rFonts w:ascii="標楷體" w:hAnsi="標楷體"/>
                <w:color w:val="000000" w:themeColor="text1"/>
                <w:sz w:val="20"/>
                <w:szCs w:val="20"/>
              </w:rPr>
              <w:t>100</w:t>
            </w:r>
            <w:r>
              <w:rPr>
                <w:rFonts w:ascii="標楷體" w:hAnsi="標楷體"/>
                <w:color w:val="000000" w:themeColor="text1"/>
                <w:sz w:val="20"/>
                <w:szCs w:val="20"/>
              </w:rPr>
              <w:t>.00</w:t>
            </w:r>
          </w:p>
        </w:tc>
        <w:tc>
          <w:tcPr>
            <w:tcW w:w="657" w:type="dxa"/>
            <w:vAlign w:val="center"/>
          </w:tcPr>
          <w:p w14:paraId="74A9982B" w14:textId="77777777" w:rsidR="00F649B3" w:rsidRPr="00E906DA" w:rsidRDefault="00F649B3" w:rsidP="00A147E5">
            <w:pPr>
              <w:spacing w:line="240" w:lineRule="exact"/>
              <w:jc w:val="right"/>
              <w:rPr>
                <w:rFonts w:ascii="標楷體" w:hAnsi="標楷體"/>
                <w:color w:val="000000" w:themeColor="text1"/>
                <w:sz w:val="20"/>
                <w:szCs w:val="20"/>
              </w:rPr>
            </w:pPr>
            <w:r w:rsidRPr="00E906DA">
              <w:rPr>
                <w:rFonts w:ascii="標楷體" w:hAnsi="標楷體"/>
                <w:color w:val="000000" w:themeColor="text1"/>
                <w:sz w:val="20"/>
                <w:szCs w:val="20"/>
              </w:rPr>
              <w:t>4.5</w:t>
            </w:r>
            <w:r>
              <w:rPr>
                <w:rFonts w:ascii="標楷體" w:hAnsi="標楷體"/>
                <w:color w:val="000000" w:themeColor="text1"/>
                <w:sz w:val="20"/>
                <w:szCs w:val="20"/>
              </w:rPr>
              <w:t>0</w:t>
            </w:r>
          </w:p>
        </w:tc>
        <w:tc>
          <w:tcPr>
            <w:tcW w:w="966" w:type="dxa"/>
            <w:vAlign w:val="center"/>
          </w:tcPr>
          <w:p w14:paraId="293FA3C2" w14:textId="77777777" w:rsidR="00F649B3" w:rsidRPr="00047107" w:rsidRDefault="00F649B3" w:rsidP="00A147E5">
            <w:pPr>
              <w:spacing w:line="240" w:lineRule="exact"/>
              <w:jc w:val="right"/>
              <w:rPr>
                <w:rFonts w:ascii="標楷體" w:hAnsi="標楷體"/>
                <w:sz w:val="20"/>
                <w:szCs w:val="20"/>
              </w:rPr>
            </w:pPr>
            <w:r w:rsidRPr="00047107">
              <w:rPr>
                <w:rFonts w:ascii="標楷體" w:hAnsi="標楷體" w:hint="eastAsia"/>
                <w:sz w:val="20"/>
                <w:szCs w:val="20"/>
              </w:rPr>
              <w:t>9</w:t>
            </w:r>
            <w:r w:rsidRPr="00047107">
              <w:rPr>
                <w:rFonts w:ascii="標楷體" w:hAnsi="標楷體"/>
                <w:sz w:val="20"/>
                <w:szCs w:val="20"/>
              </w:rPr>
              <w:t>5.50</w:t>
            </w:r>
          </w:p>
        </w:tc>
        <w:tc>
          <w:tcPr>
            <w:tcW w:w="1302" w:type="dxa"/>
            <w:vAlign w:val="center"/>
          </w:tcPr>
          <w:p w14:paraId="0979FFF4" w14:textId="77777777" w:rsidR="00F649B3" w:rsidRPr="00E906DA" w:rsidRDefault="00F649B3" w:rsidP="00A147E5">
            <w:pPr>
              <w:spacing w:line="240" w:lineRule="exact"/>
              <w:jc w:val="right"/>
              <w:rPr>
                <w:rFonts w:ascii="標楷體" w:hAnsi="標楷體"/>
                <w:sz w:val="20"/>
                <w:szCs w:val="20"/>
              </w:rPr>
            </w:pPr>
            <w:r w:rsidRPr="00E906DA">
              <w:rPr>
                <w:rFonts w:ascii="標楷體" w:hAnsi="標楷體" w:hint="eastAsia"/>
                <w:sz w:val="20"/>
                <w:szCs w:val="20"/>
              </w:rPr>
              <w:t>無</w:t>
            </w:r>
            <w:r>
              <w:rPr>
                <w:rFonts w:ascii="標楷體" w:hAnsi="標楷體" w:hint="eastAsia"/>
                <w:sz w:val="20"/>
                <w:szCs w:val="20"/>
              </w:rPr>
              <w:t>此情形</w:t>
            </w:r>
          </w:p>
        </w:tc>
        <w:tc>
          <w:tcPr>
            <w:tcW w:w="1610" w:type="dxa"/>
            <w:vAlign w:val="center"/>
          </w:tcPr>
          <w:p w14:paraId="285CE924" w14:textId="676C45CD" w:rsidR="00F649B3" w:rsidRPr="00E906DA" w:rsidRDefault="003078AD" w:rsidP="00A147E5">
            <w:pPr>
              <w:spacing w:line="240" w:lineRule="exact"/>
              <w:jc w:val="right"/>
              <w:rPr>
                <w:rFonts w:ascii="標楷體" w:hAnsi="標楷體"/>
                <w:sz w:val="20"/>
                <w:szCs w:val="20"/>
              </w:rPr>
            </w:pPr>
            <w:r w:rsidRPr="00253095">
              <w:rPr>
                <w:rFonts w:ascii="新細明體" w:hAnsi="新細明體"/>
                <w:noProof/>
                <w:kern w:val="0"/>
                <w:sz w:val="18"/>
              </w:rPr>
              <w:t>--</w:t>
            </w:r>
          </w:p>
        </w:tc>
      </w:tr>
      <w:tr w:rsidR="00F649B3" w:rsidRPr="00E83452" w14:paraId="583B8E2D" w14:textId="77777777" w:rsidTr="005164FB">
        <w:trPr>
          <w:trHeight w:val="226"/>
          <w:jc w:val="center"/>
        </w:trPr>
        <w:tc>
          <w:tcPr>
            <w:tcW w:w="1735" w:type="dxa"/>
            <w:vMerge w:val="restart"/>
            <w:vAlign w:val="center"/>
            <w:hideMark/>
          </w:tcPr>
          <w:p w14:paraId="4436547A" w14:textId="77777777" w:rsidR="00F649B3" w:rsidRPr="00D85D7E" w:rsidRDefault="00F649B3" w:rsidP="00A147E5">
            <w:pPr>
              <w:spacing w:line="240" w:lineRule="exact"/>
              <w:jc w:val="center"/>
              <w:rPr>
                <w:rFonts w:ascii="標楷體" w:hAnsi="標楷體"/>
                <w:color w:val="000000"/>
                <w:sz w:val="20"/>
                <w:szCs w:val="20"/>
              </w:rPr>
            </w:pPr>
            <w:r w:rsidRPr="00D85D7E">
              <w:rPr>
                <w:rFonts w:ascii="標楷體" w:hAnsi="標楷體" w:hint="eastAsia"/>
                <w:color w:val="000000"/>
                <w:sz w:val="20"/>
                <w:szCs w:val="20"/>
              </w:rPr>
              <w:t>台灣電力</w:t>
            </w:r>
            <w:r w:rsidRPr="00452499">
              <w:rPr>
                <w:rFonts w:ascii="標楷體" w:hAnsi="標楷體" w:hint="eastAsia"/>
                <w:color w:val="000000" w:themeColor="text1"/>
                <w:sz w:val="20"/>
                <w:szCs w:val="20"/>
              </w:rPr>
              <w:t>公司</w:t>
            </w:r>
            <w:r w:rsidRPr="00452499">
              <w:rPr>
                <w:rFonts w:ascii="標楷體" w:hAnsi="標楷體" w:hint="eastAsia"/>
                <w:color w:val="000000" w:themeColor="text1"/>
                <w:sz w:val="20"/>
                <w:szCs w:val="20"/>
              </w:rPr>
              <w:br/>
              <w:t>（</w:t>
            </w:r>
            <w:r w:rsidRPr="00452499">
              <w:rPr>
                <w:rFonts w:ascii="標楷體" w:hAnsi="標楷體"/>
                <w:color w:val="000000" w:themeColor="text1"/>
                <w:sz w:val="20"/>
                <w:szCs w:val="20"/>
              </w:rPr>
              <w:t>8</w:t>
            </w:r>
            <w:r w:rsidRPr="00D85D7E">
              <w:rPr>
                <w:rFonts w:ascii="標楷體" w:hAnsi="標楷體" w:hint="eastAsia"/>
                <w:color w:val="000000"/>
                <w:sz w:val="20"/>
                <w:szCs w:val="20"/>
              </w:rPr>
              <w:t>項</w:t>
            </w:r>
            <w:r>
              <w:rPr>
                <w:rFonts w:ascii="標楷體" w:hAnsi="標楷體" w:hint="eastAsia"/>
                <w:color w:val="000000"/>
                <w:sz w:val="20"/>
                <w:szCs w:val="20"/>
              </w:rPr>
              <w:t>）</w:t>
            </w:r>
          </w:p>
        </w:tc>
        <w:tc>
          <w:tcPr>
            <w:tcW w:w="3039" w:type="dxa"/>
            <w:shd w:val="clear" w:color="auto" w:fill="C5E0B3" w:themeFill="accent6" w:themeFillTint="66"/>
            <w:vAlign w:val="center"/>
          </w:tcPr>
          <w:p w14:paraId="7353A4A8" w14:textId="77777777" w:rsidR="00F649B3" w:rsidRPr="00012EA2" w:rsidRDefault="00F649B3" w:rsidP="00A147E5">
            <w:pPr>
              <w:spacing w:line="240" w:lineRule="exact"/>
              <w:jc w:val="both"/>
              <w:rPr>
                <w:rFonts w:ascii="標楷體" w:hAnsi="標楷體"/>
                <w:b/>
                <w:bCs/>
                <w:color w:val="000000" w:themeColor="text1"/>
                <w:sz w:val="20"/>
                <w:szCs w:val="20"/>
              </w:rPr>
            </w:pPr>
            <w:r w:rsidRPr="00012EA2">
              <w:rPr>
                <w:rFonts w:ascii="標楷體" w:hAnsi="標楷體" w:hint="eastAsia"/>
                <w:b/>
                <w:bCs/>
                <w:sz w:val="20"/>
                <w:szCs w:val="20"/>
              </w:rPr>
              <w:t>協和電廠更新改建計畫</w:t>
            </w:r>
          </w:p>
        </w:tc>
        <w:tc>
          <w:tcPr>
            <w:tcW w:w="714" w:type="dxa"/>
            <w:shd w:val="clear" w:color="auto" w:fill="C5E0B3" w:themeFill="accent6" w:themeFillTint="66"/>
            <w:vAlign w:val="center"/>
          </w:tcPr>
          <w:p w14:paraId="6AE0C727" w14:textId="77777777" w:rsidR="00F649B3" w:rsidRPr="00012EA2" w:rsidRDefault="00F649B3" w:rsidP="00A147E5">
            <w:pPr>
              <w:spacing w:line="240" w:lineRule="exact"/>
              <w:jc w:val="right"/>
              <w:rPr>
                <w:rFonts w:ascii="標楷體" w:hAnsi="標楷體"/>
                <w:b/>
                <w:bCs/>
                <w:color w:val="000000" w:themeColor="text1"/>
                <w:sz w:val="20"/>
                <w:szCs w:val="20"/>
              </w:rPr>
            </w:pPr>
            <w:r w:rsidRPr="00012EA2">
              <w:rPr>
                <w:rFonts w:ascii="標楷體" w:hAnsi="標楷體" w:hint="eastAsia"/>
                <w:b/>
                <w:bCs/>
                <w:color w:val="000000" w:themeColor="text1"/>
                <w:sz w:val="20"/>
                <w:szCs w:val="20"/>
              </w:rPr>
              <w:t>4</w:t>
            </w:r>
            <w:r w:rsidRPr="00012EA2">
              <w:rPr>
                <w:rFonts w:ascii="標楷體" w:hAnsi="標楷體"/>
                <w:b/>
                <w:bCs/>
                <w:color w:val="000000" w:themeColor="text1"/>
                <w:sz w:val="20"/>
                <w:szCs w:val="20"/>
              </w:rPr>
              <w:t>6.24</w:t>
            </w:r>
          </w:p>
        </w:tc>
        <w:tc>
          <w:tcPr>
            <w:tcW w:w="657" w:type="dxa"/>
            <w:shd w:val="clear" w:color="auto" w:fill="C5E0B3" w:themeFill="accent6" w:themeFillTint="66"/>
            <w:vAlign w:val="center"/>
          </w:tcPr>
          <w:p w14:paraId="4C450267" w14:textId="77777777" w:rsidR="00F649B3" w:rsidRPr="00012EA2" w:rsidRDefault="00F649B3" w:rsidP="00A147E5">
            <w:pPr>
              <w:spacing w:line="240" w:lineRule="exact"/>
              <w:jc w:val="right"/>
              <w:rPr>
                <w:rFonts w:ascii="標楷體" w:hAnsi="標楷體"/>
                <w:b/>
                <w:bCs/>
                <w:color w:val="000000" w:themeColor="text1"/>
                <w:sz w:val="20"/>
                <w:szCs w:val="20"/>
              </w:rPr>
            </w:pPr>
            <w:r w:rsidRPr="00012EA2">
              <w:rPr>
                <w:rFonts w:ascii="標楷體" w:hAnsi="標楷體"/>
                <w:b/>
                <w:bCs/>
                <w:sz w:val="20"/>
                <w:szCs w:val="20"/>
              </w:rPr>
              <w:t>39.27</w:t>
            </w:r>
          </w:p>
        </w:tc>
        <w:tc>
          <w:tcPr>
            <w:tcW w:w="966" w:type="dxa"/>
            <w:shd w:val="clear" w:color="auto" w:fill="C5E0B3" w:themeFill="accent6" w:themeFillTint="66"/>
            <w:vAlign w:val="center"/>
          </w:tcPr>
          <w:p w14:paraId="0E79FE2A" w14:textId="77777777" w:rsidR="00F649B3" w:rsidRPr="00012EA2" w:rsidRDefault="00F649B3" w:rsidP="00A147E5">
            <w:pPr>
              <w:spacing w:line="240" w:lineRule="exact"/>
              <w:jc w:val="right"/>
              <w:rPr>
                <w:rFonts w:ascii="標楷體" w:hAnsi="標楷體"/>
                <w:b/>
                <w:bCs/>
                <w:color w:val="000000" w:themeColor="text1"/>
                <w:sz w:val="20"/>
                <w:szCs w:val="20"/>
              </w:rPr>
            </w:pPr>
            <w:r w:rsidRPr="00012EA2">
              <w:rPr>
                <w:rFonts w:ascii="標楷體" w:hAnsi="標楷體"/>
                <w:b/>
                <w:bCs/>
                <w:sz w:val="20"/>
                <w:szCs w:val="20"/>
              </w:rPr>
              <w:t>6.97</w:t>
            </w:r>
          </w:p>
        </w:tc>
        <w:tc>
          <w:tcPr>
            <w:tcW w:w="1302" w:type="dxa"/>
            <w:shd w:val="clear" w:color="auto" w:fill="C5E0B3" w:themeFill="accent6" w:themeFillTint="66"/>
            <w:vAlign w:val="center"/>
          </w:tcPr>
          <w:p w14:paraId="79185570" w14:textId="77777777" w:rsidR="00F649B3" w:rsidRPr="00012EA2" w:rsidRDefault="00F649B3" w:rsidP="00A147E5">
            <w:pPr>
              <w:spacing w:line="240" w:lineRule="exact"/>
              <w:jc w:val="right"/>
              <w:rPr>
                <w:rFonts w:ascii="標楷體" w:hAnsi="標楷體"/>
                <w:b/>
                <w:bCs/>
                <w:color w:val="000000" w:themeColor="text1"/>
                <w:sz w:val="20"/>
                <w:szCs w:val="20"/>
              </w:rPr>
            </w:pPr>
            <w:r w:rsidRPr="00012EA2">
              <w:rPr>
                <w:rFonts w:ascii="標楷體" w:hAnsi="標楷體"/>
                <w:b/>
                <w:bCs/>
                <w:sz w:val="20"/>
                <w:szCs w:val="20"/>
              </w:rPr>
              <w:t>1.11</w:t>
            </w:r>
          </w:p>
        </w:tc>
        <w:tc>
          <w:tcPr>
            <w:tcW w:w="1610" w:type="dxa"/>
            <w:shd w:val="clear" w:color="auto" w:fill="C5E0B3" w:themeFill="accent6" w:themeFillTint="66"/>
            <w:vAlign w:val="center"/>
          </w:tcPr>
          <w:p w14:paraId="3592B521" w14:textId="77777777" w:rsidR="00F649B3" w:rsidRPr="00012EA2" w:rsidRDefault="00F649B3" w:rsidP="00A147E5">
            <w:pPr>
              <w:spacing w:line="240" w:lineRule="exact"/>
              <w:jc w:val="right"/>
              <w:rPr>
                <w:rFonts w:ascii="標楷體" w:hAnsi="標楷體"/>
                <w:b/>
                <w:bCs/>
                <w:sz w:val="20"/>
                <w:szCs w:val="20"/>
              </w:rPr>
            </w:pPr>
            <w:r>
              <w:rPr>
                <w:rFonts w:ascii="標楷體" w:hAnsi="標楷體" w:hint="eastAsia"/>
                <w:b/>
                <w:bCs/>
                <w:sz w:val="20"/>
                <w:szCs w:val="20"/>
              </w:rPr>
              <w:t>5</w:t>
            </w:r>
            <w:r>
              <w:rPr>
                <w:rFonts w:ascii="標楷體" w:hAnsi="標楷體"/>
                <w:b/>
                <w:bCs/>
                <w:sz w:val="20"/>
                <w:szCs w:val="20"/>
              </w:rPr>
              <w:t>.86</w:t>
            </w:r>
          </w:p>
        </w:tc>
      </w:tr>
      <w:tr w:rsidR="00F649B3" w:rsidRPr="00E83452" w14:paraId="393A0AE9" w14:textId="77777777" w:rsidTr="005164FB">
        <w:trPr>
          <w:trHeight w:val="336"/>
          <w:jc w:val="center"/>
        </w:trPr>
        <w:tc>
          <w:tcPr>
            <w:tcW w:w="1735" w:type="dxa"/>
            <w:vMerge/>
            <w:vAlign w:val="center"/>
          </w:tcPr>
          <w:p w14:paraId="7FCA305B" w14:textId="77777777" w:rsidR="00F649B3" w:rsidRPr="00D85D7E" w:rsidRDefault="00F649B3" w:rsidP="00A147E5">
            <w:pPr>
              <w:spacing w:line="240" w:lineRule="exact"/>
              <w:rPr>
                <w:rFonts w:ascii="標楷體" w:hAnsi="標楷體" w:cs="新細明體"/>
                <w:color w:val="000000"/>
                <w:sz w:val="20"/>
                <w:szCs w:val="20"/>
              </w:rPr>
            </w:pPr>
          </w:p>
        </w:tc>
        <w:tc>
          <w:tcPr>
            <w:tcW w:w="3039" w:type="dxa"/>
            <w:shd w:val="clear" w:color="auto" w:fill="C5E0B3" w:themeFill="accent6" w:themeFillTint="66"/>
            <w:vAlign w:val="center"/>
          </w:tcPr>
          <w:p w14:paraId="0AAE155D" w14:textId="77777777" w:rsidR="00F649B3" w:rsidRPr="00432F2D" w:rsidRDefault="00F649B3" w:rsidP="00A147E5">
            <w:pPr>
              <w:snapToGrid w:val="0"/>
              <w:spacing w:line="240" w:lineRule="exact"/>
              <w:jc w:val="both"/>
              <w:rPr>
                <w:rFonts w:ascii="標楷體" w:hAnsi="標楷體"/>
                <w:b/>
                <w:bCs/>
                <w:sz w:val="20"/>
                <w:szCs w:val="20"/>
              </w:rPr>
            </w:pPr>
            <w:r w:rsidRPr="00432F2D">
              <w:rPr>
                <w:rFonts w:ascii="標楷體" w:hAnsi="標楷體" w:hint="eastAsia"/>
                <w:b/>
                <w:bCs/>
                <w:sz w:val="20"/>
                <w:szCs w:val="20"/>
              </w:rPr>
              <w:t>萬里水力發電計畫</w:t>
            </w:r>
          </w:p>
        </w:tc>
        <w:tc>
          <w:tcPr>
            <w:tcW w:w="714" w:type="dxa"/>
            <w:shd w:val="clear" w:color="auto" w:fill="C5E0B3" w:themeFill="accent6" w:themeFillTint="66"/>
            <w:noWrap/>
            <w:vAlign w:val="center"/>
          </w:tcPr>
          <w:p w14:paraId="53763F77" w14:textId="77777777" w:rsidR="00F649B3" w:rsidRPr="00432F2D" w:rsidRDefault="00F649B3" w:rsidP="00A147E5">
            <w:pPr>
              <w:snapToGrid w:val="0"/>
              <w:spacing w:line="240" w:lineRule="exact"/>
              <w:jc w:val="right"/>
              <w:rPr>
                <w:rFonts w:ascii="標楷體" w:hAnsi="標楷體"/>
                <w:b/>
                <w:bCs/>
                <w:sz w:val="20"/>
                <w:szCs w:val="20"/>
              </w:rPr>
            </w:pPr>
            <w:r w:rsidRPr="00432F2D">
              <w:rPr>
                <w:rFonts w:ascii="標楷體" w:hAnsi="標楷體"/>
                <w:b/>
                <w:bCs/>
                <w:sz w:val="20"/>
                <w:szCs w:val="20"/>
              </w:rPr>
              <w:t>20.72</w:t>
            </w:r>
          </w:p>
        </w:tc>
        <w:tc>
          <w:tcPr>
            <w:tcW w:w="657" w:type="dxa"/>
            <w:shd w:val="clear" w:color="auto" w:fill="C5E0B3" w:themeFill="accent6" w:themeFillTint="66"/>
            <w:noWrap/>
            <w:vAlign w:val="center"/>
          </w:tcPr>
          <w:p w14:paraId="7A6D9849" w14:textId="77777777" w:rsidR="00F649B3" w:rsidRPr="00432F2D" w:rsidRDefault="00F649B3" w:rsidP="00A147E5">
            <w:pPr>
              <w:snapToGrid w:val="0"/>
              <w:spacing w:line="240" w:lineRule="exact"/>
              <w:jc w:val="right"/>
              <w:rPr>
                <w:rFonts w:ascii="標楷體" w:hAnsi="標楷體"/>
                <w:b/>
                <w:bCs/>
                <w:sz w:val="20"/>
                <w:szCs w:val="20"/>
              </w:rPr>
            </w:pPr>
            <w:r w:rsidRPr="00432F2D">
              <w:rPr>
                <w:rFonts w:ascii="標楷體" w:hAnsi="標楷體"/>
                <w:b/>
                <w:bCs/>
                <w:sz w:val="20"/>
                <w:szCs w:val="20"/>
              </w:rPr>
              <w:t>5.36</w:t>
            </w:r>
          </w:p>
        </w:tc>
        <w:tc>
          <w:tcPr>
            <w:tcW w:w="966" w:type="dxa"/>
            <w:shd w:val="clear" w:color="auto" w:fill="C5E0B3" w:themeFill="accent6" w:themeFillTint="66"/>
            <w:noWrap/>
            <w:vAlign w:val="center"/>
          </w:tcPr>
          <w:p w14:paraId="5978237A" w14:textId="77777777" w:rsidR="00F649B3" w:rsidRPr="00432F2D" w:rsidRDefault="00F649B3" w:rsidP="00A147E5">
            <w:pPr>
              <w:snapToGrid w:val="0"/>
              <w:spacing w:line="240" w:lineRule="exact"/>
              <w:jc w:val="right"/>
              <w:rPr>
                <w:rFonts w:ascii="標楷體" w:hAnsi="標楷體"/>
                <w:b/>
                <w:bCs/>
                <w:sz w:val="20"/>
                <w:szCs w:val="20"/>
              </w:rPr>
            </w:pPr>
            <w:r w:rsidRPr="00432F2D">
              <w:rPr>
                <w:rFonts w:ascii="標楷體" w:hAnsi="標楷體" w:hint="eastAsia"/>
                <w:b/>
                <w:bCs/>
                <w:sz w:val="20"/>
                <w:szCs w:val="20"/>
              </w:rPr>
              <w:t>1</w:t>
            </w:r>
            <w:r w:rsidRPr="00432F2D">
              <w:rPr>
                <w:rFonts w:ascii="標楷體" w:hAnsi="標楷體"/>
                <w:b/>
                <w:bCs/>
                <w:sz w:val="20"/>
                <w:szCs w:val="20"/>
              </w:rPr>
              <w:t>5.36</w:t>
            </w:r>
          </w:p>
        </w:tc>
        <w:tc>
          <w:tcPr>
            <w:tcW w:w="1302" w:type="dxa"/>
            <w:shd w:val="clear" w:color="auto" w:fill="C5E0B3" w:themeFill="accent6" w:themeFillTint="66"/>
            <w:vAlign w:val="center"/>
          </w:tcPr>
          <w:p w14:paraId="70F5DC01" w14:textId="77777777" w:rsidR="00F649B3" w:rsidRPr="00432F2D" w:rsidRDefault="00F649B3" w:rsidP="00A147E5">
            <w:pPr>
              <w:snapToGrid w:val="0"/>
              <w:spacing w:line="240" w:lineRule="exact"/>
              <w:jc w:val="right"/>
              <w:rPr>
                <w:rFonts w:ascii="標楷體" w:hAnsi="標楷體"/>
                <w:b/>
                <w:bCs/>
                <w:sz w:val="20"/>
                <w:szCs w:val="20"/>
              </w:rPr>
            </w:pPr>
            <w:r w:rsidRPr="00432F2D">
              <w:rPr>
                <w:rFonts w:ascii="標楷體" w:hAnsi="標楷體" w:hint="eastAsia"/>
                <w:b/>
                <w:bCs/>
                <w:sz w:val="20"/>
                <w:szCs w:val="20"/>
              </w:rPr>
              <w:t>8</w:t>
            </w:r>
            <w:r w:rsidRPr="00432F2D">
              <w:rPr>
                <w:rFonts w:ascii="標楷體" w:hAnsi="標楷體"/>
                <w:b/>
                <w:bCs/>
                <w:sz w:val="20"/>
                <w:szCs w:val="20"/>
              </w:rPr>
              <w:t>.12</w:t>
            </w:r>
          </w:p>
        </w:tc>
        <w:tc>
          <w:tcPr>
            <w:tcW w:w="1610" w:type="dxa"/>
            <w:shd w:val="clear" w:color="auto" w:fill="C5E0B3" w:themeFill="accent6" w:themeFillTint="66"/>
            <w:vAlign w:val="center"/>
          </w:tcPr>
          <w:p w14:paraId="230606A7" w14:textId="77777777" w:rsidR="00F649B3" w:rsidRPr="00432F2D" w:rsidRDefault="00F649B3" w:rsidP="00A147E5">
            <w:pPr>
              <w:snapToGrid w:val="0"/>
              <w:spacing w:line="240" w:lineRule="exact"/>
              <w:jc w:val="right"/>
              <w:rPr>
                <w:rFonts w:ascii="標楷體" w:hAnsi="標楷體"/>
                <w:b/>
                <w:bCs/>
                <w:sz w:val="20"/>
                <w:szCs w:val="20"/>
              </w:rPr>
            </w:pPr>
            <w:r>
              <w:rPr>
                <w:rFonts w:ascii="標楷體" w:hAnsi="標楷體" w:hint="eastAsia"/>
                <w:b/>
                <w:bCs/>
                <w:sz w:val="20"/>
                <w:szCs w:val="20"/>
              </w:rPr>
              <w:t>7</w:t>
            </w:r>
            <w:r>
              <w:rPr>
                <w:rFonts w:ascii="標楷體" w:hAnsi="標楷體"/>
                <w:b/>
                <w:bCs/>
                <w:sz w:val="20"/>
                <w:szCs w:val="20"/>
              </w:rPr>
              <w:t>.24</w:t>
            </w:r>
          </w:p>
        </w:tc>
      </w:tr>
      <w:tr w:rsidR="00F649B3" w:rsidRPr="00E83452" w14:paraId="1274C42C" w14:textId="77777777" w:rsidTr="001A67F7">
        <w:trPr>
          <w:trHeight w:val="20"/>
          <w:jc w:val="center"/>
        </w:trPr>
        <w:tc>
          <w:tcPr>
            <w:tcW w:w="1735" w:type="dxa"/>
            <w:vMerge/>
            <w:vAlign w:val="center"/>
            <w:hideMark/>
          </w:tcPr>
          <w:p w14:paraId="02C1691C" w14:textId="77777777" w:rsidR="00F649B3" w:rsidRPr="00D85D7E" w:rsidRDefault="00F649B3" w:rsidP="00A147E5">
            <w:pPr>
              <w:spacing w:line="240" w:lineRule="exact"/>
              <w:rPr>
                <w:rFonts w:ascii="標楷體" w:hAnsi="標楷體" w:cs="新細明體"/>
                <w:color w:val="000000"/>
                <w:sz w:val="20"/>
                <w:szCs w:val="20"/>
              </w:rPr>
            </w:pPr>
          </w:p>
        </w:tc>
        <w:tc>
          <w:tcPr>
            <w:tcW w:w="3039" w:type="dxa"/>
            <w:vAlign w:val="center"/>
          </w:tcPr>
          <w:p w14:paraId="50EA1031" w14:textId="77777777" w:rsidR="00F649B3" w:rsidRPr="00D85D7E" w:rsidRDefault="00F649B3" w:rsidP="00A147E5">
            <w:pPr>
              <w:snapToGrid w:val="0"/>
              <w:spacing w:line="240" w:lineRule="exact"/>
              <w:jc w:val="both"/>
              <w:rPr>
                <w:rFonts w:ascii="標楷體" w:hAnsi="標楷體"/>
                <w:color w:val="000000" w:themeColor="text1"/>
                <w:sz w:val="20"/>
                <w:szCs w:val="20"/>
              </w:rPr>
            </w:pPr>
            <w:r w:rsidRPr="00D85D7E">
              <w:rPr>
                <w:rFonts w:ascii="標楷體" w:hAnsi="標楷體" w:hint="eastAsia"/>
                <w:sz w:val="20"/>
                <w:szCs w:val="20"/>
              </w:rPr>
              <w:t>大潭電廠增建燃氣複循環機組發電計畫</w:t>
            </w:r>
          </w:p>
        </w:tc>
        <w:tc>
          <w:tcPr>
            <w:tcW w:w="714" w:type="dxa"/>
            <w:noWrap/>
            <w:vAlign w:val="center"/>
          </w:tcPr>
          <w:p w14:paraId="3E7C0A69" w14:textId="77777777" w:rsidR="00F649B3" w:rsidRPr="00D85D7E" w:rsidRDefault="00F649B3" w:rsidP="00A147E5">
            <w:pPr>
              <w:snapToGrid w:val="0"/>
              <w:spacing w:line="240" w:lineRule="exact"/>
              <w:jc w:val="right"/>
              <w:rPr>
                <w:rFonts w:ascii="標楷體" w:hAnsi="標楷體"/>
                <w:color w:val="000000" w:themeColor="text1"/>
                <w:sz w:val="20"/>
                <w:szCs w:val="20"/>
              </w:rPr>
            </w:pPr>
            <w:r w:rsidRPr="00D85D7E">
              <w:rPr>
                <w:rFonts w:ascii="標楷體" w:hAnsi="標楷體"/>
                <w:sz w:val="20"/>
                <w:szCs w:val="20"/>
              </w:rPr>
              <w:t>99.97</w:t>
            </w:r>
          </w:p>
        </w:tc>
        <w:tc>
          <w:tcPr>
            <w:tcW w:w="657" w:type="dxa"/>
            <w:noWrap/>
            <w:vAlign w:val="center"/>
          </w:tcPr>
          <w:p w14:paraId="37A82A1F" w14:textId="77777777" w:rsidR="00F649B3" w:rsidRPr="00D85D7E" w:rsidRDefault="00F649B3" w:rsidP="00A147E5">
            <w:pPr>
              <w:snapToGrid w:val="0"/>
              <w:spacing w:line="240" w:lineRule="exact"/>
              <w:jc w:val="right"/>
              <w:rPr>
                <w:rFonts w:ascii="標楷體" w:hAnsi="標楷體"/>
                <w:color w:val="000000" w:themeColor="text1"/>
                <w:sz w:val="20"/>
                <w:szCs w:val="20"/>
              </w:rPr>
            </w:pPr>
            <w:r w:rsidRPr="00D85D7E">
              <w:rPr>
                <w:rFonts w:ascii="標楷體" w:hAnsi="標楷體"/>
                <w:sz w:val="20"/>
                <w:szCs w:val="20"/>
              </w:rPr>
              <w:t>99.96</w:t>
            </w:r>
          </w:p>
        </w:tc>
        <w:tc>
          <w:tcPr>
            <w:tcW w:w="966" w:type="dxa"/>
            <w:noWrap/>
            <w:vAlign w:val="center"/>
          </w:tcPr>
          <w:p w14:paraId="4964C825" w14:textId="77777777" w:rsidR="00F649B3" w:rsidRPr="00D85D7E" w:rsidRDefault="00F649B3" w:rsidP="00A147E5">
            <w:pPr>
              <w:snapToGrid w:val="0"/>
              <w:spacing w:line="240" w:lineRule="exact"/>
              <w:jc w:val="right"/>
              <w:rPr>
                <w:rFonts w:ascii="標楷體" w:hAnsi="標楷體"/>
                <w:color w:val="000000" w:themeColor="text1"/>
                <w:sz w:val="20"/>
                <w:szCs w:val="20"/>
              </w:rPr>
            </w:pPr>
            <w:r w:rsidRPr="00D85D7E">
              <w:rPr>
                <w:rFonts w:ascii="標楷體" w:hAnsi="標楷體"/>
                <w:sz w:val="20"/>
                <w:szCs w:val="20"/>
              </w:rPr>
              <w:t>0.01</w:t>
            </w:r>
          </w:p>
        </w:tc>
        <w:tc>
          <w:tcPr>
            <w:tcW w:w="1302" w:type="dxa"/>
            <w:vAlign w:val="center"/>
          </w:tcPr>
          <w:p w14:paraId="3A5F07F6" w14:textId="77777777" w:rsidR="00F649B3" w:rsidRPr="00D85D7E" w:rsidRDefault="00F649B3" w:rsidP="00A147E5">
            <w:pPr>
              <w:snapToGrid w:val="0"/>
              <w:spacing w:line="240" w:lineRule="exact"/>
              <w:jc w:val="right"/>
              <w:rPr>
                <w:rFonts w:ascii="標楷體" w:hAnsi="標楷體"/>
                <w:color w:val="000000" w:themeColor="text1"/>
                <w:sz w:val="20"/>
                <w:szCs w:val="20"/>
              </w:rPr>
            </w:pPr>
            <w:r w:rsidRPr="00D85D7E">
              <w:rPr>
                <w:rFonts w:ascii="標楷體" w:hAnsi="標楷體"/>
                <w:sz w:val="20"/>
                <w:szCs w:val="20"/>
              </w:rPr>
              <w:t>0.01</w:t>
            </w:r>
          </w:p>
        </w:tc>
        <w:tc>
          <w:tcPr>
            <w:tcW w:w="1610" w:type="dxa"/>
            <w:vAlign w:val="center"/>
          </w:tcPr>
          <w:p w14:paraId="6AC13E02" w14:textId="77777777" w:rsidR="00F649B3" w:rsidRPr="00D85D7E" w:rsidRDefault="00F649B3" w:rsidP="00A147E5">
            <w:pPr>
              <w:snapToGrid w:val="0"/>
              <w:spacing w:line="240" w:lineRule="exact"/>
              <w:jc w:val="right"/>
              <w:rPr>
                <w:rFonts w:ascii="標楷體" w:hAnsi="標楷體"/>
                <w:sz w:val="20"/>
                <w:szCs w:val="20"/>
              </w:rPr>
            </w:pPr>
            <w:r w:rsidRPr="00D85D7E">
              <w:rPr>
                <w:rFonts w:ascii="標楷體" w:hAnsi="標楷體" w:hint="eastAsia"/>
                <w:sz w:val="20"/>
                <w:szCs w:val="20"/>
              </w:rPr>
              <w:t>－</w:t>
            </w:r>
          </w:p>
        </w:tc>
      </w:tr>
      <w:tr w:rsidR="00F649B3" w:rsidRPr="00E83452" w14:paraId="0956066A" w14:textId="77777777" w:rsidTr="005164FB">
        <w:trPr>
          <w:trHeight w:val="20"/>
          <w:jc w:val="center"/>
        </w:trPr>
        <w:tc>
          <w:tcPr>
            <w:tcW w:w="1735" w:type="dxa"/>
            <w:vMerge/>
            <w:vAlign w:val="center"/>
            <w:hideMark/>
          </w:tcPr>
          <w:p w14:paraId="24967F9D" w14:textId="77777777" w:rsidR="00F649B3" w:rsidRPr="00D85D7E" w:rsidRDefault="00F649B3" w:rsidP="00A147E5">
            <w:pPr>
              <w:spacing w:line="240" w:lineRule="exact"/>
              <w:rPr>
                <w:rFonts w:ascii="標楷體" w:hAnsi="標楷體" w:cs="新細明體"/>
                <w:color w:val="000000"/>
                <w:sz w:val="20"/>
                <w:szCs w:val="20"/>
              </w:rPr>
            </w:pPr>
          </w:p>
        </w:tc>
        <w:tc>
          <w:tcPr>
            <w:tcW w:w="3039" w:type="dxa"/>
            <w:shd w:val="clear" w:color="auto" w:fill="C5E0B3" w:themeFill="accent6" w:themeFillTint="66"/>
            <w:noWrap/>
            <w:vAlign w:val="center"/>
          </w:tcPr>
          <w:p w14:paraId="3CAA6348" w14:textId="77777777" w:rsidR="00F649B3" w:rsidRPr="00012EA2" w:rsidRDefault="00F649B3" w:rsidP="00A147E5">
            <w:pPr>
              <w:snapToGrid w:val="0"/>
              <w:spacing w:line="240" w:lineRule="exact"/>
              <w:jc w:val="both"/>
              <w:rPr>
                <w:rFonts w:ascii="標楷體" w:hAnsi="標楷體"/>
                <w:b/>
                <w:bCs/>
                <w:color w:val="000000" w:themeColor="text1"/>
                <w:sz w:val="20"/>
                <w:szCs w:val="20"/>
              </w:rPr>
            </w:pPr>
            <w:r w:rsidRPr="00012EA2">
              <w:rPr>
                <w:rFonts w:ascii="標楷體" w:hAnsi="標楷體" w:hint="eastAsia"/>
                <w:b/>
                <w:bCs/>
                <w:sz w:val="20"/>
                <w:szCs w:val="20"/>
              </w:rPr>
              <w:t>興達電廠燃氣機組更新改建計畫</w:t>
            </w:r>
          </w:p>
        </w:tc>
        <w:tc>
          <w:tcPr>
            <w:tcW w:w="714" w:type="dxa"/>
            <w:shd w:val="clear" w:color="auto" w:fill="C5E0B3" w:themeFill="accent6" w:themeFillTint="66"/>
            <w:noWrap/>
            <w:vAlign w:val="center"/>
          </w:tcPr>
          <w:p w14:paraId="6FAF924D" w14:textId="77777777" w:rsidR="00F649B3" w:rsidRPr="00012EA2" w:rsidRDefault="00F649B3" w:rsidP="00A147E5">
            <w:pPr>
              <w:snapToGrid w:val="0"/>
              <w:spacing w:line="240" w:lineRule="exact"/>
              <w:jc w:val="right"/>
              <w:rPr>
                <w:rFonts w:ascii="標楷體" w:hAnsi="標楷體"/>
                <w:b/>
                <w:bCs/>
                <w:color w:val="000000" w:themeColor="text1"/>
                <w:sz w:val="20"/>
                <w:szCs w:val="20"/>
              </w:rPr>
            </w:pPr>
            <w:r w:rsidRPr="00012EA2">
              <w:rPr>
                <w:rFonts w:ascii="標楷體" w:hAnsi="標楷體"/>
                <w:b/>
                <w:bCs/>
                <w:sz w:val="20"/>
                <w:szCs w:val="20"/>
              </w:rPr>
              <w:t>93.62</w:t>
            </w:r>
          </w:p>
        </w:tc>
        <w:tc>
          <w:tcPr>
            <w:tcW w:w="657" w:type="dxa"/>
            <w:shd w:val="clear" w:color="auto" w:fill="C5E0B3" w:themeFill="accent6" w:themeFillTint="66"/>
            <w:noWrap/>
            <w:vAlign w:val="center"/>
          </w:tcPr>
          <w:p w14:paraId="3D8C8950" w14:textId="77777777" w:rsidR="00F649B3" w:rsidRPr="00012EA2" w:rsidRDefault="00F649B3" w:rsidP="00A147E5">
            <w:pPr>
              <w:snapToGrid w:val="0"/>
              <w:spacing w:line="240" w:lineRule="exact"/>
              <w:jc w:val="right"/>
              <w:rPr>
                <w:rFonts w:ascii="標楷體" w:hAnsi="標楷體"/>
                <w:b/>
                <w:bCs/>
                <w:color w:val="000000" w:themeColor="text1"/>
                <w:sz w:val="20"/>
                <w:szCs w:val="20"/>
              </w:rPr>
            </w:pPr>
            <w:r w:rsidRPr="00012EA2">
              <w:rPr>
                <w:rFonts w:ascii="標楷體" w:hAnsi="標楷體"/>
                <w:b/>
                <w:bCs/>
                <w:sz w:val="20"/>
                <w:szCs w:val="20"/>
              </w:rPr>
              <w:t>91.97</w:t>
            </w:r>
          </w:p>
        </w:tc>
        <w:tc>
          <w:tcPr>
            <w:tcW w:w="966" w:type="dxa"/>
            <w:shd w:val="clear" w:color="auto" w:fill="C5E0B3" w:themeFill="accent6" w:themeFillTint="66"/>
            <w:noWrap/>
            <w:vAlign w:val="center"/>
          </w:tcPr>
          <w:p w14:paraId="537C86EC" w14:textId="77777777" w:rsidR="00F649B3" w:rsidRPr="00012EA2" w:rsidRDefault="00F649B3" w:rsidP="00A147E5">
            <w:pPr>
              <w:snapToGrid w:val="0"/>
              <w:spacing w:line="240" w:lineRule="exact"/>
              <w:jc w:val="right"/>
              <w:rPr>
                <w:rFonts w:ascii="標楷體" w:hAnsi="標楷體"/>
                <w:b/>
                <w:bCs/>
                <w:color w:val="000000" w:themeColor="text1"/>
                <w:sz w:val="20"/>
                <w:szCs w:val="20"/>
              </w:rPr>
            </w:pPr>
            <w:r w:rsidRPr="00012EA2">
              <w:rPr>
                <w:rFonts w:ascii="標楷體" w:hAnsi="標楷體"/>
                <w:b/>
                <w:bCs/>
                <w:sz w:val="20"/>
                <w:szCs w:val="20"/>
              </w:rPr>
              <w:t>1.65</w:t>
            </w:r>
          </w:p>
        </w:tc>
        <w:tc>
          <w:tcPr>
            <w:tcW w:w="1302" w:type="dxa"/>
            <w:shd w:val="clear" w:color="auto" w:fill="C5E0B3" w:themeFill="accent6" w:themeFillTint="66"/>
            <w:vAlign w:val="center"/>
          </w:tcPr>
          <w:p w14:paraId="6B50E2CC" w14:textId="77777777" w:rsidR="00F649B3" w:rsidRPr="00012EA2" w:rsidRDefault="00F649B3" w:rsidP="00A147E5">
            <w:pPr>
              <w:snapToGrid w:val="0"/>
              <w:spacing w:line="240" w:lineRule="exact"/>
              <w:jc w:val="right"/>
              <w:rPr>
                <w:rFonts w:ascii="標楷體" w:hAnsi="標楷體"/>
                <w:b/>
                <w:bCs/>
                <w:color w:val="000000" w:themeColor="text1"/>
                <w:sz w:val="20"/>
                <w:szCs w:val="20"/>
              </w:rPr>
            </w:pPr>
            <w:r w:rsidRPr="00012EA2">
              <w:rPr>
                <w:rFonts w:ascii="標楷體" w:hAnsi="標楷體"/>
                <w:b/>
                <w:bCs/>
                <w:sz w:val="20"/>
                <w:szCs w:val="20"/>
              </w:rPr>
              <w:t>1.60</w:t>
            </w:r>
          </w:p>
        </w:tc>
        <w:tc>
          <w:tcPr>
            <w:tcW w:w="1610" w:type="dxa"/>
            <w:shd w:val="clear" w:color="auto" w:fill="C5E0B3" w:themeFill="accent6" w:themeFillTint="66"/>
            <w:vAlign w:val="center"/>
          </w:tcPr>
          <w:p w14:paraId="1919AEDD" w14:textId="77777777" w:rsidR="00F649B3" w:rsidRPr="00012EA2" w:rsidRDefault="00F649B3" w:rsidP="00A147E5">
            <w:pPr>
              <w:snapToGrid w:val="0"/>
              <w:spacing w:line="240" w:lineRule="exact"/>
              <w:jc w:val="right"/>
              <w:rPr>
                <w:rFonts w:ascii="標楷體" w:hAnsi="標楷體"/>
                <w:b/>
                <w:bCs/>
                <w:sz w:val="20"/>
                <w:szCs w:val="20"/>
              </w:rPr>
            </w:pPr>
            <w:r>
              <w:rPr>
                <w:rFonts w:ascii="標楷體" w:hAnsi="標楷體" w:hint="eastAsia"/>
                <w:b/>
                <w:bCs/>
                <w:sz w:val="20"/>
                <w:szCs w:val="20"/>
              </w:rPr>
              <w:t>0</w:t>
            </w:r>
            <w:r>
              <w:rPr>
                <w:rFonts w:ascii="標楷體" w:hAnsi="標楷體"/>
                <w:b/>
                <w:bCs/>
                <w:sz w:val="20"/>
                <w:szCs w:val="20"/>
              </w:rPr>
              <w:t>.05</w:t>
            </w:r>
          </w:p>
        </w:tc>
      </w:tr>
      <w:tr w:rsidR="00F649B3" w:rsidRPr="00E83452" w14:paraId="7CF505B2" w14:textId="77777777" w:rsidTr="005164FB">
        <w:trPr>
          <w:trHeight w:val="20"/>
          <w:jc w:val="center"/>
        </w:trPr>
        <w:tc>
          <w:tcPr>
            <w:tcW w:w="1735" w:type="dxa"/>
            <w:vMerge/>
            <w:vAlign w:val="center"/>
            <w:hideMark/>
          </w:tcPr>
          <w:p w14:paraId="4440D7D7" w14:textId="77777777" w:rsidR="00F649B3" w:rsidRPr="00D85D7E" w:rsidRDefault="00F649B3" w:rsidP="00A147E5">
            <w:pPr>
              <w:spacing w:line="240" w:lineRule="exact"/>
              <w:rPr>
                <w:rFonts w:ascii="標楷體" w:hAnsi="標楷體" w:cs="新細明體"/>
                <w:color w:val="000000"/>
                <w:sz w:val="20"/>
                <w:szCs w:val="20"/>
              </w:rPr>
            </w:pPr>
          </w:p>
        </w:tc>
        <w:tc>
          <w:tcPr>
            <w:tcW w:w="3039" w:type="dxa"/>
            <w:shd w:val="clear" w:color="auto" w:fill="C5E0B3" w:themeFill="accent6" w:themeFillTint="66"/>
            <w:vAlign w:val="center"/>
          </w:tcPr>
          <w:p w14:paraId="06A529F4" w14:textId="77777777" w:rsidR="00F649B3" w:rsidRPr="00012EA2" w:rsidRDefault="00F649B3" w:rsidP="00A147E5">
            <w:pPr>
              <w:snapToGrid w:val="0"/>
              <w:spacing w:line="240" w:lineRule="exact"/>
              <w:jc w:val="both"/>
              <w:rPr>
                <w:rFonts w:ascii="標楷體" w:hAnsi="標楷體"/>
                <w:b/>
                <w:bCs/>
                <w:color w:val="000000" w:themeColor="text1"/>
                <w:sz w:val="20"/>
                <w:szCs w:val="20"/>
              </w:rPr>
            </w:pPr>
            <w:r w:rsidRPr="00012EA2">
              <w:rPr>
                <w:rFonts w:ascii="標楷體" w:hAnsi="標楷體" w:hint="eastAsia"/>
                <w:b/>
                <w:bCs/>
                <w:sz w:val="20"/>
                <w:szCs w:val="20"/>
              </w:rPr>
              <w:t>台中電廠新建燃氣機組計畫</w:t>
            </w:r>
          </w:p>
        </w:tc>
        <w:tc>
          <w:tcPr>
            <w:tcW w:w="714" w:type="dxa"/>
            <w:shd w:val="clear" w:color="auto" w:fill="C5E0B3" w:themeFill="accent6" w:themeFillTint="66"/>
            <w:noWrap/>
            <w:vAlign w:val="center"/>
          </w:tcPr>
          <w:p w14:paraId="094716C3" w14:textId="77777777" w:rsidR="00F649B3" w:rsidRPr="00012EA2" w:rsidRDefault="00F649B3" w:rsidP="00A147E5">
            <w:pPr>
              <w:snapToGrid w:val="0"/>
              <w:spacing w:line="240" w:lineRule="exact"/>
              <w:jc w:val="right"/>
              <w:rPr>
                <w:rFonts w:ascii="標楷體" w:hAnsi="標楷體"/>
                <w:b/>
                <w:bCs/>
                <w:color w:val="000000" w:themeColor="text1"/>
                <w:sz w:val="20"/>
                <w:szCs w:val="20"/>
              </w:rPr>
            </w:pPr>
            <w:r w:rsidRPr="00012EA2">
              <w:rPr>
                <w:rFonts w:ascii="標楷體" w:hAnsi="標楷體"/>
                <w:b/>
                <w:bCs/>
                <w:sz w:val="20"/>
                <w:szCs w:val="20"/>
              </w:rPr>
              <w:t>62.95</w:t>
            </w:r>
          </w:p>
        </w:tc>
        <w:tc>
          <w:tcPr>
            <w:tcW w:w="657" w:type="dxa"/>
            <w:shd w:val="clear" w:color="auto" w:fill="C5E0B3" w:themeFill="accent6" w:themeFillTint="66"/>
            <w:noWrap/>
            <w:vAlign w:val="center"/>
          </w:tcPr>
          <w:p w14:paraId="0740F542" w14:textId="77777777" w:rsidR="00F649B3" w:rsidRPr="00012EA2" w:rsidRDefault="00F649B3" w:rsidP="00A147E5">
            <w:pPr>
              <w:snapToGrid w:val="0"/>
              <w:spacing w:line="240" w:lineRule="exact"/>
              <w:jc w:val="right"/>
              <w:rPr>
                <w:rFonts w:ascii="標楷體" w:hAnsi="標楷體"/>
                <w:b/>
                <w:bCs/>
                <w:color w:val="000000" w:themeColor="text1"/>
                <w:sz w:val="20"/>
                <w:szCs w:val="20"/>
              </w:rPr>
            </w:pPr>
            <w:r w:rsidRPr="00012EA2">
              <w:rPr>
                <w:rFonts w:ascii="標楷體" w:hAnsi="標楷體"/>
                <w:b/>
                <w:bCs/>
                <w:sz w:val="20"/>
                <w:szCs w:val="20"/>
              </w:rPr>
              <w:t>61.96</w:t>
            </w:r>
          </w:p>
        </w:tc>
        <w:tc>
          <w:tcPr>
            <w:tcW w:w="966" w:type="dxa"/>
            <w:shd w:val="clear" w:color="auto" w:fill="C5E0B3" w:themeFill="accent6" w:themeFillTint="66"/>
            <w:noWrap/>
            <w:vAlign w:val="center"/>
          </w:tcPr>
          <w:p w14:paraId="620DA437" w14:textId="77777777" w:rsidR="00F649B3" w:rsidRPr="00012EA2" w:rsidRDefault="00F649B3" w:rsidP="00A147E5">
            <w:pPr>
              <w:snapToGrid w:val="0"/>
              <w:spacing w:line="240" w:lineRule="exact"/>
              <w:jc w:val="right"/>
              <w:rPr>
                <w:rFonts w:ascii="標楷體" w:hAnsi="標楷體"/>
                <w:b/>
                <w:bCs/>
                <w:color w:val="000000" w:themeColor="text1"/>
                <w:sz w:val="20"/>
                <w:szCs w:val="20"/>
              </w:rPr>
            </w:pPr>
            <w:r w:rsidRPr="00012EA2">
              <w:rPr>
                <w:rFonts w:ascii="標楷體" w:hAnsi="標楷體"/>
                <w:b/>
                <w:bCs/>
                <w:sz w:val="20"/>
                <w:szCs w:val="20"/>
              </w:rPr>
              <w:t xml:space="preserve"> 0.99</w:t>
            </w:r>
          </w:p>
        </w:tc>
        <w:tc>
          <w:tcPr>
            <w:tcW w:w="1302" w:type="dxa"/>
            <w:shd w:val="clear" w:color="auto" w:fill="C5E0B3" w:themeFill="accent6" w:themeFillTint="66"/>
            <w:vAlign w:val="center"/>
          </w:tcPr>
          <w:p w14:paraId="4061B782" w14:textId="77777777" w:rsidR="00F649B3" w:rsidRPr="00012EA2" w:rsidRDefault="00F649B3" w:rsidP="00A147E5">
            <w:pPr>
              <w:snapToGrid w:val="0"/>
              <w:spacing w:line="240" w:lineRule="exact"/>
              <w:jc w:val="right"/>
              <w:rPr>
                <w:rFonts w:ascii="標楷體" w:hAnsi="標楷體"/>
                <w:b/>
                <w:bCs/>
                <w:color w:val="000000" w:themeColor="text1"/>
                <w:sz w:val="20"/>
                <w:szCs w:val="20"/>
              </w:rPr>
            </w:pPr>
            <w:r w:rsidRPr="00012EA2">
              <w:rPr>
                <w:rFonts w:ascii="標楷體" w:hAnsi="標楷體"/>
                <w:b/>
                <w:bCs/>
                <w:sz w:val="20"/>
                <w:szCs w:val="20"/>
              </w:rPr>
              <w:t>0.51</w:t>
            </w:r>
          </w:p>
        </w:tc>
        <w:tc>
          <w:tcPr>
            <w:tcW w:w="1610" w:type="dxa"/>
            <w:shd w:val="clear" w:color="auto" w:fill="C5E0B3" w:themeFill="accent6" w:themeFillTint="66"/>
            <w:vAlign w:val="center"/>
          </w:tcPr>
          <w:p w14:paraId="7FC9D4C8" w14:textId="77777777" w:rsidR="00F649B3" w:rsidRPr="00012EA2" w:rsidRDefault="00F649B3" w:rsidP="00A147E5">
            <w:pPr>
              <w:snapToGrid w:val="0"/>
              <w:spacing w:line="240" w:lineRule="exact"/>
              <w:jc w:val="right"/>
              <w:rPr>
                <w:rFonts w:ascii="標楷體" w:hAnsi="標楷體"/>
                <w:b/>
                <w:bCs/>
                <w:sz w:val="20"/>
                <w:szCs w:val="20"/>
              </w:rPr>
            </w:pPr>
            <w:r>
              <w:rPr>
                <w:rFonts w:ascii="標楷體" w:hAnsi="標楷體" w:hint="eastAsia"/>
                <w:b/>
                <w:bCs/>
                <w:sz w:val="20"/>
                <w:szCs w:val="20"/>
              </w:rPr>
              <w:t>0</w:t>
            </w:r>
            <w:r>
              <w:rPr>
                <w:rFonts w:ascii="標楷體" w:hAnsi="標楷體"/>
                <w:b/>
                <w:bCs/>
                <w:sz w:val="20"/>
                <w:szCs w:val="20"/>
              </w:rPr>
              <w:t>.48</w:t>
            </w:r>
          </w:p>
        </w:tc>
      </w:tr>
      <w:tr w:rsidR="00F649B3" w:rsidRPr="00E83452" w14:paraId="46E9C401" w14:textId="77777777" w:rsidTr="001A67F7">
        <w:trPr>
          <w:trHeight w:val="397"/>
          <w:jc w:val="center"/>
        </w:trPr>
        <w:tc>
          <w:tcPr>
            <w:tcW w:w="1735" w:type="dxa"/>
            <w:vMerge/>
            <w:vAlign w:val="center"/>
            <w:hideMark/>
          </w:tcPr>
          <w:p w14:paraId="5EE88668" w14:textId="77777777" w:rsidR="00F649B3" w:rsidRPr="00D85D7E" w:rsidRDefault="00F649B3" w:rsidP="00A147E5">
            <w:pPr>
              <w:spacing w:line="240" w:lineRule="exact"/>
              <w:rPr>
                <w:rFonts w:ascii="標楷體" w:hAnsi="標楷體" w:cs="新細明體"/>
                <w:color w:val="000000"/>
                <w:sz w:val="20"/>
                <w:szCs w:val="20"/>
              </w:rPr>
            </w:pPr>
          </w:p>
        </w:tc>
        <w:tc>
          <w:tcPr>
            <w:tcW w:w="3039" w:type="dxa"/>
            <w:noWrap/>
            <w:vAlign w:val="center"/>
          </w:tcPr>
          <w:p w14:paraId="197930A8" w14:textId="77777777" w:rsidR="00F649B3" w:rsidRPr="00D85D7E" w:rsidRDefault="00F649B3" w:rsidP="00A147E5">
            <w:pPr>
              <w:snapToGrid w:val="0"/>
              <w:spacing w:line="240" w:lineRule="exact"/>
              <w:jc w:val="both"/>
              <w:rPr>
                <w:rFonts w:ascii="標楷體" w:hAnsi="標楷體"/>
                <w:color w:val="000000" w:themeColor="text1"/>
                <w:sz w:val="20"/>
                <w:szCs w:val="20"/>
              </w:rPr>
            </w:pPr>
            <w:r w:rsidRPr="00D85D7E">
              <w:rPr>
                <w:rFonts w:ascii="標楷體" w:hAnsi="標楷體" w:hint="eastAsia"/>
                <w:sz w:val="20"/>
                <w:szCs w:val="20"/>
              </w:rPr>
              <w:t>離岸風力發電第二期計畫</w:t>
            </w:r>
          </w:p>
        </w:tc>
        <w:tc>
          <w:tcPr>
            <w:tcW w:w="714" w:type="dxa"/>
            <w:noWrap/>
            <w:vAlign w:val="center"/>
          </w:tcPr>
          <w:p w14:paraId="594C4D95" w14:textId="77777777" w:rsidR="00F649B3" w:rsidRPr="00D85D7E" w:rsidRDefault="00F649B3" w:rsidP="00A147E5">
            <w:pPr>
              <w:snapToGrid w:val="0"/>
              <w:spacing w:line="240" w:lineRule="exact"/>
              <w:jc w:val="right"/>
              <w:rPr>
                <w:rFonts w:ascii="標楷體" w:hAnsi="標楷體"/>
                <w:color w:val="000000" w:themeColor="text1"/>
                <w:sz w:val="20"/>
                <w:szCs w:val="20"/>
              </w:rPr>
            </w:pPr>
            <w:r w:rsidRPr="00D85D7E">
              <w:rPr>
                <w:rFonts w:ascii="標楷體" w:hAnsi="標楷體"/>
                <w:sz w:val="20"/>
                <w:szCs w:val="20"/>
              </w:rPr>
              <w:t>97.95</w:t>
            </w:r>
          </w:p>
        </w:tc>
        <w:tc>
          <w:tcPr>
            <w:tcW w:w="657" w:type="dxa"/>
            <w:noWrap/>
            <w:vAlign w:val="center"/>
          </w:tcPr>
          <w:p w14:paraId="5F4941F1" w14:textId="77777777" w:rsidR="00F649B3" w:rsidRPr="00D85D7E" w:rsidRDefault="00F649B3" w:rsidP="00A147E5">
            <w:pPr>
              <w:snapToGrid w:val="0"/>
              <w:spacing w:line="240" w:lineRule="exact"/>
              <w:jc w:val="right"/>
              <w:rPr>
                <w:rFonts w:ascii="標楷體" w:hAnsi="標楷體"/>
                <w:color w:val="000000" w:themeColor="text1"/>
                <w:sz w:val="20"/>
                <w:szCs w:val="20"/>
              </w:rPr>
            </w:pPr>
            <w:r w:rsidRPr="00D85D7E">
              <w:rPr>
                <w:rFonts w:ascii="標楷體" w:hAnsi="標楷體"/>
                <w:sz w:val="20"/>
                <w:szCs w:val="20"/>
              </w:rPr>
              <w:t>91.76</w:t>
            </w:r>
          </w:p>
        </w:tc>
        <w:tc>
          <w:tcPr>
            <w:tcW w:w="966" w:type="dxa"/>
            <w:noWrap/>
            <w:vAlign w:val="center"/>
          </w:tcPr>
          <w:p w14:paraId="18739B36" w14:textId="77777777" w:rsidR="00F649B3" w:rsidRPr="00D85D7E" w:rsidRDefault="00F649B3" w:rsidP="00A147E5">
            <w:pPr>
              <w:snapToGrid w:val="0"/>
              <w:spacing w:line="240" w:lineRule="exact"/>
              <w:jc w:val="right"/>
              <w:rPr>
                <w:rFonts w:ascii="標楷體" w:hAnsi="標楷體"/>
                <w:bCs/>
                <w:color w:val="000000" w:themeColor="text1"/>
                <w:sz w:val="20"/>
                <w:szCs w:val="20"/>
              </w:rPr>
            </w:pPr>
            <w:r w:rsidRPr="00D85D7E">
              <w:rPr>
                <w:rFonts w:ascii="標楷體" w:hAnsi="標楷體"/>
                <w:sz w:val="20"/>
                <w:szCs w:val="20"/>
              </w:rPr>
              <w:t xml:space="preserve"> 6.19</w:t>
            </w:r>
          </w:p>
        </w:tc>
        <w:tc>
          <w:tcPr>
            <w:tcW w:w="1302" w:type="dxa"/>
            <w:vAlign w:val="center"/>
          </w:tcPr>
          <w:p w14:paraId="2616263C" w14:textId="77777777" w:rsidR="00F649B3" w:rsidRPr="00D85D7E" w:rsidRDefault="00F649B3" w:rsidP="00A147E5">
            <w:pPr>
              <w:snapToGrid w:val="0"/>
              <w:spacing w:line="240" w:lineRule="exact"/>
              <w:jc w:val="right"/>
              <w:rPr>
                <w:rFonts w:ascii="標楷體" w:hAnsi="標楷體"/>
                <w:bCs/>
                <w:color w:val="000000" w:themeColor="text1"/>
                <w:sz w:val="20"/>
                <w:szCs w:val="20"/>
              </w:rPr>
            </w:pPr>
            <w:r w:rsidRPr="00D85D7E">
              <w:rPr>
                <w:rFonts w:ascii="標楷體" w:hAnsi="標楷體"/>
                <w:sz w:val="20"/>
                <w:szCs w:val="20"/>
              </w:rPr>
              <w:t>10.62</w:t>
            </w:r>
          </w:p>
        </w:tc>
        <w:tc>
          <w:tcPr>
            <w:tcW w:w="1610" w:type="dxa"/>
            <w:vAlign w:val="center"/>
          </w:tcPr>
          <w:p w14:paraId="3AC58771" w14:textId="77777777" w:rsidR="00F649B3" w:rsidRPr="00D85D7E" w:rsidRDefault="00F649B3" w:rsidP="00A147E5">
            <w:pPr>
              <w:snapToGrid w:val="0"/>
              <w:spacing w:line="240" w:lineRule="exact"/>
              <w:jc w:val="right"/>
              <w:rPr>
                <w:rFonts w:ascii="標楷體" w:hAnsi="標楷體"/>
                <w:sz w:val="20"/>
                <w:szCs w:val="20"/>
              </w:rPr>
            </w:pPr>
            <w:r>
              <w:rPr>
                <w:rFonts w:ascii="標楷體" w:hAnsi="標楷體" w:hint="eastAsia"/>
                <w:sz w:val="20"/>
                <w:szCs w:val="20"/>
              </w:rPr>
              <w:t>-</w:t>
            </w:r>
            <w:r>
              <w:rPr>
                <w:rFonts w:ascii="標楷體" w:hAnsi="標楷體"/>
                <w:sz w:val="20"/>
                <w:szCs w:val="20"/>
              </w:rPr>
              <w:t xml:space="preserve"> 4.43</w:t>
            </w:r>
          </w:p>
        </w:tc>
      </w:tr>
      <w:tr w:rsidR="00F649B3" w:rsidRPr="00E83452" w14:paraId="0A60097E" w14:textId="77777777" w:rsidTr="005164FB">
        <w:trPr>
          <w:trHeight w:val="397"/>
          <w:jc w:val="center"/>
        </w:trPr>
        <w:tc>
          <w:tcPr>
            <w:tcW w:w="1735" w:type="dxa"/>
            <w:vMerge/>
            <w:vAlign w:val="center"/>
            <w:hideMark/>
          </w:tcPr>
          <w:p w14:paraId="11113EEC" w14:textId="77777777" w:rsidR="00F649B3" w:rsidRPr="00D85D7E" w:rsidRDefault="00F649B3" w:rsidP="00A147E5">
            <w:pPr>
              <w:spacing w:line="240" w:lineRule="exact"/>
              <w:rPr>
                <w:rFonts w:ascii="標楷體" w:hAnsi="標楷體" w:cs="新細明體"/>
                <w:color w:val="000000"/>
                <w:sz w:val="20"/>
                <w:szCs w:val="20"/>
              </w:rPr>
            </w:pPr>
          </w:p>
        </w:tc>
        <w:tc>
          <w:tcPr>
            <w:tcW w:w="3039" w:type="dxa"/>
            <w:shd w:val="clear" w:color="auto" w:fill="C5E0B3" w:themeFill="accent6" w:themeFillTint="66"/>
            <w:noWrap/>
            <w:vAlign w:val="center"/>
          </w:tcPr>
          <w:p w14:paraId="5DA78E11" w14:textId="77777777" w:rsidR="00F649B3" w:rsidRPr="00012EA2" w:rsidRDefault="00F649B3" w:rsidP="00A147E5">
            <w:pPr>
              <w:snapToGrid w:val="0"/>
              <w:spacing w:line="240" w:lineRule="exact"/>
              <w:jc w:val="both"/>
              <w:rPr>
                <w:rFonts w:ascii="標楷體" w:hAnsi="標楷體"/>
                <w:b/>
                <w:bCs/>
                <w:color w:val="000000" w:themeColor="text1"/>
                <w:sz w:val="20"/>
                <w:szCs w:val="20"/>
              </w:rPr>
            </w:pPr>
            <w:r w:rsidRPr="00012EA2">
              <w:rPr>
                <w:rFonts w:ascii="標楷體" w:hAnsi="標楷體" w:hint="eastAsia"/>
                <w:b/>
                <w:bCs/>
                <w:sz w:val="20"/>
                <w:szCs w:val="20"/>
              </w:rPr>
              <w:t>北區二期輸變電專案計畫</w:t>
            </w:r>
          </w:p>
        </w:tc>
        <w:tc>
          <w:tcPr>
            <w:tcW w:w="714" w:type="dxa"/>
            <w:shd w:val="clear" w:color="auto" w:fill="C5E0B3" w:themeFill="accent6" w:themeFillTint="66"/>
            <w:noWrap/>
            <w:vAlign w:val="center"/>
          </w:tcPr>
          <w:p w14:paraId="00021412" w14:textId="77777777" w:rsidR="00F649B3" w:rsidRPr="00012EA2" w:rsidRDefault="00F649B3" w:rsidP="00A147E5">
            <w:pPr>
              <w:snapToGrid w:val="0"/>
              <w:spacing w:line="240" w:lineRule="exact"/>
              <w:jc w:val="right"/>
              <w:rPr>
                <w:rFonts w:ascii="標楷體" w:hAnsi="標楷體"/>
                <w:b/>
                <w:bCs/>
                <w:color w:val="000000" w:themeColor="text1"/>
                <w:sz w:val="20"/>
                <w:szCs w:val="20"/>
              </w:rPr>
            </w:pPr>
            <w:r w:rsidRPr="00012EA2">
              <w:rPr>
                <w:rFonts w:ascii="標楷體" w:hAnsi="標楷體"/>
                <w:b/>
                <w:bCs/>
                <w:sz w:val="20"/>
                <w:szCs w:val="20"/>
              </w:rPr>
              <w:t>56.32</w:t>
            </w:r>
          </w:p>
        </w:tc>
        <w:tc>
          <w:tcPr>
            <w:tcW w:w="657" w:type="dxa"/>
            <w:shd w:val="clear" w:color="auto" w:fill="C5E0B3" w:themeFill="accent6" w:themeFillTint="66"/>
            <w:noWrap/>
            <w:vAlign w:val="center"/>
          </w:tcPr>
          <w:p w14:paraId="6AC8AD9C" w14:textId="77777777" w:rsidR="00F649B3" w:rsidRPr="00012EA2" w:rsidRDefault="00F649B3" w:rsidP="00A147E5">
            <w:pPr>
              <w:snapToGrid w:val="0"/>
              <w:spacing w:line="240" w:lineRule="exact"/>
              <w:jc w:val="right"/>
              <w:rPr>
                <w:rFonts w:ascii="標楷體" w:hAnsi="標楷體"/>
                <w:b/>
                <w:bCs/>
                <w:color w:val="000000" w:themeColor="text1"/>
                <w:sz w:val="20"/>
                <w:szCs w:val="20"/>
              </w:rPr>
            </w:pPr>
            <w:r w:rsidRPr="00012EA2">
              <w:rPr>
                <w:rFonts w:ascii="標楷體" w:hAnsi="標楷體"/>
                <w:b/>
                <w:bCs/>
                <w:sz w:val="20"/>
                <w:szCs w:val="20"/>
              </w:rPr>
              <w:t>20.93</w:t>
            </w:r>
          </w:p>
        </w:tc>
        <w:tc>
          <w:tcPr>
            <w:tcW w:w="966" w:type="dxa"/>
            <w:shd w:val="clear" w:color="auto" w:fill="C5E0B3" w:themeFill="accent6" w:themeFillTint="66"/>
            <w:noWrap/>
            <w:vAlign w:val="center"/>
          </w:tcPr>
          <w:p w14:paraId="2FB926EC" w14:textId="77777777" w:rsidR="00F649B3" w:rsidRPr="00012EA2" w:rsidRDefault="00F649B3" w:rsidP="00A147E5">
            <w:pPr>
              <w:snapToGrid w:val="0"/>
              <w:spacing w:line="240" w:lineRule="exact"/>
              <w:jc w:val="right"/>
              <w:rPr>
                <w:rFonts w:ascii="標楷體" w:hAnsi="標楷體"/>
                <w:b/>
                <w:bCs/>
                <w:color w:val="000000" w:themeColor="text1"/>
                <w:sz w:val="20"/>
                <w:szCs w:val="20"/>
              </w:rPr>
            </w:pPr>
            <w:r w:rsidRPr="00012EA2">
              <w:rPr>
                <w:rFonts w:ascii="標楷體" w:hAnsi="標楷體"/>
                <w:b/>
                <w:bCs/>
                <w:sz w:val="20"/>
                <w:szCs w:val="20"/>
              </w:rPr>
              <w:t>35.39</w:t>
            </w:r>
          </w:p>
        </w:tc>
        <w:tc>
          <w:tcPr>
            <w:tcW w:w="1302" w:type="dxa"/>
            <w:shd w:val="clear" w:color="auto" w:fill="C5E0B3" w:themeFill="accent6" w:themeFillTint="66"/>
            <w:vAlign w:val="center"/>
          </w:tcPr>
          <w:p w14:paraId="6D16E6B3" w14:textId="77777777" w:rsidR="00F649B3" w:rsidRPr="00012EA2" w:rsidRDefault="00F649B3" w:rsidP="00A147E5">
            <w:pPr>
              <w:snapToGrid w:val="0"/>
              <w:spacing w:line="240" w:lineRule="exact"/>
              <w:jc w:val="right"/>
              <w:rPr>
                <w:rFonts w:ascii="標楷體" w:hAnsi="標楷體"/>
                <w:b/>
                <w:bCs/>
                <w:color w:val="000000" w:themeColor="text1"/>
                <w:sz w:val="20"/>
                <w:szCs w:val="20"/>
              </w:rPr>
            </w:pPr>
            <w:r w:rsidRPr="00012EA2">
              <w:rPr>
                <w:rFonts w:ascii="標楷體" w:hAnsi="標楷體"/>
                <w:b/>
                <w:bCs/>
                <w:sz w:val="20"/>
                <w:szCs w:val="20"/>
              </w:rPr>
              <w:t>19.10</w:t>
            </w:r>
          </w:p>
        </w:tc>
        <w:tc>
          <w:tcPr>
            <w:tcW w:w="1610" w:type="dxa"/>
            <w:shd w:val="clear" w:color="auto" w:fill="C5E0B3" w:themeFill="accent6" w:themeFillTint="66"/>
            <w:vAlign w:val="center"/>
          </w:tcPr>
          <w:p w14:paraId="229D5F5C" w14:textId="77777777" w:rsidR="00F649B3" w:rsidRPr="00012EA2" w:rsidRDefault="00F649B3" w:rsidP="00A147E5">
            <w:pPr>
              <w:snapToGrid w:val="0"/>
              <w:spacing w:line="240" w:lineRule="exact"/>
              <w:jc w:val="right"/>
              <w:rPr>
                <w:rFonts w:ascii="標楷體" w:hAnsi="標楷體"/>
                <w:b/>
                <w:bCs/>
                <w:sz w:val="20"/>
                <w:szCs w:val="20"/>
              </w:rPr>
            </w:pPr>
            <w:r>
              <w:rPr>
                <w:rFonts w:ascii="標楷體" w:hAnsi="標楷體" w:hint="eastAsia"/>
                <w:b/>
                <w:bCs/>
                <w:sz w:val="20"/>
                <w:szCs w:val="20"/>
              </w:rPr>
              <w:t>1</w:t>
            </w:r>
            <w:r>
              <w:rPr>
                <w:rFonts w:ascii="標楷體" w:hAnsi="標楷體"/>
                <w:b/>
                <w:bCs/>
                <w:sz w:val="20"/>
                <w:szCs w:val="20"/>
              </w:rPr>
              <w:t>6.29</w:t>
            </w:r>
          </w:p>
        </w:tc>
      </w:tr>
      <w:tr w:rsidR="00F649B3" w:rsidRPr="00E83452" w14:paraId="73C08A23" w14:textId="77777777" w:rsidTr="005164FB">
        <w:trPr>
          <w:trHeight w:val="397"/>
          <w:jc w:val="center"/>
        </w:trPr>
        <w:tc>
          <w:tcPr>
            <w:tcW w:w="1735" w:type="dxa"/>
            <w:vMerge/>
            <w:vAlign w:val="center"/>
            <w:hideMark/>
          </w:tcPr>
          <w:p w14:paraId="2158DBAD" w14:textId="77777777" w:rsidR="00F649B3" w:rsidRPr="00D85D7E" w:rsidRDefault="00F649B3" w:rsidP="00A147E5">
            <w:pPr>
              <w:spacing w:line="240" w:lineRule="exact"/>
              <w:rPr>
                <w:rFonts w:ascii="標楷體" w:hAnsi="標楷體" w:cs="新細明體"/>
                <w:color w:val="000000"/>
                <w:sz w:val="20"/>
                <w:szCs w:val="20"/>
              </w:rPr>
            </w:pPr>
          </w:p>
        </w:tc>
        <w:tc>
          <w:tcPr>
            <w:tcW w:w="3039" w:type="dxa"/>
            <w:shd w:val="clear" w:color="auto" w:fill="C5E0B3" w:themeFill="accent6" w:themeFillTint="66"/>
            <w:noWrap/>
            <w:vAlign w:val="center"/>
          </w:tcPr>
          <w:p w14:paraId="68F03876" w14:textId="77777777" w:rsidR="00F649B3" w:rsidRPr="00012EA2" w:rsidRDefault="00F649B3" w:rsidP="00A147E5">
            <w:pPr>
              <w:snapToGrid w:val="0"/>
              <w:spacing w:line="240" w:lineRule="exact"/>
              <w:jc w:val="both"/>
              <w:rPr>
                <w:rFonts w:ascii="標楷體" w:hAnsi="標楷體"/>
                <w:b/>
                <w:bCs/>
                <w:color w:val="000000" w:themeColor="text1"/>
                <w:sz w:val="20"/>
                <w:szCs w:val="20"/>
              </w:rPr>
            </w:pPr>
            <w:r w:rsidRPr="00012EA2">
              <w:rPr>
                <w:rFonts w:ascii="標楷體" w:hAnsi="標楷體" w:hint="eastAsia"/>
                <w:b/>
                <w:bCs/>
                <w:sz w:val="20"/>
                <w:szCs w:val="20"/>
              </w:rPr>
              <w:t>臺北及高雄中央調度中心大樓新建工程</w:t>
            </w:r>
          </w:p>
        </w:tc>
        <w:tc>
          <w:tcPr>
            <w:tcW w:w="714" w:type="dxa"/>
            <w:shd w:val="clear" w:color="auto" w:fill="C5E0B3" w:themeFill="accent6" w:themeFillTint="66"/>
            <w:noWrap/>
            <w:vAlign w:val="center"/>
          </w:tcPr>
          <w:p w14:paraId="62B3050B" w14:textId="77777777" w:rsidR="00F649B3" w:rsidRPr="00012EA2" w:rsidRDefault="00F649B3" w:rsidP="00A147E5">
            <w:pPr>
              <w:snapToGrid w:val="0"/>
              <w:spacing w:line="240" w:lineRule="exact"/>
              <w:jc w:val="right"/>
              <w:rPr>
                <w:rFonts w:ascii="標楷體" w:hAnsi="標楷體"/>
                <w:b/>
                <w:bCs/>
                <w:color w:val="000000" w:themeColor="text1"/>
                <w:sz w:val="20"/>
                <w:szCs w:val="20"/>
              </w:rPr>
            </w:pPr>
            <w:r w:rsidRPr="00012EA2">
              <w:rPr>
                <w:rFonts w:ascii="標楷體" w:hAnsi="標楷體"/>
                <w:b/>
                <w:bCs/>
                <w:sz w:val="20"/>
                <w:szCs w:val="20"/>
              </w:rPr>
              <w:t>0.40</w:t>
            </w:r>
          </w:p>
        </w:tc>
        <w:tc>
          <w:tcPr>
            <w:tcW w:w="657" w:type="dxa"/>
            <w:shd w:val="clear" w:color="auto" w:fill="C5E0B3" w:themeFill="accent6" w:themeFillTint="66"/>
            <w:noWrap/>
            <w:vAlign w:val="center"/>
          </w:tcPr>
          <w:p w14:paraId="08D572B5" w14:textId="77777777" w:rsidR="00F649B3" w:rsidRPr="00012EA2" w:rsidRDefault="00F649B3" w:rsidP="00A147E5">
            <w:pPr>
              <w:snapToGrid w:val="0"/>
              <w:spacing w:line="240" w:lineRule="exact"/>
              <w:jc w:val="right"/>
              <w:rPr>
                <w:rFonts w:ascii="標楷體" w:hAnsi="標楷體"/>
                <w:b/>
                <w:bCs/>
                <w:color w:val="000000" w:themeColor="text1"/>
                <w:sz w:val="20"/>
                <w:szCs w:val="20"/>
              </w:rPr>
            </w:pPr>
            <w:r w:rsidRPr="00012EA2">
              <w:rPr>
                <w:rFonts w:ascii="標楷體" w:hAnsi="標楷體"/>
                <w:b/>
                <w:bCs/>
                <w:sz w:val="20"/>
                <w:szCs w:val="20"/>
              </w:rPr>
              <w:t>0.20</w:t>
            </w:r>
          </w:p>
        </w:tc>
        <w:tc>
          <w:tcPr>
            <w:tcW w:w="966" w:type="dxa"/>
            <w:shd w:val="clear" w:color="auto" w:fill="C5E0B3" w:themeFill="accent6" w:themeFillTint="66"/>
            <w:noWrap/>
            <w:vAlign w:val="center"/>
          </w:tcPr>
          <w:p w14:paraId="7F9E38F5" w14:textId="77777777" w:rsidR="00F649B3" w:rsidRPr="00012EA2" w:rsidRDefault="00F649B3" w:rsidP="00A147E5">
            <w:pPr>
              <w:snapToGrid w:val="0"/>
              <w:spacing w:line="240" w:lineRule="exact"/>
              <w:jc w:val="right"/>
              <w:rPr>
                <w:rFonts w:ascii="標楷體" w:hAnsi="標楷體"/>
                <w:b/>
                <w:bCs/>
                <w:color w:val="000000" w:themeColor="text1"/>
                <w:sz w:val="20"/>
                <w:szCs w:val="20"/>
              </w:rPr>
            </w:pPr>
            <w:r w:rsidRPr="00012EA2">
              <w:rPr>
                <w:rFonts w:ascii="標楷體" w:hAnsi="標楷體"/>
                <w:b/>
                <w:bCs/>
                <w:sz w:val="20"/>
                <w:szCs w:val="20"/>
              </w:rPr>
              <w:t xml:space="preserve"> 0.20</w:t>
            </w:r>
          </w:p>
        </w:tc>
        <w:tc>
          <w:tcPr>
            <w:tcW w:w="1302" w:type="dxa"/>
            <w:shd w:val="clear" w:color="auto" w:fill="C5E0B3" w:themeFill="accent6" w:themeFillTint="66"/>
            <w:vAlign w:val="center"/>
          </w:tcPr>
          <w:p w14:paraId="73FBF979" w14:textId="77777777" w:rsidR="00F649B3" w:rsidRPr="00012EA2" w:rsidRDefault="00F649B3" w:rsidP="00A147E5">
            <w:pPr>
              <w:snapToGrid w:val="0"/>
              <w:spacing w:line="240" w:lineRule="exact"/>
              <w:jc w:val="right"/>
              <w:rPr>
                <w:rFonts w:ascii="標楷體" w:hAnsi="標楷體"/>
                <w:b/>
                <w:bCs/>
                <w:color w:val="000000" w:themeColor="text1"/>
                <w:sz w:val="20"/>
                <w:szCs w:val="20"/>
              </w:rPr>
            </w:pPr>
            <w:r w:rsidRPr="00012EA2">
              <w:rPr>
                <w:rFonts w:ascii="標楷體" w:hAnsi="標楷體"/>
                <w:b/>
                <w:bCs/>
                <w:sz w:val="20"/>
                <w:szCs w:val="20"/>
              </w:rPr>
              <w:t>0.18</w:t>
            </w:r>
          </w:p>
        </w:tc>
        <w:tc>
          <w:tcPr>
            <w:tcW w:w="1610" w:type="dxa"/>
            <w:shd w:val="clear" w:color="auto" w:fill="C5E0B3" w:themeFill="accent6" w:themeFillTint="66"/>
            <w:vAlign w:val="center"/>
          </w:tcPr>
          <w:p w14:paraId="249E9B82" w14:textId="77777777" w:rsidR="00F649B3" w:rsidRPr="00012EA2" w:rsidRDefault="00F649B3" w:rsidP="00A147E5">
            <w:pPr>
              <w:snapToGrid w:val="0"/>
              <w:spacing w:line="240" w:lineRule="exact"/>
              <w:jc w:val="right"/>
              <w:rPr>
                <w:rFonts w:ascii="標楷體" w:hAnsi="標楷體"/>
                <w:b/>
                <w:bCs/>
                <w:sz w:val="20"/>
                <w:szCs w:val="20"/>
              </w:rPr>
            </w:pPr>
            <w:r>
              <w:rPr>
                <w:rFonts w:ascii="標楷體" w:hAnsi="標楷體" w:hint="eastAsia"/>
                <w:b/>
                <w:bCs/>
                <w:sz w:val="20"/>
                <w:szCs w:val="20"/>
              </w:rPr>
              <w:t>0</w:t>
            </w:r>
            <w:r>
              <w:rPr>
                <w:rFonts w:ascii="標楷體" w:hAnsi="標楷體"/>
                <w:b/>
                <w:bCs/>
                <w:sz w:val="20"/>
                <w:szCs w:val="20"/>
              </w:rPr>
              <w:t>.02</w:t>
            </w:r>
          </w:p>
        </w:tc>
      </w:tr>
      <w:tr w:rsidR="00F649B3" w:rsidRPr="00E83452" w14:paraId="6FFD9503" w14:textId="77777777" w:rsidTr="001A67F7">
        <w:trPr>
          <w:trHeight w:val="606"/>
          <w:jc w:val="center"/>
        </w:trPr>
        <w:tc>
          <w:tcPr>
            <w:tcW w:w="1735" w:type="dxa"/>
            <w:vMerge w:val="restart"/>
            <w:vAlign w:val="center"/>
            <w:hideMark/>
          </w:tcPr>
          <w:p w14:paraId="3C805E98" w14:textId="77777777" w:rsidR="00F649B3" w:rsidRPr="00D85D7E" w:rsidRDefault="00F649B3" w:rsidP="00A147E5">
            <w:pPr>
              <w:spacing w:line="240" w:lineRule="exact"/>
              <w:jc w:val="center"/>
              <w:rPr>
                <w:rFonts w:ascii="標楷體" w:hAnsi="標楷體"/>
                <w:color w:val="000000"/>
                <w:sz w:val="20"/>
                <w:szCs w:val="20"/>
              </w:rPr>
            </w:pPr>
            <w:r w:rsidRPr="00D85D7E">
              <w:rPr>
                <w:rFonts w:ascii="標楷體" w:hAnsi="標楷體" w:hint="eastAsia"/>
                <w:color w:val="000000"/>
                <w:spacing w:val="-4"/>
                <w:sz w:val="20"/>
                <w:szCs w:val="20"/>
              </w:rPr>
              <w:t>台灣自來</w:t>
            </w:r>
            <w:r w:rsidRPr="00D85D7E">
              <w:rPr>
                <w:rFonts w:ascii="標楷體" w:hAnsi="標楷體" w:hint="eastAsia"/>
                <w:color w:val="000000"/>
                <w:sz w:val="20"/>
                <w:szCs w:val="20"/>
              </w:rPr>
              <w:t>水公司</w:t>
            </w:r>
            <w:r w:rsidRPr="00D85D7E">
              <w:rPr>
                <w:rFonts w:ascii="標楷體" w:hAnsi="標楷體" w:hint="eastAsia"/>
                <w:color w:val="000000"/>
                <w:sz w:val="20"/>
                <w:szCs w:val="20"/>
              </w:rPr>
              <w:br/>
            </w:r>
            <w:r>
              <w:rPr>
                <w:rFonts w:ascii="標楷體" w:hAnsi="標楷體" w:hint="eastAsia"/>
                <w:color w:val="000000"/>
                <w:sz w:val="20"/>
                <w:szCs w:val="20"/>
              </w:rPr>
              <w:t>（</w:t>
            </w:r>
            <w:r w:rsidRPr="00D85D7E">
              <w:rPr>
                <w:rFonts w:ascii="標楷體" w:hAnsi="標楷體"/>
                <w:color w:val="000000"/>
                <w:sz w:val="20"/>
                <w:szCs w:val="20"/>
              </w:rPr>
              <w:t>3</w:t>
            </w:r>
            <w:r w:rsidRPr="00D85D7E">
              <w:rPr>
                <w:rFonts w:ascii="標楷體" w:hAnsi="標楷體" w:hint="eastAsia"/>
                <w:color w:val="000000"/>
                <w:sz w:val="20"/>
                <w:szCs w:val="20"/>
              </w:rPr>
              <w:t>項</w:t>
            </w:r>
            <w:r>
              <w:rPr>
                <w:rFonts w:ascii="標楷體" w:hAnsi="標楷體" w:hint="eastAsia"/>
                <w:color w:val="000000"/>
                <w:sz w:val="20"/>
                <w:szCs w:val="20"/>
              </w:rPr>
              <w:t>）</w:t>
            </w:r>
          </w:p>
        </w:tc>
        <w:tc>
          <w:tcPr>
            <w:tcW w:w="3039" w:type="dxa"/>
            <w:vAlign w:val="center"/>
          </w:tcPr>
          <w:p w14:paraId="23B9CD0E" w14:textId="77777777" w:rsidR="00F649B3" w:rsidRPr="00D85D7E" w:rsidRDefault="00F649B3" w:rsidP="00A147E5">
            <w:pPr>
              <w:snapToGrid w:val="0"/>
              <w:spacing w:line="240" w:lineRule="exact"/>
              <w:jc w:val="both"/>
              <w:rPr>
                <w:rFonts w:ascii="標楷體" w:hAnsi="標楷體"/>
                <w:b/>
                <w:color w:val="000000" w:themeColor="text1"/>
                <w:sz w:val="20"/>
                <w:szCs w:val="20"/>
              </w:rPr>
            </w:pPr>
            <w:r w:rsidRPr="00D85D7E">
              <w:rPr>
                <w:rFonts w:ascii="標楷體" w:hAnsi="標楷體" w:hint="eastAsia"/>
                <w:sz w:val="20"/>
                <w:szCs w:val="20"/>
              </w:rPr>
              <w:t>降低漏水率計畫</w:t>
            </w:r>
            <w:r>
              <w:rPr>
                <w:rFonts w:ascii="標楷體" w:hAnsi="標楷體" w:hint="eastAsia"/>
                <w:sz w:val="20"/>
                <w:szCs w:val="20"/>
              </w:rPr>
              <w:t>（</w:t>
            </w:r>
            <w:r w:rsidRPr="00D85D7E">
              <w:rPr>
                <w:rFonts w:ascii="標楷體" w:hAnsi="標楷體" w:hint="eastAsia"/>
                <w:sz w:val="20"/>
                <w:szCs w:val="20"/>
              </w:rPr>
              <w:t>102至113年</w:t>
            </w:r>
            <w:r>
              <w:rPr>
                <w:rFonts w:ascii="標楷體" w:hAnsi="標楷體" w:hint="eastAsia"/>
                <w:sz w:val="20"/>
                <w:szCs w:val="20"/>
              </w:rPr>
              <w:t>）</w:t>
            </w:r>
          </w:p>
        </w:tc>
        <w:tc>
          <w:tcPr>
            <w:tcW w:w="714" w:type="dxa"/>
            <w:vAlign w:val="center"/>
          </w:tcPr>
          <w:p w14:paraId="29FC51C7" w14:textId="77777777" w:rsidR="00F649B3" w:rsidRPr="00D85D7E" w:rsidRDefault="00F649B3" w:rsidP="00A147E5">
            <w:pPr>
              <w:snapToGrid w:val="0"/>
              <w:spacing w:line="240" w:lineRule="exact"/>
              <w:jc w:val="right"/>
              <w:rPr>
                <w:rFonts w:ascii="標楷體" w:hAnsi="標楷體"/>
                <w:color w:val="000000" w:themeColor="text1"/>
                <w:sz w:val="20"/>
                <w:szCs w:val="20"/>
              </w:rPr>
            </w:pPr>
            <w:r w:rsidRPr="00D85D7E">
              <w:rPr>
                <w:rFonts w:ascii="標楷體" w:hAnsi="標楷體" w:hint="eastAsia"/>
                <w:sz w:val="20"/>
                <w:szCs w:val="20"/>
              </w:rPr>
              <w:t>100.00</w:t>
            </w:r>
          </w:p>
        </w:tc>
        <w:tc>
          <w:tcPr>
            <w:tcW w:w="657" w:type="dxa"/>
            <w:vAlign w:val="center"/>
          </w:tcPr>
          <w:p w14:paraId="4FDA01E7" w14:textId="77777777" w:rsidR="00F649B3" w:rsidRPr="00D85D7E" w:rsidRDefault="00F649B3" w:rsidP="00A147E5">
            <w:pPr>
              <w:snapToGrid w:val="0"/>
              <w:spacing w:line="240" w:lineRule="exact"/>
              <w:jc w:val="right"/>
              <w:rPr>
                <w:rFonts w:ascii="標楷體" w:hAnsi="標楷體"/>
                <w:color w:val="000000" w:themeColor="text1"/>
                <w:sz w:val="20"/>
                <w:szCs w:val="20"/>
              </w:rPr>
            </w:pPr>
            <w:r w:rsidRPr="00D85D7E">
              <w:rPr>
                <w:rFonts w:ascii="標楷體" w:hAnsi="標楷體" w:cs="Arial"/>
                <w:kern w:val="0"/>
                <w:sz w:val="20"/>
                <w:szCs w:val="20"/>
              </w:rPr>
              <w:t>99.</w:t>
            </w:r>
            <w:r w:rsidRPr="00D85D7E">
              <w:rPr>
                <w:rFonts w:ascii="標楷體" w:hAnsi="標楷體" w:cs="Arial" w:hint="eastAsia"/>
                <w:kern w:val="0"/>
                <w:sz w:val="20"/>
                <w:szCs w:val="20"/>
              </w:rPr>
              <w:t>94</w:t>
            </w:r>
          </w:p>
        </w:tc>
        <w:tc>
          <w:tcPr>
            <w:tcW w:w="966" w:type="dxa"/>
            <w:vAlign w:val="center"/>
          </w:tcPr>
          <w:p w14:paraId="7987E71C" w14:textId="77777777" w:rsidR="00F649B3" w:rsidRPr="00D85D7E" w:rsidRDefault="00F649B3" w:rsidP="00A147E5">
            <w:pPr>
              <w:snapToGrid w:val="0"/>
              <w:spacing w:line="240" w:lineRule="exact"/>
              <w:jc w:val="right"/>
              <w:rPr>
                <w:rFonts w:ascii="標楷體" w:hAnsi="標楷體"/>
                <w:color w:val="000000" w:themeColor="text1"/>
                <w:sz w:val="20"/>
                <w:szCs w:val="20"/>
              </w:rPr>
            </w:pPr>
            <w:r w:rsidRPr="00D85D7E">
              <w:rPr>
                <w:rFonts w:ascii="標楷體" w:hAnsi="標楷體" w:cs="Arial"/>
                <w:kern w:val="0"/>
                <w:sz w:val="20"/>
                <w:szCs w:val="20"/>
              </w:rPr>
              <w:t>0.</w:t>
            </w:r>
            <w:r w:rsidRPr="00D85D7E">
              <w:rPr>
                <w:rFonts w:ascii="標楷體" w:hAnsi="標楷體" w:cs="Arial" w:hint="eastAsia"/>
                <w:kern w:val="0"/>
                <w:sz w:val="20"/>
                <w:szCs w:val="20"/>
              </w:rPr>
              <w:t>06</w:t>
            </w:r>
          </w:p>
        </w:tc>
        <w:tc>
          <w:tcPr>
            <w:tcW w:w="1302" w:type="dxa"/>
            <w:vAlign w:val="center"/>
          </w:tcPr>
          <w:p w14:paraId="6DBA2876" w14:textId="77777777" w:rsidR="00F649B3" w:rsidRPr="00D85D7E" w:rsidRDefault="00F649B3" w:rsidP="00A147E5">
            <w:pPr>
              <w:snapToGrid w:val="0"/>
              <w:spacing w:line="240" w:lineRule="exact"/>
              <w:jc w:val="right"/>
              <w:rPr>
                <w:rFonts w:ascii="標楷體" w:hAnsi="標楷體"/>
                <w:color w:val="000000" w:themeColor="text1"/>
                <w:sz w:val="20"/>
                <w:szCs w:val="20"/>
              </w:rPr>
            </w:pPr>
            <w:r w:rsidRPr="00D85D7E">
              <w:rPr>
                <w:rFonts w:ascii="標楷體" w:hAnsi="標楷體" w:cs="Arial"/>
                <w:kern w:val="0"/>
                <w:sz w:val="20"/>
                <w:szCs w:val="20"/>
              </w:rPr>
              <w:t>0.19</w:t>
            </w:r>
          </w:p>
        </w:tc>
        <w:tc>
          <w:tcPr>
            <w:tcW w:w="1610" w:type="dxa"/>
            <w:vAlign w:val="center"/>
          </w:tcPr>
          <w:p w14:paraId="19AF2A7C" w14:textId="77777777" w:rsidR="00F649B3" w:rsidRPr="00D85D7E" w:rsidRDefault="00F649B3" w:rsidP="00A147E5">
            <w:pPr>
              <w:snapToGrid w:val="0"/>
              <w:spacing w:line="240" w:lineRule="exact"/>
              <w:jc w:val="right"/>
              <w:rPr>
                <w:rFonts w:ascii="標楷體" w:hAnsi="標楷體" w:cs="Arial"/>
                <w:kern w:val="0"/>
                <w:sz w:val="20"/>
                <w:szCs w:val="20"/>
              </w:rPr>
            </w:pPr>
            <w:r>
              <w:rPr>
                <w:rFonts w:ascii="標楷體" w:hAnsi="標楷體" w:cs="Arial" w:hint="eastAsia"/>
                <w:kern w:val="0"/>
                <w:sz w:val="20"/>
                <w:szCs w:val="20"/>
              </w:rPr>
              <w:t>-</w:t>
            </w:r>
            <w:r>
              <w:rPr>
                <w:rFonts w:ascii="標楷體" w:hAnsi="標楷體" w:cs="Arial"/>
                <w:kern w:val="0"/>
                <w:sz w:val="20"/>
                <w:szCs w:val="20"/>
              </w:rPr>
              <w:t xml:space="preserve"> 0.13</w:t>
            </w:r>
          </w:p>
        </w:tc>
      </w:tr>
      <w:tr w:rsidR="00F649B3" w:rsidRPr="00E83452" w14:paraId="3D53619C" w14:textId="77777777" w:rsidTr="001A67F7">
        <w:trPr>
          <w:trHeight w:val="336"/>
          <w:jc w:val="center"/>
        </w:trPr>
        <w:tc>
          <w:tcPr>
            <w:tcW w:w="1735" w:type="dxa"/>
            <w:vMerge/>
            <w:vAlign w:val="center"/>
            <w:hideMark/>
          </w:tcPr>
          <w:p w14:paraId="6E4A763E" w14:textId="77777777" w:rsidR="00F649B3" w:rsidRPr="00D85D7E" w:rsidRDefault="00F649B3" w:rsidP="00A147E5">
            <w:pPr>
              <w:spacing w:line="240" w:lineRule="exact"/>
              <w:rPr>
                <w:rFonts w:ascii="標楷體" w:hAnsi="標楷體" w:cs="新細明體"/>
                <w:color w:val="000000"/>
                <w:sz w:val="20"/>
                <w:szCs w:val="20"/>
              </w:rPr>
            </w:pPr>
          </w:p>
        </w:tc>
        <w:tc>
          <w:tcPr>
            <w:tcW w:w="3039" w:type="dxa"/>
            <w:noWrap/>
            <w:vAlign w:val="center"/>
          </w:tcPr>
          <w:p w14:paraId="39A726EE" w14:textId="77777777" w:rsidR="00F649B3" w:rsidRPr="00D85D7E" w:rsidRDefault="00F649B3" w:rsidP="00A147E5">
            <w:pPr>
              <w:snapToGrid w:val="0"/>
              <w:spacing w:line="240" w:lineRule="exact"/>
              <w:jc w:val="both"/>
              <w:rPr>
                <w:rFonts w:ascii="標楷體" w:hAnsi="標楷體"/>
                <w:color w:val="000000" w:themeColor="text1"/>
                <w:sz w:val="20"/>
                <w:szCs w:val="20"/>
              </w:rPr>
            </w:pPr>
            <w:r w:rsidRPr="00D85D7E">
              <w:rPr>
                <w:rFonts w:ascii="標楷體" w:hAnsi="標楷體" w:hint="eastAsia"/>
                <w:sz w:val="20"/>
                <w:szCs w:val="20"/>
              </w:rPr>
              <w:t>老舊高地社區用戶加壓受水設備改善計畫</w:t>
            </w:r>
            <w:r>
              <w:rPr>
                <w:rFonts w:ascii="標楷體" w:hAnsi="標楷體" w:hint="eastAsia"/>
                <w:sz w:val="20"/>
                <w:szCs w:val="20"/>
              </w:rPr>
              <w:t>（</w:t>
            </w:r>
            <w:r w:rsidRPr="00D85D7E">
              <w:rPr>
                <w:rFonts w:ascii="標楷體" w:hAnsi="標楷體" w:hint="eastAsia"/>
                <w:sz w:val="20"/>
                <w:szCs w:val="20"/>
              </w:rPr>
              <w:t>110－113年</w:t>
            </w:r>
            <w:r>
              <w:rPr>
                <w:rFonts w:ascii="標楷體" w:hAnsi="標楷體" w:hint="eastAsia"/>
                <w:sz w:val="20"/>
                <w:szCs w:val="20"/>
              </w:rPr>
              <w:t>）</w:t>
            </w:r>
          </w:p>
        </w:tc>
        <w:tc>
          <w:tcPr>
            <w:tcW w:w="714" w:type="dxa"/>
            <w:noWrap/>
            <w:vAlign w:val="center"/>
          </w:tcPr>
          <w:p w14:paraId="5C8D3C6B" w14:textId="77777777" w:rsidR="00F649B3" w:rsidRPr="00D85D7E" w:rsidRDefault="00F649B3" w:rsidP="00A147E5">
            <w:pPr>
              <w:snapToGrid w:val="0"/>
              <w:spacing w:line="240" w:lineRule="exact"/>
              <w:jc w:val="right"/>
              <w:rPr>
                <w:rFonts w:ascii="標楷體" w:hAnsi="標楷體"/>
                <w:color w:val="000000" w:themeColor="text1"/>
                <w:sz w:val="20"/>
                <w:szCs w:val="20"/>
              </w:rPr>
            </w:pPr>
            <w:r w:rsidRPr="00D85D7E">
              <w:rPr>
                <w:rFonts w:ascii="標楷體" w:hAnsi="標楷體" w:hint="eastAsia"/>
                <w:sz w:val="20"/>
                <w:szCs w:val="20"/>
              </w:rPr>
              <w:t>100.00</w:t>
            </w:r>
          </w:p>
        </w:tc>
        <w:tc>
          <w:tcPr>
            <w:tcW w:w="657" w:type="dxa"/>
            <w:noWrap/>
            <w:vAlign w:val="center"/>
          </w:tcPr>
          <w:p w14:paraId="3153CB69" w14:textId="77777777" w:rsidR="00F649B3" w:rsidRPr="00C91B94" w:rsidRDefault="00F649B3" w:rsidP="00A147E5">
            <w:pPr>
              <w:snapToGrid w:val="0"/>
              <w:spacing w:line="240" w:lineRule="exact"/>
              <w:jc w:val="right"/>
              <w:rPr>
                <w:rFonts w:ascii="標楷體" w:hAnsi="標楷體"/>
                <w:color w:val="000000" w:themeColor="text1"/>
                <w:sz w:val="20"/>
                <w:szCs w:val="20"/>
              </w:rPr>
            </w:pPr>
            <w:r w:rsidRPr="00C91B94">
              <w:rPr>
                <w:rFonts w:ascii="標楷體" w:hAnsi="標楷體" w:cs="Arial" w:hint="eastAsia"/>
                <w:color w:val="000000" w:themeColor="text1"/>
                <w:kern w:val="0"/>
                <w:sz w:val="20"/>
                <w:szCs w:val="20"/>
              </w:rPr>
              <w:t>99.</w:t>
            </w:r>
            <w:r w:rsidRPr="00C91B94">
              <w:rPr>
                <w:rFonts w:ascii="標楷體" w:hAnsi="標楷體" w:cs="Arial"/>
                <w:color w:val="000000" w:themeColor="text1"/>
                <w:kern w:val="0"/>
                <w:sz w:val="20"/>
                <w:szCs w:val="20"/>
              </w:rPr>
              <w:t>92</w:t>
            </w:r>
          </w:p>
        </w:tc>
        <w:tc>
          <w:tcPr>
            <w:tcW w:w="966" w:type="dxa"/>
            <w:noWrap/>
            <w:vAlign w:val="center"/>
          </w:tcPr>
          <w:p w14:paraId="76AF3C41" w14:textId="77777777" w:rsidR="00F649B3" w:rsidRPr="00C91B94" w:rsidRDefault="00F649B3" w:rsidP="00A147E5">
            <w:pPr>
              <w:snapToGrid w:val="0"/>
              <w:spacing w:line="240" w:lineRule="exact"/>
              <w:jc w:val="right"/>
              <w:rPr>
                <w:rFonts w:ascii="標楷體" w:hAnsi="標楷體"/>
                <w:color w:val="000000" w:themeColor="text1"/>
                <w:sz w:val="20"/>
                <w:szCs w:val="20"/>
              </w:rPr>
            </w:pPr>
            <w:r w:rsidRPr="00C91B94">
              <w:rPr>
                <w:rFonts w:ascii="標楷體" w:hAnsi="標楷體" w:cs="Arial"/>
                <w:color w:val="000000" w:themeColor="text1"/>
                <w:kern w:val="0"/>
                <w:sz w:val="20"/>
                <w:szCs w:val="20"/>
              </w:rPr>
              <w:t xml:space="preserve"> </w:t>
            </w:r>
            <w:r w:rsidRPr="00C91B94">
              <w:rPr>
                <w:rFonts w:ascii="標楷體" w:hAnsi="標楷體" w:cs="Arial" w:hint="eastAsia"/>
                <w:color w:val="000000" w:themeColor="text1"/>
                <w:kern w:val="0"/>
                <w:sz w:val="20"/>
                <w:szCs w:val="20"/>
              </w:rPr>
              <w:t>0.</w:t>
            </w:r>
            <w:r w:rsidRPr="00C91B94">
              <w:rPr>
                <w:rFonts w:ascii="標楷體" w:hAnsi="標楷體" w:cs="Arial"/>
                <w:color w:val="000000" w:themeColor="text1"/>
                <w:kern w:val="0"/>
                <w:sz w:val="20"/>
                <w:szCs w:val="20"/>
              </w:rPr>
              <w:t>08</w:t>
            </w:r>
          </w:p>
        </w:tc>
        <w:tc>
          <w:tcPr>
            <w:tcW w:w="1302" w:type="dxa"/>
            <w:vAlign w:val="center"/>
          </w:tcPr>
          <w:p w14:paraId="3BA783E6" w14:textId="77777777" w:rsidR="00F649B3" w:rsidRPr="00D85D7E" w:rsidRDefault="00F649B3" w:rsidP="00A147E5">
            <w:pPr>
              <w:snapToGrid w:val="0"/>
              <w:spacing w:line="240" w:lineRule="exact"/>
              <w:jc w:val="right"/>
              <w:rPr>
                <w:rFonts w:ascii="標楷體" w:hAnsi="標楷體"/>
                <w:color w:val="000000" w:themeColor="text1"/>
                <w:sz w:val="20"/>
                <w:szCs w:val="20"/>
              </w:rPr>
            </w:pPr>
            <w:r w:rsidRPr="00D85D7E">
              <w:rPr>
                <w:rFonts w:ascii="標楷體" w:hAnsi="標楷體" w:cs="Arial"/>
                <w:kern w:val="0"/>
                <w:sz w:val="20"/>
                <w:szCs w:val="20"/>
              </w:rPr>
              <w:t>0.42</w:t>
            </w:r>
          </w:p>
        </w:tc>
        <w:tc>
          <w:tcPr>
            <w:tcW w:w="1610" w:type="dxa"/>
            <w:vAlign w:val="center"/>
          </w:tcPr>
          <w:p w14:paraId="247BD2D1" w14:textId="77777777" w:rsidR="00F649B3" w:rsidRPr="00D85D7E" w:rsidRDefault="00F649B3" w:rsidP="00A147E5">
            <w:pPr>
              <w:snapToGrid w:val="0"/>
              <w:spacing w:line="240" w:lineRule="exact"/>
              <w:jc w:val="right"/>
              <w:rPr>
                <w:rFonts w:ascii="標楷體" w:hAnsi="標楷體" w:cs="Arial"/>
                <w:kern w:val="0"/>
                <w:sz w:val="20"/>
                <w:szCs w:val="20"/>
              </w:rPr>
            </w:pPr>
            <w:r>
              <w:rPr>
                <w:rFonts w:ascii="標楷體" w:hAnsi="標楷體" w:cs="Arial" w:hint="eastAsia"/>
                <w:kern w:val="0"/>
                <w:sz w:val="20"/>
                <w:szCs w:val="20"/>
              </w:rPr>
              <w:t>-</w:t>
            </w:r>
            <w:r>
              <w:rPr>
                <w:rFonts w:ascii="標楷體" w:hAnsi="標楷體" w:cs="Arial"/>
                <w:kern w:val="0"/>
                <w:sz w:val="20"/>
                <w:szCs w:val="20"/>
              </w:rPr>
              <w:t xml:space="preserve"> 0.34</w:t>
            </w:r>
          </w:p>
        </w:tc>
      </w:tr>
      <w:tr w:rsidR="00F649B3" w:rsidRPr="00E83452" w14:paraId="050C9472" w14:textId="77777777" w:rsidTr="001A67F7">
        <w:trPr>
          <w:trHeight w:val="454"/>
          <w:jc w:val="center"/>
        </w:trPr>
        <w:tc>
          <w:tcPr>
            <w:tcW w:w="1735" w:type="dxa"/>
            <w:vMerge/>
            <w:vAlign w:val="center"/>
            <w:hideMark/>
          </w:tcPr>
          <w:p w14:paraId="42D474AA" w14:textId="77777777" w:rsidR="00F649B3" w:rsidRPr="00D85D7E" w:rsidRDefault="00F649B3" w:rsidP="00A147E5">
            <w:pPr>
              <w:spacing w:line="240" w:lineRule="exact"/>
              <w:rPr>
                <w:rFonts w:ascii="標楷體" w:hAnsi="標楷體" w:cs="新細明體"/>
                <w:color w:val="000000"/>
                <w:sz w:val="20"/>
                <w:szCs w:val="20"/>
              </w:rPr>
            </w:pPr>
          </w:p>
        </w:tc>
        <w:tc>
          <w:tcPr>
            <w:tcW w:w="3039" w:type="dxa"/>
            <w:noWrap/>
            <w:vAlign w:val="center"/>
          </w:tcPr>
          <w:p w14:paraId="6B8C732C" w14:textId="77777777" w:rsidR="00F649B3" w:rsidRPr="00D85D7E" w:rsidRDefault="00F649B3" w:rsidP="00A147E5">
            <w:pPr>
              <w:snapToGrid w:val="0"/>
              <w:spacing w:line="240" w:lineRule="exact"/>
              <w:jc w:val="both"/>
              <w:rPr>
                <w:rFonts w:ascii="標楷體" w:hAnsi="標楷體"/>
                <w:b/>
                <w:bCs/>
                <w:color w:val="000000" w:themeColor="text1"/>
                <w:sz w:val="20"/>
                <w:szCs w:val="20"/>
              </w:rPr>
            </w:pPr>
            <w:r w:rsidRPr="00D85D7E">
              <w:rPr>
                <w:rFonts w:ascii="標楷體" w:hAnsi="標楷體" w:cs="Arial" w:hint="eastAsia"/>
                <w:kern w:val="0"/>
                <w:sz w:val="20"/>
                <w:szCs w:val="20"/>
              </w:rPr>
              <w:t>降低漏水率計畫</w:t>
            </w:r>
            <w:r>
              <w:rPr>
                <w:rFonts w:ascii="標楷體" w:hAnsi="標楷體" w:cs="Arial" w:hint="eastAsia"/>
                <w:kern w:val="0"/>
                <w:sz w:val="20"/>
                <w:szCs w:val="20"/>
              </w:rPr>
              <w:t>（</w:t>
            </w:r>
            <w:r w:rsidRPr="00D85D7E">
              <w:rPr>
                <w:rFonts w:ascii="標楷體" w:hAnsi="標楷體" w:cs="Arial" w:hint="eastAsia"/>
                <w:kern w:val="0"/>
                <w:sz w:val="20"/>
                <w:szCs w:val="20"/>
              </w:rPr>
              <w:t>114至121年</w:t>
            </w:r>
            <w:r>
              <w:rPr>
                <w:rFonts w:ascii="標楷體" w:hAnsi="標楷體" w:cs="Arial" w:hint="eastAsia"/>
                <w:kern w:val="0"/>
                <w:sz w:val="20"/>
                <w:szCs w:val="20"/>
              </w:rPr>
              <w:t>）</w:t>
            </w:r>
          </w:p>
        </w:tc>
        <w:tc>
          <w:tcPr>
            <w:tcW w:w="714" w:type="dxa"/>
            <w:noWrap/>
            <w:vAlign w:val="center"/>
          </w:tcPr>
          <w:p w14:paraId="062B61E3" w14:textId="77777777" w:rsidR="00F649B3" w:rsidRPr="00D85D7E" w:rsidRDefault="00F649B3" w:rsidP="00A147E5">
            <w:pPr>
              <w:snapToGrid w:val="0"/>
              <w:spacing w:line="240" w:lineRule="exact"/>
              <w:jc w:val="right"/>
              <w:rPr>
                <w:rFonts w:ascii="標楷體" w:hAnsi="標楷體"/>
                <w:color w:val="000000" w:themeColor="text1"/>
                <w:sz w:val="20"/>
                <w:szCs w:val="20"/>
              </w:rPr>
            </w:pPr>
            <w:r w:rsidRPr="00D85D7E">
              <w:rPr>
                <w:rFonts w:ascii="標楷體" w:hAnsi="標楷體" w:cs="Arial" w:hint="eastAsia"/>
                <w:kern w:val="0"/>
                <w:sz w:val="20"/>
                <w:szCs w:val="20"/>
              </w:rPr>
              <w:t>11.44</w:t>
            </w:r>
          </w:p>
        </w:tc>
        <w:tc>
          <w:tcPr>
            <w:tcW w:w="657" w:type="dxa"/>
            <w:noWrap/>
            <w:vAlign w:val="center"/>
          </w:tcPr>
          <w:p w14:paraId="49570187" w14:textId="77777777" w:rsidR="00F649B3" w:rsidRPr="00D85D7E" w:rsidRDefault="00F649B3" w:rsidP="00A147E5">
            <w:pPr>
              <w:snapToGrid w:val="0"/>
              <w:spacing w:line="240" w:lineRule="exact"/>
              <w:jc w:val="right"/>
              <w:rPr>
                <w:rFonts w:ascii="標楷體" w:hAnsi="標楷體"/>
                <w:color w:val="000000" w:themeColor="text1"/>
                <w:sz w:val="20"/>
                <w:szCs w:val="20"/>
              </w:rPr>
            </w:pPr>
            <w:r w:rsidRPr="00D85D7E">
              <w:rPr>
                <w:rFonts w:ascii="標楷體" w:hAnsi="標楷體" w:cs="Arial" w:hint="eastAsia"/>
                <w:kern w:val="0"/>
                <w:sz w:val="20"/>
                <w:szCs w:val="20"/>
              </w:rPr>
              <w:t>11.41</w:t>
            </w:r>
          </w:p>
        </w:tc>
        <w:tc>
          <w:tcPr>
            <w:tcW w:w="966" w:type="dxa"/>
            <w:noWrap/>
            <w:vAlign w:val="center"/>
          </w:tcPr>
          <w:p w14:paraId="29E27D7F" w14:textId="77777777" w:rsidR="00F649B3" w:rsidRPr="00D85D7E" w:rsidRDefault="00F649B3" w:rsidP="00A147E5">
            <w:pPr>
              <w:snapToGrid w:val="0"/>
              <w:spacing w:line="240" w:lineRule="exact"/>
              <w:jc w:val="right"/>
              <w:rPr>
                <w:rFonts w:ascii="標楷體" w:hAnsi="標楷體"/>
                <w:b/>
                <w:bCs/>
                <w:color w:val="000000" w:themeColor="text1"/>
                <w:sz w:val="20"/>
                <w:szCs w:val="20"/>
              </w:rPr>
            </w:pPr>
            <w:r w:rsidRPr="00D85D7E">
              <w:rPr>
                <w:rFonts w:ascii="標楷體" w:hAnsi="標楷體" w:cs="Arial"/>
                <w:kern w:val="0"/>
                <w:sz w:val="20"/>
                <w:szCs w:val="20"/>
              </w:rPr>
              <w:t xml:space="preserve"> </w:t>
            </w:r>
            <w:r w:rsidRPr="00D85D7E">
              <w:rPr>
                <w:rFonts w:ascii="標楷體" w:hAnsi="標楷體" w:cs="Arial" w:hint="eastAsia"/>
                <w:kern w:val="0"/>
                <w:sz w:val="20"/>
                <w:szCs w:val="20"/>
              </w:rPr>
              <w:t>0.03</w:t>
            </w:r>
          </w:p>
        </w:tc>
        <w:tc>
          <w:tcPr>
            <w:tcW w:w="1302" w:type="dxa"/>
            <w:vAlign w:val="center"/>
          </w:tcPr>
          <w:p w14:paraId="70F548BA" w14:textId="77777777" w:rsidR="00F649B3" w:rsidRPr="00D85D7E" w:rsidRDefault="00F649B3" w:rsidP="00A147E5">
            <w:pPr>
              <w:snapToGrid w:val="0"/>
              <w:spacing w:line="240" w:lineRule="exact"/>
              <w:jc w:val="right"/>
              <w:rPr>
                <w:rFonts w:ascii="標楷體" w:hAnsi="標楷體"/>
                <w:b/>
                <w:bCs/>
                <w:color w:val="000000" w:themeColor="text1"/>
                <w:sz w:val="20"/>
                <w:szCs w:val="20"/>
              </w:rPr>
            </w:pPr>
            <w:r w:rsidRPr="00D85D7E">
              <w:rPr>
                <w:rFonts w:ascii="標楷體" w:hAnsi="標楷體" w:hint="eastAsia"/>
                <w:sz w:val="20"/>
                <w:szCs w:val="20"/>
              </w:rPr>
              <w:t>－</w:t>
            </w:r>
          </w:p>
        </w:tc>
        <w:tc>
          <w:tcPr>
            <w:tcW w:w="1610" w:type="dxa"/>
            <w:vAlign w:val="center"/>
          </w:tcPr>
          <w:p w14:paraId="0CF3EE60" w14:textId="77777777" w:rsidR="00F649B3" w:rsidRPr="00D85D7E" w:rsidRDefault="00F649B3" w:rsidP="00A147E5">
            <w:pPr>
              <w:snapToGrid w:val="0"/>
              <w:spacing w:line="240" w:lineRule="exact"/>
              <w:jc w:val="right"/>
              <w:rPr>
                <w:rFonts w:ascii="標楷體" w:hAnsi="標楷體" w:cs="新細明體"/>
                <w:sz w:val="20"/>
                <w:szCs w:val="20"/>
              </w:rPr>
            </w:pPr>
            <w:r>
              <w:rPr>
                <w:rFonts w:ascii="標楷體" w:hAnsi="標楷體" w:cs="新細明體" w:hint="eastAsia"/>
                <w:sz w:val="20"/>
                <w:szCs w:val="20"/>
              </w:rPr>
              <w:t>0</w:t>
            </w:r>
            <w:r>
              <w:rPr>
                <w:rFonts w:ascii="標楷體" w:hAnsi="標楷體" w:cs="新細明體"/>
                <w:sz w:val="20"/>
                <w:szCs w:val="20"/>
              </w:rPr>
              <w:t>.03</w:t>
            </w:r>
          </w:p>
        </w:tc>
      </w:tr>
      <w:tr w:rsidR="00F649B3" w:rsidRPr="00E83452" w14:paraId="07721F43" w14:textId="77777777" w:rsidTr="001A67F7">
        <w:trPr>
          <w:trHeight w:val="324"/>
          <w:jc w:val="center"/>
        </w:trPr>
        <w:tc>
          <w:tcPr>
            <w:tcW w:w="10023" w:type="dxa"/>
            <w:gridSpan w:val="7"/>
            <w:tcBorders>
              <w:top w:val="single" w:sz="4" w:space="0" w:color="auto"/>
              <w:left w:val="nil"/>
              <w:bottom w:val="nil"/>
              <w:right w:val="nil"/>
            </w:tcBorders>
          </w:tcPr>
          <w:p w14:paraId="4EA79C66" w14:textId="43400A7A" w:rsidR="00F649B3" w:rsidRPr="00E83452" w:rsidRDefault="00F649B3" w:rsidP="00A147E5">
            <w:pPr>
              <w:spacing w:line="240" w:lineRule="exact"/>
              <w:rPr>
                <w:rFonts w:ascii="標楷體" w:hAnsi="標楷體"/>
                <w:color w:val="000000"/>
                <w:sz w:val="18"/>
                <w:szCs w:val="18"/>
              </w:rPr>
            </w:pPr>
            <w:r w:rsidRPr="00E83452">
              <w:rPr>
                <w:rFonts w:ascii="標楷體" w:hAnsi="標楷體" w:hint="eastAsia"/>
                <w:color w:val="000000"/>
                <w:sz w:val="18"/>
                <w:szCs w:val="18"/>
              </w:rPr>
              <w:t>註：1.粗體係114年度落後幅度較113年度增加之專案計畫。</w:t>
            </w:r>
          </w:p>
          <w:p w14:paraId="0F27DDBC" w14:textId="77777777" w:rsidR="00F649B3" w:rsidRPr="00E83452" w:rsidRDefault="00F649B3" w:rsidP="00A147E5">
            <w:pPr>
              <w:spacing w:line="240" w:lineRule="exact"/>
              <w:ind w:firstLineChars="200" w:firstLine="360"/>
              <w:rPr>
                <w:rFonts w:ascii="標楷體" w:hAnsi="標楷體"/>
                <w:color w:val="000000"/>
                <w:sz w:val="18"/>
                <w:szCs w:val="18"/>
              </w:rPr>
            </w:pPr>
            <w:r w:rsidRPr="00E83452">
              <w:rPr>
                <w:rFonts w:ascii="標楷體" w:hAnsi="標楷體" w:hint="eastAsia"/>
                <w:color w:val="000000"/>
                <w:sz w:val="18"/>
                <w:szCs w:val="18"/>
              </w:rPr>
              <w:t>2.資料來源：整理自經濟部所屬國營事業提供資料。</w:t>
            </w:r>
          </w:p>
        </w:tc>
      </w:tr>
    </w:tbl>
    <w:p w14:paraId="749F833E" w14:textId="7953714A" w:rsidR="00BD562D" w:rsidRDefault="00BD562D" w:rsidP="00824535">
      <w:pPr>
        <w:overflowPunct w:val="0"/>
        <w:adjustRightInd w:val="0"/>
        <w:snapToGrid w:val="0"/>
        <w:spacing w:line="580" w:lineRule="exact"/>
        <w:ind w:leftChars="-5" w:left="2" w:hangingChars="5" w:hanging="14"/>
        <w:jc w:val="both"/>
        <w:rPr>
          <w:rFonts w:ascii="標楷體" w:hAnsi="標楷體"/>
          <w:color w:val="000000" w:themeColor="text1"/>
          <w:spacing w:val="-2"/>
          <w:sz w:val="28"/>
          <w:szCs w:val="28"/>
        </w:rPr>
      </w:pPr>
      <w:r w:rsidRPr="00C10FAF">
        <w:rPr>
          <w:rFonts w:ascii="標楷體" w:hAnsi="標楷體" w:hint="eastAsia"/>
          <w:spacing w:val="-2"/>
          <w:sz w:val="28"/>
          <w:szCs w:val="28"/>
        </w:rPr>
        <w:lastRenderedPageBreak/>
        <w:t>度無落後情形外，其餘11項專案計畫進度均有連續2年落後情形，且台灣電力公司之「協和電廠更新改建計畫」等6項專案計畫與台灣糖業公司之「農業循環豬場改建投資計畫」，114年度計畫落後幅度較113年度增加0.02個至16.29個百分點間，台灣電力公司之「北區二期輸變電專案計畫」因民眾陳抗、部分案件用地變更遲無法確定等，僅1年時間落後幅度甚至由113年度之19.10個百分點，增加至114年度之35.39個百分點，有待研謀善策妥處。另上開4家國營事業購建固定資產專案計畫114年度修正展延計畫期程或增加投資金額者計1</w:t>
      </w:r>
      <w:r w:rsidRPr="00C10FAF">
        <w:rPr>
          <w:rFonts w:ascii="標楷體" w:hAnsi="標楷體"/>
          <w:spacing w:val="-2"/>
          <w:sz w:val="28"/>
          <w:szCs w:val="28"/>
        </w:rPr>
        <w:t>1</w:t>
      </w:r>
      <w:r w:rsidRPr="00C10FAF">
        <w:rPr>
          <w:rFonts w:ascii="標楷體" w:hAnsi="標楷體" w:hint="eastAsia"/>
          <w:spacing w:val="-2"/>
          <w:sz w:val="28"/>
          <w:szCs w:val="28"/>
        </w:rPr>
        <w:t>項，包括台灣電力公司之「離岸風力發電加強電力網第一期計畫」等9項，及台灣自來水公司之「備援調度幹管工程計畫」等2項。其中台灣電力公司之「大林電廠燃氣機組更新改建計畫」、「通霄電廠第二期更新改建計畫」、「大甲溪光明抽蓄水力發電計畫」與「第七輸變電計畫」等4項修正計畫均增加投資金額逾100億元；「通霄電廠第二期更新改建計畫」因國內缺工與國際機組設備轉為賣方市場，造成機組設備成本大幅上漲，於114年度修正展延計畫期程2年，並增加投資金額1,535億餘元，為修正前投資金額之2倍以上。又截至114年底止，台灣電力公司及台灣自來水公司各有3項及1項計畫修正次數已逾2次，顯示部分投資計畫於評估階段，未能覈實評估計畫相關重要參數、外部風險等</w:t>
      </w:r>
      <w:r w:rsidRPr="005C54A2">
        <w:rPr>
          <w:rFonts w:ascii="標楷體" w:hAnsi="標楷體" w:hint="eastAsia"/>
          <w:color w:val="000000" w:themeColor="text1"/>
          <w:spacing w:val="-2"/>
          <w:sz w:val="28"/>
          <w:szCs w:val="28"/>
        </w:rPr>
        <w:t>因子，影響計畫預估效益及資金調度。經函請經濟部督促研謀妥處</w:t>
      </w:r>
      <w:r>
        <w:rPr>
          <w:rFonts w:ascii="標楷體" w:hAnsi="標楷體" w:hint="eastAsia"/>
          <w:color w:val="000000" w:themeColor="text1"/>
          <w:spacing w:val="-2"/>
          <w:sz w:val="28"/>
          <w:szCs w:val="28"/>
        </w:rPr>
        <w:t>，</w:t>
      </w:r>
      <w:r w:rsidRPr="009F1B13">
        <w:rPr>
          <w:rFonts w:ascii="標楷體" w:hAnsi="標楷體" w:hint="eastAsia"/>
          <w:color w:val="000000" w:themeColor="text1"/>
          <w:spacing w:val="-2"/>
          <w:sz w:val="28"/>
          <w:szCs w:val="28"/>
        </w:rPr>
        <w:t>強化計畫管理與控管機制，俾提升國家經濟建設之實質貢獻</w:t>
      </w:r>
      <w:r w:rsidRPr="005C54A2">
        <w:rPr>
          <w:rFonts w:ascii="標楷體" w:hAnsi="標楷體" w:hint="eastAsia"/>
          <w:color w:val="000000" w:themeColor="text1"/>
          <w:spacing w:val="-2"/>
          <w:sz w:val="28"/>
          <w:szCs w:val="28"/>
        </w:rPr>
        <w:t>。據復：</w:t>
      </w:r>
      <w:r w:rsidRPr="00053143">
        <w:rPr>
          <w:rFonts w:ascii="標楷體" w:hAnsi="標楷體" w:hint="eastAsia"/>
          <w:color w:val="000000" w:themeColor="text1"/>
          <w:spacing w:val="-2"/>
          <w:sz w:val="28"/>
          <w:szCs w:val="28"/>
        </w:rPr>
        <w:t>各</w:t>
      </w:r>
      <w:r>
        <w:rPr>
          <w:rFonts w:ascii="標楷體" w:hAnsi="標楷體" w:hint="eastAsia"/>
          <w:color w:val="000000" w:themeColor="text1"/>
          <w:spacing w:val="-2"/>
          <w:sz w:val="28"/>
          <w:szCs w:val="28"/>
        </w:rPr>
        <w:t>該</w:t>
      </w:r>
      <w:r w:rsidRPr="00053143">
        <w:rPr>
          <w:rFonts w:ascii="標楷體" w:hAnsi="標楷體" w:hint="eastAsia"/>
          <w:color w:val="000000" w:themeColor="text1"/>
          <w:spacing w:val="-2"/>
          <w:sz w:val="28"/>
          <w:szCs w:val="28"/>
        </w:rPr>
        <w:t>事業</w:t>
      </w:r>
      <w:r>
        <w:rPr>
          <w:rFonts w:ascii="標楷體" w:hAnsi="標楷體" w:hint="eastAsia"/>
          <w:color w:val="000000" w:themeColor="text1"/>
          <w:spacing w:val="-2"/>
          <w:sz w:val="28"/>
          <w:szCs w:val="28"/>
        </w:rPr>
        <w:t>已定期召開專案會議檢討進度，要求廠商</w:t>
      </w:r>
      <w:r w:rsidRPr="0074456C">
        <w:rPr>
          <w:rFonts w:ascii="標楷體" w:hAnsi="標楷體" w:hint="eastAsia"/>
          <w:color w:val="000000" w:themeColor="text1"/>
          <w:spacing w:val="-2"/>
          <w:sz w:val="28"/>
          <w:szCs w:val="28"/>
        </w:rPr>
        <w:t>增補人力</w:t>
      </w:r>
      <w:r>
        <w:rPr>
          <w:rFonts w:ascii="標楷體" w:hAnsi="標楷體" w:hint="eastAsia"/>
          <w:color w:val="000000" w:themeColor="text1"/>
          <w:spacing w:val="-2"/>
          <w:sz w:val="28"/>
          <w:szCs w:val="28"/>
        </w:rPr>
        <w:t>及機具</w:t>
      </w:r>
      <w:r w:rsidRPr="0074456C">
        <w:rPr>
          <w:rFonts w:ascii="標楷體" w:hAnsi="標楷體" w:hint="eastAsia"/>
          <w:color w:val="000000" w:themeColor="text1"/>
          <w:spacing w:val="-2"/>
          <w:sz w:val="28"/>
          <w:szCs w:val="28"/>
        </w:rPr>
        <w:t>、延長</w:t>
      </w:r>
      <w:r>
        <w:rPr>
          <w:rFonts w:ascii="標楷體" w:hAnsi="標楷體" w:hint="eastAsia"/>
          <w:color w:val="000000" w:themeColor="text1"/>
          <w:spacing w:val="-2"/>
          <w:sz w:val="28"/>
          <w:szCs w:val="28"/>
        </w:rPr>
        <w:t>出工時數，並</w:t>
      </w:r>
      <w:r w:rsidRPr="0074456C">
        <w:rPr>
          <w:rFonts w:ascii="標楷體" w:hAnsi="標楷體" w:hint="eastAsia"/>
          <w:color w:val="000000" w:themeColor="text1"/>
          <w:spacing w:val="-2"/>
          <w:sz w:val="28"/>
          <w:szCs w:val="28"/>
        </w:rPr>
        <w:t>持續與地方民眾及利害關係人溝通協調排除施工障礙</w:t>
      </w:r>
      <w:r>
        <w:rPr>
          <w:rFonts w:ascii="標楷體" w:hAnsi="標楷體" w:hint="eastAsia"/>
          <w:color w:val="000000" w:themeColor="text1"/>
          <w:spacing w:val="-2"/>
          <w:sz w:val="28"/>
          <w:szCs w:val="28"/>
        </w:rPr>
        <w:t>，以</w:t>
      </w:r>
      <w:r w:rsidRPr="0074456C">
        <w:rPr>
          <w:rFonts w:ascii="標楷體" w:hAnsi="標楷體" w:hint="eastAsia"/>
          <w:color w:val="000000" w:themeColor="text1"/>
          <w:spacing w:val="-2"/>
          <w:sz w:val="28"/>
          <w:szCs w:val="28"/>
        </w:rPr>
        <w:t>加速追趕進度</w:t>
      </w:r>
      <w:r>
        <w:rPr>
          <w:rFonts w:ascii="標楷體" w:hAnsi="標楷體" w:hint="eastAsia"/>
          <w:color w:val="000000" w:themeColor="text1"/>
          <w:spacing w:val="-2"/>
          <w:sz w:val="28"/>
          <w:szCs w:val="28"/>
        </w:rPr>
        <w:t>，另</w:t>
      </w:r>
      <w:r w:rsidRPr="00053143">
        <w:rPr>
          <w:rFonts w:ascii="標楷體" w:hAnsi="標楷體" w:hint="eastAsia"/>
          <w:color w:val="000000" w:themeColor="text1"/>
          <w:spacing w:val="-2"/>
          <w:sz w:val="28"/>
          <w:szCs w:val="28"/>
        </w:rPr>
        <w:t>各</w:t>
      </w:r>
      <w:r>
        <w:rPr>
          <w:rFonts w:ascii="標楷體" w:hAnsi="標楷體" w:hint="eastAsia"/>
          <w:color w:val="000000" w:themeColor="text1"/>
          <w:spacing w:val="-2"/>
          <w:sz w:val="28"/>
          <w:szCs w:val="28"/>
        </w:rPr>
        <w:t>該</w:t>
      </w:r>
      <w:r w:rsidRPr="00053143">
        <w:rPr>
          <w:rFonts w:ascii="標楷體" w:hAnsi="標楷體" w:hint="eastAsia"/>
          <w:color w:val="000000" w:themeColor="text1"/>
          <w:spacing w:val="-2"/>
          <w:sz w:val="28"/>
          <w:szCs w:val="28"/>
        </w:rPr>
        <w:t>事業將強化前期規劃作業，於可行性研究階段盤點市場物價、地質</w:t>
      </w:r>
      <w:r>
        <w:rPr>
          <w:rFonts w:ascii="標楷體" w:hAnsi="標楷體" w:hint="eastAsia"/>
          <w:color w:val="000000" w:themeColor="text1"/>
          <w:spacing w:val="-2"/>
          <w:sz w:val="28"/>
          <w:szCs w:val="28"/>
        </w:rPr>
        <w:t>環境等</w:t>
      </w:r>
      <w:r w:rsidRPr="00053143">
        <w:rPr>
          <w:rFonts w:ascii="標楷體" w:hAnsi="標楷體" w:hint="eastAsia"/>
          <w:color w:val="000000" w:themeColor="text1"/>
          <w:spacing w:val="-2"/>
          <w:sz w:val="28"/>
          <w:szCs w:val="28"/>
        </w:rPr>
        <w:t>條件，確保</w:t>
      </w:r>
      <w:r>
        <w:rPr>
          <w:rFonts w:ascii="標楷體" w:hAnsi="標楷體" w:hint="eastAsia"/>
          <w:color w:val="000000" w:themeColor="text1"/>
          <w:spacing w:val="-2"/>
          <w:sz w:val="28"/>
          <w:szCs w:val="28"/>
        </w:rPr>
        <w:t>相關</w:t>
      </w:r>
      <w:r w:rsidRPr="00053143">
        <w:rPr>
          <w:rFonts w:ascii="標楷體" w:hAnsi="標楷體" w:hint="eastAsia"/>
          <w:color w:val="000000" w:themeColor="text1"/>
          <w:spacing w:val="-2"/>
          <w:sz w:val="28"/>
          <w:szCs w:val="28"/>
        </w:rPr>
        <w:t>計畫如期</w:t>
      </w:r>
      <w:r>
        <w:rPr>
          <w:rFonts w:ascii="標楷體" w:hAnsi="標楷體" w:hint="eastAsia"/>
          <w:color w:val="000000" w:themeColor="text1"/>
          <w:spacing w:val="-2"/>
          <w:sz w:val="28"/>
          <w:szCs w:val="28"/>
        </w:rPr>
        <w:t>完</w:t>
      </w:r>
      <w:r w:rsidRPr="00053143">
        <w:rPr>
          <w:rFonts w:ascii="標楷體" w:hAnsi="標楷體" w:hint="eastAsia"/>
          <w:color w:val="000000" w:themeColor="text1"/>
          <w:spacing w:val="-2"/>
          <w:sz w:val="28"/>
          <w:szCs w:val="28"/>
        </w:rPr>
        <w:t>成</w:t>
      </w:r>
      <w:r>
        <w:rPr>
          <w:rFonts w:ascii="標楷體" w:hAnsi="標楷體" w:hint="eastAsia"/>
          <w:color w:val="000000" w:themeColor="text1"/>
          <w:spacing w:val="-2"/>
          <w:sz w:val="28"/>
          <w:szCs w:val="28"/>
        </w:rPr>
        <w:t>。</w:t>
      </w:r>
    </w:p>
    <w:p w14:paraId="07CF01B3" w14:textId="77777777" w:rsidR="00BD562D" w:rsidRDefault="00BD562D" w:rsidP="00824535">
      <w:pPr>
        <w:overflowPunct w:val="0"/>
        <w:spacing w:line="580" w:lineRule="exact"/>
        <w:ind w:left="-5" w:firstLineChars="200" w:firstLine="561"/>
        <w:jc w:val="both"/>
        <w:rPr>
          <w:rFonts w:ascii="標楷體" w:hAnsi="標楷體"/>
          <w:b/>
          <w:bCs/>
          <w:sz w:val="28"/>
          <w:szCs w:val="28"/>
        </w:rPr>
      </w:pPr>
      <w:r>
        <w:rPr>
          <w:rFonts w:ascii="標楷體" w:hAnsi="標楷體" w:hint="eastAsia"/>
          <w:b/>
          <w:bCs/>
          <w:sz w:val="28"/>
          <w:szCs w:val="28"/>
        </w:rPr>
        <w:t>（四）　經濟部所屬國營事業針對重大購建固定資產計畫完成後未達預期經濟效益情形，已研提相關改善措施，惟114年度仍逾半數計畫投資效益未達預期目標，或持續未能獲致改善，允宜積極督促針對問題癥結研謀善策妥處，俾早日達成計畫目標效益。</w:t>
      </w:r>
    </w:p>
    <w:p w14:paraId="2B80EF0B" w14:textId="43FF7133" w:rsidR="00BD562D" w:rsidRPr="00E65023" w:rsidRDefault="00E155A8" w:rsidP="00995419">
      <w:pPr>
        <w:overflowPunct w:val="0"/>
        <w:spacing w:line="580" w:lineRule="exact"/>
        <w:ind w:firstLineChars="200" w:firstLine="560"/>
        <w:jc w:val="both"/>
        <w:rPr>
          <w:rFonts w:ascii="標楷體" w:hAnsi="標楷體"/>
          <w:sz w:val="28"/>
          <w:szCs w:val="24"/>
        </w:rPr>
      </w:pPr>
      <w:r>
        <w:rPr>
          <w:rFonts w:ascii="標楷體" w:hAnsi="標楷體" w:hint="eastAsia"/>
          <w:noProof/>
          <w:sz w:val="28"/>
          <w:szCs w:val="28"/>
          <w:lang w:val="zh-TW"/>
        </w:rPr>
        <w:lastRenderedPageBreak/>
        <mc:AlternateContent>
          <mc:Choice Requires="wps">
            <w:drawing>
              <wp:anchor distT="0" distB="0" distL="114300" distR="114300" simplePos="0" relativeHeight="251772928" behindDoc="0" locked="0" layoutInCell="1" allowOverlap="1" wp14:anchorId="39A68F43" wp14:editId="1571DFD0">
                <wp:simplePos x="0" y="0"/>
                <wp:positionH relativeFrom="margin">
                  <wp:align>right</wp:align>
                </wp:positionH>
                <wp:positionV relativeFrom="paragraph">
                  <wp:posOffset>2860195</wp:posOffset>
                </wp:positionV>
                <wp:extent cx="3481070" cy="3335655"/>
                <wp:effectExtent l="0" t="0" r="5080" b="0"/>
                <wp:wrapSquare wrapText="bothSides"/>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1070" cy="3335655"/>
                        </a:xfrm>
                        <a:prstGeom prst="rect">
                          <a:avLst/>
                        </a:prstGeom>
                        <a:solidFill>
                          <a:srgbClr val="FFFFFF"/>
                        </a:solidFill>
                        <a:ln w="9525">
                          <a:noFill/>
                          <a:miter lim="800000"/>
                          <a:headEnd/>
                          <a:tailEnd/>
                        </a:ln>
                      </wps:spPr>
                      <wps:txbx>
                        <w:txbxContent>
                          <w:p w14:paraId="55A2F526" w14:textId="77777777" w:rsidR="00E155A8" w:rsidRPr="00313C83" w:rsidRDefault="00E155A8" w:rsidP="00FB2843">
                            <w:pPr>
                              <w:ind w:left="639" w:hangingChars="280" w:hanging="639"/>
                              <w:rPr>
                                <w:rFonts w:ascii="標楷體" w:hAnsi="標楷體" w:cs="新細明體"/>
                                <w:b/>
                                <w:noProof/>
                                <w:spacing w:val="-6"/>
                                <w:kern w:val="0"/>
                                <w:szCs w:val="24"/>
                              </w:rPr>
                            </w:pPr>
                            <w:r w:rsidRPr="00313C83">
                              <w:rPr>
                                <w:rFonts w:ascii="標楷體" w:hAnsi="標楷體" w:cs="新細明體" w:hint="eastAsia"/>
                                <w:b/>
                                <w:noProof/>
                                <w:spacing w:val="-6"/>
                                <w:kern w:val="0"/>
                                <w:szCs w:val="24"/>
                              </w:rPr>
                              <w:t>圖</w:t>
                            </w:r>
                            <w:r>
                              <w:rPr>
                                <w:rFonts w:ascii="標楷體" w:hAnsi="標楷體" w:cs="新細明體"/>
                                <w:b/>
                                <w:noProof/>
                                <w:spacing w:val="-6"/>
                                <w:kern w:val="0"/>
                                <w:szCs w:val="24"/>
                              </w:rPr>
                              <w:t>2</w:t>
                            </w:r>
                            <w:r w:rsidRPr="00313C83">
                              <w:rPr>
                                <w:rFonts w:ascii="標楷體" w:hAnsi="標楷體" w:cs="新細明體" w:hint="eastAsia"/>
                                <w:b/>
                                <w:noProof/>
                                <w:spacing w:val="-6"/>
                                <w:kern w:val="0"/>
                                <w:szCs w:val="24"/>
                              </w:rPr>
                              <w:t xml:space="preserve">　1</w:t>
                            </w:r>
                            <w:r w:rsidRPr="00313C83">
                              <w:rPr>
                                <w:rFonts w:ascii="標楷體" w:hAnsi="標楷體" w:cs="新細明體"/>
                                <w:b/>
                                <w:noProof/>
                                <w:spacing w:val="-6"/>
                                <w:kern w:val="0"/>
                                <w:szCs w:val="24"/>
                              </w:rPr>
                              <w:t>14</w:t>
                            </w:r>
                            <w:r w:rsidRPr="00313C83">
                              <w:rPr>
                                <w:rFonts w:ascii="標楷體" w:hAnsi="標楷體" w:cs="新細明體" w:hint="eastAsia"/>
                                <w:b/>
                                <w:noProof/>
                                <w:spacing w:val="-6"/>
                                <w:kern w:val="0"/>
                                <w:szCs w:val="24"/>
                              </w:rPr>
                              <w:t>年底經濟部所屬國營事業71項重大購建固定資產計畫完成後經濟效益情形</w:t>
                            </w:r>
                          </w:p>
                          <w:p w14:paraId="67A3A1EC" w14:textId="77777777" w:rsidR="00E155A8" w:rsidRDefault="00E155A8" w:rsidP="00E155A8">
                            <w:pPr>
                              <w:ind w:left="12" w:hangingChars="5" w:hanging="12"/>
                            </w:pPr>
                            <w:r>
                              <w:rPr>
                                <w:noProof/>
                              </w:rPr>
                              <w:drawing>
                                <wp:inline distT="0" distB="0" distL="0" distR="0" wp14:anchorId="724C445F" wp14:editId="72E7DC68">
                                  <wp:extent cx="3255264" cy="2449830"/>
                                  <wp:effectExtent l="0" t="0" r="2540" b="7620"/>
                                  <wp:docPr id="3" name="圖表 3">
                                    <a:extLst xmlns:a="http://schemas.openxmlformats.org/drawingml/2006/main">
                                      <a:ext uri="{FF2B5EF4-FFF2-40B4-BE49-F238E27FC236}">
                                        <a16:creationId xmlns:a16="http://schemas.microsoft.com/office/drawing/2014/main" id="{2965F677-9756-4E63-851C-F6ADC7CEB0F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B87C2E3" w14:textId="77777777" w:rsidR="00E155A8" w:rsidRPr="00313C83" w:rsidRDefault="00E155A8" w:rsidP="00E155A8">
                            <w:pPr>
                              <w:ind w:left="9" w:hangingChars="5" w:hanging="9"/>
                              <w:rPr>
                                <w:rFonts w:ascii="標楷體" w:hAnsi="標楷體"/>
                                <w:sz w:val="18"/>
                                <w:szCs w:val="18"/>
                              </w:rPr>
                            </w:pPr>
                            <w:r w:rsidRPr="00313C83">
                              <w:rPr>
                                <w:rFonts w:ascii="標楷體" w:hAnsi="標楷體" w:hint="eastAsia"/>
                                <w:sz w:val="18"/>
                                <w:szCs w:val="18"/>
                              </w:rPr>
                              <w:t>資料來源：整理自經濟部所屬國營事業</w:t>
                            </w:r>
                            <w:r>
                              <w:rPr>
                                <w:rFonts w:ascii="標楷體" w:hAnsi="標楷體" w:hint="eastAsia"/>
                                <w:sz w:val="18"/>
                                <w:szCs w:val="18"/>
                              </w:rPr>
                              <w:t>提供</w:t>
                            </w:r>
                            <w:r w:rsidRPr="00313C83">
                              <w:rPr>
                                <w:rFonts w:ascii="標楷體" w:hAnsi="標楷體" w:hint="eastAsia"/>
                                <w:sz w:val="18"/>
                                <w:szCs w:val="18"/>
                              </w:rPr>
                              <w:t>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A68F43" id="_x0000_s1029" type="#_x0000_t202" style="position:absolute;left:0;text-align:left;margin-left:222.9pt;margin-top:225.2pt;width:274.1pt;height:262.65pt;z-index:2517729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" stroked="f">
                <v:textbox>
                  <w:txbxContent>
                    <w:p w14:paraId="55A2F526" w14:textId="77777777" w:rsidR="00E155A8" w:rsidRPr="00313C83" w:rsidRDefault="00E155A8" w:rsidP="00FB2843">
                      <w:pPr>
                        <w:ind w:left="639" w:hangingChars="280" w:hanging="639"/>
                        <w:rPr>
                          <w:rFonts w:ascii="標楷體" w:hAnsi="標楷體" w:cs="新細明體"/>
                          <w:b/>
                          <w:noProof/>
                          <w:spacing w:val="-6"/>
                          <w:kern w:val="0"/>
                          <w:szCs w:val="24"/>
                        </w:rPr>
                      </w:pPr>
                      <w:r w:rsidRPr="00313C83">
                        <w:rPr>
                          <w:rFonts w:ascii="標楷體" w:hAnsi="標楷體" w:cs="新細明體" w:hint="eastAsia"/>
                          <w:b/>
                          <w:noProof/>
                          <w:spacing w:val="-6"/>
                          <w:kern w:val="0"/>
                          <w:szCs w:val="24"/>
                        </w:rPr>
                        <w:t>圖</w:t>
                      </w:r>
                      <w:r>
                        <w:rPr>
                          <w:rFonts w:ascii="標楷體" w:hAnsi="標楷體" w:cs="新細明體"/>
                          <w:b/>
                          <w:noProof/>
                          <w:spacing w:val="-6"/>
                          <w:kern w:val="0"/>
                          <w:szCs w:val="24"/>
                        </w:rPr>
                        <w:t>2</w:t>
                      </w:r>
                      <w:r w:rsidRPr="00313C83">
                        <w:rPr>
                          <w:rFonts w:ascii="標楷體" w:hAnsi="標楷體" w:cs="新細明體" w:hint="eastAsia"/>
                          <w:b/>
                          <w:noProof/>
                          <w:spacing w:val="-6"/>
                          <w:kern w:val="0"/>
                          <w:szCs w:val="24"/>
                        </w:rPr>
                        <w:t xml:space="preserve">　1</w:t>
                      </w:r>
                      <w:r w:rsidRPr="00313C83">
                        <w:rPr>
                          <w:rFonts w:ascii="標楷體" w:hAnsi="標楷體" w:cs="新細明體"/>
                          <w:b/>
                          <w:noProof/>
                          <w:spacing w:val="-6"/>
                          <w:kern w:val="0"/>
                          <w:szCs w:val="24"/>
                        </w:rPr>
                        <w:t>14</w:t>
                      </w:r>
                      <w:r w:rsidRPr="00313C83">
                        <w:rPr>
                          <w:rFonts w:ascii="標楷體" w:hAnsi="標楷體" w:cs="新細明體" w:hint="eastAsia"/>
                          <w:b/>
                          <w:noProof/>
                          <w:spacing w:val="-6"/>
                          <w:kern w:val="0"/>
                          <w:szCs w:val="24"/>
                        </w:rPr>
                        <w:t>年底經濟部所屬國營事業71項重大購建固定資產計畫完成後經濟效益情形</w:t>
                      </w:r>
                    </w:p>
                    <w:p w14:paraId="67A3A1EC" w14:textId="77777777" w:rsidR="00E155A8" w:rsidRDefault="00E155A8" w:rsidP="00E155A8">
                      <w:pPr>
                        <w:ind w:left="12" w:hangingChars="5" w:hanging="12"/>
                      </w:pPr>
                      <w:r>
                        <w:rPr>
                          <w:noProof/>
                        </w:rPr>
                        <w:drawing>
                          <wp:inline distT="0" distB="0" distL="0" distR="0" wp14:anchorId="724C445F" wp14:editId="72E7DC68">
                            <wp:extent cx="3255264" cy="2449830"/>
                            <wp:effectExtent l="0" t="0" r="2540" b="7620"/>
                            <wp:docPr id="3" name="圖表 3">
                              <a:extLst xmlns:a="http://schemas.openxmlformats.org/drawingml/2006/main">
                                <a:ext uri="{FF2B5EF4-FFF2-40B4-BE49-F238E27FC236}">
                                  <a16:creationId xmlns:a16="http://schemas.microsoft.com/office/drawing/2014/main" id="{2965F677-9756-4E63-851C-F6ADC7CEB0F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B87C2E3" w14:textId="77777777" w:rsidR="00E155A8" w:rsidRPr="00313C83" w:rsidRDefault="00E155A8" w:rsidP="00E155A8">
                      <w:pPr>
                        <w:ind w:left="9" w:hangingChars="5" w:hanging="9"/>
                        <w:rPr>
                          <w:rFonts w:ascii="標楷體" w:hAnsi="標楷體"/>
                          <w:sz w:val="18"/>
                          <w:szCs w:val="18"/>
                        </w:rPr>
                      </w:pPr>
                      <w:r w:rsidRPr="00313C83">
                        <w:rPr>
                          <w:rFonts w:ascii="標楷體" w:hAnsi="標楷體" w:hint="eastAsia"/>
                          <w:sz w:val="18"/>
                          <w:szCs w:val="18"/>
                        </w:rPr>
                        <w:t>資料來源：整理自經濟部所屬國營事業</w:t>
                      </w:r>
                      <w:r>
                        <w:rPr>
                          <w:rFonts w:ascii="標楷體" w:hAnsi="標楷體" w:hint="eastAsia"/>
                          <w:sz w:val="18"/>
                          <w:szCs w:val="18"/>
                        </w:rPr>
                        <w:t>提供</w:t>
                      </w:r>
                      <w:r w:rsidRPr="00313C83">
                        <w:rPr>
                          <w:rFonts w:ascii="標楷體" w:hAnsi="標楷體" w:hint="eastAsia"/>
                          <w:sz w:val="18"/>
                          <w:szCs w:val="18"/>
                        </w:rPr>
                        <w:t>資料。</w:t>
                      </w:r>
                    </w:p>
                  </w:txbxContent>
                </v:textbox>
                <w10:wrap type="square" anchorx="margin"/>
              </v:shape>
            </w:pict>
          </mc:Fallback>
        </mc:AlternateContent>
      </w:r>
      <w:r w:rsidR="00BD562D">
        <w:rPr>
          <w:rFonts w:ascii="標楷體" w:hAnsi="標楷體" w:hint="eastAsia"/>
          <w:sz w:val="28"/>
          <w:szCs w:val="28"/>
        </w:rPr>
        <w:t>經濟部所屬台灣糖業公司、台灣中油公司、台灣電力公司、台灣自來水公司等4家國營事業購建固定資產計畫完成後經濟效益達成情形，尚有部分計畫投資效益未如預期，或設備（能量）利用率欠佳等情事，前經本部於函請經濟部督促檢討改善，據復各該事業將採行繼續加強計畫機組之運轉維護，提升設備利用率、關注市場供需狀況，定期進行工場效益分析、因應市場趨勢等需求開發新產品、節約淨水場動力費支出等改善措施，以提高投資效益。</w:t>
      </w:r>
      <w:r w:rsidR="005E74E0">
        <w:rPr>
          <w:rFonts w:ascii="標楷體" w:hAnsi="標楷體" w:hint="eastAsia"/>
          <w:sz w:val="28"/>
          <w:szCs w:val="28"/>
        </w:rPr>
        <w:t>案</w:t>
      </w:r>
      <w:r w:rsidR="00BD562D">
        <w:rPr>
          <w:rFonts w:ascii="標楷體" w:hAnsi="標楷體" w:hint="eastAsia"/>
          <w:sz w:val="28"/>
          <w:szCs w:val="28"/>
        </w:rPr>
        <w:t>經追蹤查核結果，上開4家國營事業112年度以前完成（加入營運）而至113年度止尚未回收投資金額者計69項，暨114年度新增營運考核者計2項，合計71項重大購建固定資產計畫，投資總額5,861億86萬餘元。上開71項計畫中之投資效益情形，除原規劃無法於預計年限回收之政策性投資者9項（投資金額1</w:t>
      </w:r>
      <w:r w:rsidR="00BD562D">
        <w:rPr>
          <w:rFonts w:ascii="標楷體" w:hAnsi="標楷體"/>
          <w:sz w:val="28"/>
          <w:szCs w:val="28"/>
        </w:rPr>
        <w:t>,444</w:t>
      </w:r>
      <w:r w:rsidR="00BD562D">
        <w:rPr>
          <w:rFonts w:ascii="標楷體" w:hAnsi="標楷體" w:hint="eastAsia"/>
          <w:sz w:val="28"/>
          <w:szCs w:val="28"/>
        </w:rPr>
        <w:t>億6,</w:t>
      </w:r>
      <w:r w:rsidR="00BD562D">
        <w:rPr>
          <w:rFonts w:ascii="標楷體" w:hAnsi="標楷體"/>
          <w:sz w:val="28"/>
          <w:szCs w:val="28"/>
        </w:rPr>
        <w:t>332</w:t>
      </w:r>
      <w:r w:rsidR="00BD562D">
        <w:rPr>
          <w:rFonts w:ascii="標楷體" w:hAnsi="標楷體" w:hint="eastAsia"/>
          <w:sz w:val="28"/>
          <w:szCs w:val="28"/>
        </w:rPr>
        <w:t>萬餘元）、投資效益已達預期目標者2</w:t>
      </w:r>
      <w:r w:rsidR="00BD562D">
        <w:rPr>
          <w:rFonts w:ascii="標楷體" w:hAnsi="標楷體"/>
          <w:sz w:val="28"/>
          <w:szCs w:val="28"/>
        </w:rPr>
        <w:t>1</w:t>
      </w:r>
      <w:r w:rsidR="00BD562D">
        <w:rPr>
          <w:rFonts w:ascii="標楷體" w:hAnsi="標楷體" w:hint="eastAsia"/>
          <w:sz w:val="28"/>
          <w:szCs w:val="28"/>
        </w:rPr>
        <w:t>項（投資金額</w:t>
      </w:r>
      <w:r w:rsidR="00BD562D">
        <w:rPr>
          <w:rFonts w:ascii="標楷體" w:hAnsi="標楷體"/>
          <w:sz w:val="28"/>
          <w:szCs w:val="28"/>
        </w:rPr>
        <w:t>2,571</w:t>
      </w:r>
      <w:r w:rsidR="00BD562D">
        <w:rPr>
          <w:rFonts w:ascii="標楷體" w:hAnsi="標楷體" w:hint="eastAsia"/>
          <w:sz w:val="28"/>
          <w:szCs w:val="28"/>
        </w:rPr>
        <w:t>億</w:t>
      </w:r>
      <w:r w:rsidR="00BD562D">
        <w:rPr>
          <w:rFonts w:ascii="標楷體" w:hAnsi="標楷體"/>
          <w:sz w:val="28"/>
          <w:szCs w:val="28"/>
        </w:rPr>
        <w:t>8,449</w:t>
      </w:r>
      <w:r w:rsidR="00BD562D">
        <w:rPr>
          <w:rFonts w:ascii="標楷體" w:hAnsi="標楷體" w:hint="eastAsia"/>
          <w:sz w:val="28"/>
          <w:szCs w:val="28"/>
        </w:rPr>
        <w:t>萬餘元）外，其餘4</w:t>
      </w:r>
      <w:r w:rsidR="00BD562D">
        <w:rPr>
          <w:rFonts w:ascii="標楷體" w:hAnsi="標楷體"/>
          <w:sz w:val="28"/>
          <w:szCs w:val="28"/>
        </w:rPr>
        <w:t>1</w:t>
      </w:r>
      <w:r w:rsidR="00BD562D">
        <w:rPr>
          <w:rFonts w:ascii="標楷體" w:hAnsi="標楷體" w:hint="eastAsia"/>
          <w:sz w:val="28"/>
          <w:szCs w:val="28"/>
        </w:rPr>
        <w:t>項（投資金額1,8</w:t>
      </w:r>
      <w:r w:rsidR="00BD562D">
        <w:rPr>
          <w:rFonts w:ascii="標楷體" w:hAnsi="標楷體"/>
          <w:sz w:val="28"/>
          <w:szCs w:val="28"/>
        </w:rPr>
        <w:t>44</w:t>
      </w:r>
      <w:r w:rsidR="00BD562D">
        <w:rPr>
          <w:rFonts w:ascii="標楷體" w:hAnsi="標楷體" w:hint="eastAsia"/>
          <w:sz w:val="28"/>
          <w:szCs w:val="28"/>
        </w:rPr>
        <w:t>億</w:t>
      </w:r>
      <w:r w:rsidR="00BD562D">
        <w:rPr>
          <w:rFonts w:ascii="標楷體" w:hAnsi="標楷體"/>
          <w:sz w:val="28"/>
          <w:szCs w:val="28"/>
        </w:rPr>
        <w:t>5,303</w:t>
      </w:r>
      <w:r w:rsidR="00BD562D">
        <w:rPr>
          <w:rFonts w:ascii="標楷體" w:hAnsi="標楷體" w:hint="eastAsia"/>
          <w:sz w:val="28"/>
          <w:szCs w:val="28"/>
        </w:rPr>
        <w:t>萬餘元）均未達成原訂效益目標，占71項計畫之</w:t>
      </w:r>
      <w:r w:rsidR="00BD562D">
        <w:rPr>
          <w:rFonts w:ascii="標楷體" w:hAnsi="標楷體"/>
          <w:sz w:val="28"/>
          <w:szCs w:val="28"/>
        </w:rPr>
        <w:t>57.75</w:t>
      </w:r>
      <w:r w:rsidR="00BD562D">
        <w:rPr>
          <w:rFonts w:ascii="標楷體" w:hAnsi="標楷體" w:hint="eastAsia"/>
          <w:sz w:val="28"/>
          <w:szCs w:val="28"/>
        </w:rPr>
        <w:t>％，已逾半數（圖</w:t>
      </w:r>
      <w:r w:rsidR="00BD562D">
        <w:rPr>
          <w:rFonts w:ascii="標楷體" w:hAnsi="標楷體"/>
          <w:sz w:val="28"/>
          <w:szCs w:val="28"/>
        </w:rPr>
        <w:t>2</w:t>
      </w:r>
      <w:r w:rsidR="00BD562D">
        <w:rPr>
          <w:rFonts w:ascii="標楷體" w:hAnsi="標楷體" w:hint="eastAsia"/>
          <w:sz w:val="28"/>
          <w:szCs w:val="28"/>
        </w:rPr>
        <w:t>）。又4</w:t>
      </w:r>
      <w:r w:rsidR="00BD562D">
        <w:rPr>
          <w:rFonts w:ascii="標楷體" w:hAnsi="標楷體"/>
          <w:sz w:val="28"/>
          <w:szCs w:val="28"/>
        </w:rPr>
        <w:t>1</w:t>
      </w:r>
      <w:r w:rsidR="00BD562D">
        <w:rPr>
          <w:rFonts w:ascii="標楷體" w:hAnsi="標楷體" w:hint="eastAsia"/>
          <w:sz w:val="28"/>
          <w:szCs w:val="28"/>
        </w:rPr>
        <w:t>項未達預期目標之重大購建固定資產計畫中，尚有台灣糖業公司之「生物科技工廠投資計畫（第一期）」等6項、台灣中油公司之「石化事業部三輕更新投資計畫」等3項、台灣電力公司之「風力發電第一期計畫」等16項及台灣自來水公司之「花蓮地區自來水供水工程計畫」</w:t>
      </w:r>
      <w:r w:rsidR="00BD562D">
        <w:rPr>
          <w:rFonts w:ascii="標楷體" w:hAnsi="標楷體"/>
          <w:sz w:val="28"/>
          <w:szCs w:val="28"/>
        </w:rPr>
        <w:t>2</w:t>
      </w:r>
      <w:r w:rsidR="00BD562D">
        <w:rPr>
          <w:rFonts w:ascii="標楷體" w:hAnsi="標楷體" w:hint="eastAsia"/>
          <w:sz w:val="28"/>
          <w:szCs w:val="28"/>
        </w:rPr>
        <w:t>項，共2</w:t>
      </w:r>
      <w:r w:rsidR="00BD562D">
        <w:rPr>
          <w:rFonts w:ascii="標楷體" w:hAnsi="標楷體"/>
          <w:sz w:val="28"/>
          <w:szCs w:val="28"/>
        </w:rPr>
        <w:t>7</w:t>
      </w:r>
      <w:r w:rsidR="00BD562D">
        <w:rPr>
          <w:rFonts w:ascii="標楷體" w:hAnsi="標楷體" w:hint="eastAsia"/>
          <w:sz w:val="28"/>
          <w:szCs w:val="28"/>
        </w:rPr>
        <w:t>項計畫，其113年度投資效益未達預期，主要係保健商品銷量競爭激烈，商品銷售收入未如預期，或因操作異常及停爐，影響經濟效益，或因風機停機時間較預計增加，發電量隨減，或優先利用地勢較高之砂婆礑淨水場供水等所致，雖已對該等計畫採行相關改善措施，</w:t>
      </w:r>
      <w:r w:rsidR="00BD562D">
        <w:rPr>
          <w:rFonts w:ascii="標楷體" w:hAnsi="標楷體" w:hint="eastAsia"/>
          <w:sz w:val="28"/>
          <w:szCs w:val="28"/>
        </w:rPr>
        <w:lastRenderedPageBreak/>
        <w:t>惟114年度仍未獲改善，實際投資報酬率均未達預期，或甚為負值，已占4</w:t>
      </w:r>
      <w:r w:rsidR="00BD562D">
        <w:rPr>
          <w:rFonts w:ascii="標楷體" w:hAnsi="標楷體"/>
          <w:sz w:val="28"/>
          <w:szCs w:val="28"/>
        </w:rPr>
        <w:t>1</w:t>
      </w:r>
      <w:r w:rsidR="00BD562D">
        <w:rPr>
          <w:rFonts w:ascii="標楷體" w:hAnsi="標楷體" w:hint="eastAsia"/>
          <w:sz w:val="28"/>
          <w:szCs w:val="28"/>
        </w:rPr>
        <w:t>項計畫之65.</w:t>
      </w:r>
      <w:r w:rsidR="00BD562D">
        <w:rPr>
          <w:rFonts w:ascii="標楷體" w:hAnsi="標楷體"/>
          <w:sz w:val="28"/>
          <w:szCs w:val="28"/>
        </w:rPr>
        <w:t>85</w:t>
      </w:r>
      <w:r w:rsidR="00BD562D">
        <w:rPr>
          <w:rFonts w:ascii="標楷體" w:hAnsi="標楷體" w:hint="eastAsia"/>
          <w:sz w:val="28"/>
          <w:szCs w:val="28"/>
        </w:rPr>
        <w:t>％，經函請經濟部積極督促研謀善策妥處。據復：各該事業將持續開拓行銷通路、進行工場效益分析，優化操作參數、提升運轉效率及確保生產穩定性，並推動早期風場除役更新計畫、落實預防保養，維持備品庫存、減少待料時間，加強機組之運轉維護與工期管控、提高用戶普及率，增加淨水場出水量等措施，以提高計畫經濟效益。</w:t>
      </w:r>
    </w:p>
    <w:p w14:paraId="7B4C946A" w14:textId="478ACE2F" w:rsidR="009D4B05" w:rsidRPr="009D4B05" w:rsidRDefault="009D4B05" w:rsidP="00995419">
      <w:pPr>
        <w:overflowPunct w:val="0"/>
        <w:spacing w:line="580" w:lineRule="exact"/>
        <w:ind w:firstLineChars="200" w:firstLine="561"/>
        <w:jc w:val="both"/>
        <w:rPr>
          <w:rFonts w:ascii="標楷體" w:hAnsi="標楷體"/>
          <w:b/>
          <w:bCs/>
          <w:sz w:val="28"/>
          <w:szCs w:val="28"/>
        </w:rPr>
      </w:pPr>
      <w:bookmarkStart w:id="0" w:name="_Toc482878350"/>
      <w:bookmarkStart w:id="1" w:name="_Toc483384669"/>
      <w:bookmarkStart w:id="2" w:name="_Toc486081631"/>
      <w:bookmarkStart w:id="3" w:name="_Toc486681964"/>
      <w:bookmarkStart w:id="4" w:name="_Toc487033686"/>
      <w:bookmarkStart w:id="5" w:name="_Toc486081632"/>
      <w:r>
        <w:rPr>
          <w:rFonts w:ascii="標楷體" w:hAnsi="標楷體" w:hint="eastAsia"/>
          <w:b/>
          <w:bCs/>
          <w:sz w:val="28"/>
          <w:szCs w:val="28"/>
        </w:rPr>
        <w:t>（五）</w:t>
      </w:r>
      <w:r w:rsidR="009C2C75">
        <w:rPr>
          <w:rFonts w:ascii="標楷體" w:hAnsi="標楷體" w:hint="eastAsia"/>
          <w:b/>
          <w:bCs/>
          <w:sz w:val="28"/>
          <w:szCs w:val="28"/>
        </w:rPr>
        <w:t xml:space="preserve">　</w:t>
      </w:r>
      <w:r w:rsidRPr="009D4B05">
        <w:rPr>
          <w:rFonts w:ascii="標楷體" w:hAnsi="標楷體" w:hint="eastAsia"/>
          <w:b/>
          <w:bCs/>
          <w:sz w:val="28"/>
          <w:szCs w:val="28"/>
        </w:rPr>
        <w:t>國營金融機構營運結果年年獲致盈餘，惟淨值及資產報酬率等獲利能力不及多數金融同業，又理財業務承作範疇與服務對象尚需拓展，為健全未來金融競爭力，並擴增利潤空間，允宜研謀強化獲利及業務發展能力，以利永續經營。</w:t>
      </w:r>
    </w:p>
    <w:p w14:paraId="6E7D2D25" w14:textId="77777777" w:rsidR="00C33CA7" w:rsidRDefault="009D4B05" w:rsidP="00864A96">
      <w:pPr>
        <w:pStyle w:val="30"/>
        <w:overflowPunct w:val="0"/>
        <w:adjustRightInd w:val="0"/>
        <w:snapToGrid w:val="0"/>
        <w:spacing w:after="0" w:line="620" w:lineRule="exact"/>
        <w:ind w:leftChars="11" w:left="26" w:firstLineChars="200" w:firstLine="560"/>
        <w:jc w:val="both"/>
        <w:rPr>
          <w:rFonts w:ascii="標楷體" w:eastAsia="標楷體" w:hAnsi="標楷體" w:cs="Times New Roman"/>
          <w:sz w:val="28"/>
          <w:szCs w:val="28"/>
        </w:rPr>
      </w:pPr>
      <w:r w:rsidRPr="009D4B05">
        <w:rPr>
          <w:rFonts w:ascii="標楷體" w:eastAsia="標楷體" w:hAnsi="標楷體" w:cs="Times New Roman" w:hint="eastAsia"/>
          <w:sz w:val="28"/>
          <w:szCs w:val="28"/>
        </w:rPr>
        <w:t>依國營事業管理法第4條規定，國營事業應力求有盈無虧，增加國庫收入。又依中央政府特種基金管理準則第4條第1項規定：「營業基金應依企業化經營原則，提升營運績效，除負有政策性任務者外，應以追求最佳盈餘為目標。」經查，臺灣金融控股公司及臺灣土地銀行公司近1</w:t>
      </w:r>
      <w:r w:rsidRPr="009D4B05">
        <w:rPr>
          <w:rFonts w:ascii="標楷體" w:eastAsia="標楷體" w:hAnsi="標楷體" w:cs="Times New Roman"/>
          <w:sz w:val="28"/>
          <w:szCs w:val="28"/>
        </w:rPr>
        <w:t>0</w:t>
      </w:r>
      <w:r w:rsidRPr="009D4B05">
        <w:rPr>
          <w:rFonts w:ascii="標楷體" w:eastAsia="標楷體" w:hAnsi="標楷體" w:cs="Times New Roman" w:hint="eastAsia"/>
          <w:sz w:val="28"/>
          <w:szCs w:val="28"/>
        </w:rPr>
        <w:t>年度（1</w:t>
      </w:r>
      <w:r w:rsidRPr="009D4B05">
        <w:rPr>
          <w:rFonts w:ascii="標楷體" w:eastAsia="標楷體" w:hAnsi="標楷體" w:cs="Times New Roman"/>
          <w:sz w:val="28"/>
          <w:szCs w:val="28"/>
        </w:rPr>
        <w:t>05</w:t>
      </w:r>
      <w:r w:rsidRPr="009D4B05">
        <w:rPr>
          <w:rFonts w:ascii="標楷體" w:eastAsia="標楷體" w:hAnsi="標楷體" w:cs="Times New Roman" w:hint="eastAsia"/>
          <w:sz w:val="28"/>
          <w:szCs w:val="28"/>
        </w:rPr>
        <w:t>至1</w:t>
      </w:r>
      <w:r w:rsidRPr="009D4B05">
        <w:rPr>
          <w:rFonts w:ascii="標楷體" w:eastAsia="標楷體" w:hAnsi="標楷體" w:cs="Times New Roman"/>
          <w:sz w:val="28"/>
          <w:szCs w:val="28"/>
        </w:rPr>
        <w:t>14</w:t>
      </w:r>
      <w:r w:rsidRPr="009D4B05">
        <w:rPr>
          <w:rFonts w:ascii="標楷體" w:eastAsia="標楷體" w:hAnsi="標楷體" w:cs="Times New Roman" w:hint="eastAsia"/>
          <w:sz w:val="28"/>
          <w:szCs w:val="28"/>
        </w:rPr>
        <w:t>年度）年年獲致盈餘，惟各該國營金融機構之淨值及資產報酬率等獲利能力不及多數金融同業，其中臺灣金融控股公司1</w:t>
      </w:r>
      <w:r w:rsidRPr="009D4B05">
        <w:rPr>
          <w:rFonts w:ascii="標楷體" w:eastAsia="標楷體" w:hAnsi="標楷體" w:cs="Times New Roman"/>
          <w:sz w:val="28"/>
          <w:szCs w:val="28"/>
        </w:rPr>
        <w:t>14</w:t>
      </w:r>
      <w:r w:rsidRPr="009D4B05">
        <w:rPr>
          <w:rFonts w:ascii="標楷體" w:eastAsia="標楷體" w:hAnsi="標楷體" w:cs="Times New Roman" w:hint="eastAsia"/>
          <w:sz w:val="28"/>
          <w:szCs w:val="28"/>
        </w:rPr>
        <w:t>年度淨值報酬率（下稱R</w:t>
      </w:r>
      <w:r w:rsidRPr="009D4B05">
        <w:rPr>
          <w:rFonts w:ascii="標楷體" w:eastAsia="標楷體" w:hAnsi="標楷體" w:cs="Times New Roman"/>
          <w:sz w:val="28"/>
          <w:szCs w:val="28"/>
        </w:rPr>
        <w:t>OE</w:t>
      </w:r>
      <w:r w:rsidRPr="009D4B05">
        <w:rPr>
          <w:rFonts w:ascii="標楷體" w:eastAsia="標楷體" w:hAnsi="標楷體" w:cs="Times New Roman" w:hint="eastAsia"/>
          <w:sz w:val="28"/>
          <w:szCs w:val="28"/>
        </w:rPr>
        <w:t>）4</w:t>
      </w:r>
      <w:r w:rsidRPr="009D4B05">
        <w:rPr>
          <w:rFonts w:ascii="標楷體" w:eastAsia="標楷體" w:hAnsi="標楷體" w:cs="Times New Roman"/>
          <w:sz w:val="28"/>
          <w:szCs w:val="28"/>
        </w:rPr>
        <w:t>.33</w:t>
      </w:r>
      <w:r w:rsidRPr="009D4B05">
        <w:rPr>
          <w:rFonts w:ascii="標楷體" w:eastAsia="標楷體" w:hAnsi="標楷體" w:cs="Times New Roman" w:hint="eastAsia"/>
          <w:sz w:val="28"/>
          <w:szCs w:val="28"/>
        </w:rPr>
        <w:t>％及資產報酬率（下稱R</w:t>
      </w:r>
      <w:r w:rsidRPr="009D4B05">
        <w:rPr>
          <w:rFonts w:ascii="標楷體" w:eastAsia="標楷體" w:hAnsi="標楷體" w:cs="Times New Roman"/>
          <w:sz w:val="28"/>
          <w:szCs w:val="28"/>
        </w:rPr>
        <w:t>OA</w:t>
      </w:r>
      <w:r w:rsidRPr="009D4B05">
        <w:rPr>
          <w:rFonts w:ascii="標楷體" w:eastAsia="標楷體" w:hAnsi="標楷體" w:cs="Times New Roman" w:hint="eastAsia"/>
          <w:sz w:val="28"/>
          <w:szCs w:val="28"/>
        </w:rPr>
        <w:t>）3</w:t>
      </w:r>
      <w:r w:rsidRPr="009D4B05">
        <w:rPr>
          <w:rFonts w:ascii="標楷體" w:eastAsia="標楷體" w:hAnsi="標楷體" w:cs="Times New Roman"/>
          <w:sz w:val="28"/>
          <w:szCs w:val="28"/>
        </w:rPr>
        <w:t>.99</w:t>
      </w:r>
      <w:r w:rsidRPr="009D4B05">
        <w:rPr>
          <w:rFonts w:ascii="標楷體" w:eastAsia="標楷體" w:hAnsi="標楷體" w:cs="Times New Roman" w:hint="eastAsia"/>
          <w:sz w:val="28"/>
          <w:szCs w:val="28"/>
        </w:rPr>
        <w:t>％，均係國內現有金融控股公司之末，又該金融控股公司1</w:t>
      </w:r>
      <w:r w:rsidRPr="009D4B05">
        <w:rPr>
          <w:rFonts w:ascii="標楷體" w:eastAsia="標楷體" w:hAnsi="標楷體" w:cs="Times New Roman"/>
          <w:sz w:val="28"/>
          <w:szCs w:val="28"/>
        </w:rPr>
        <w:t>14</w:t>
      </w:r>
      <w:r w:rsidRPr="009D4B05">
        <w:rPr>
          <w:rFonts w:ascii="標楷體" w:eastAsia="標楷體" w:hAnsi="標楷體" w:cs="Times New Roman" w:hint="eastAsia"/>
          <w:sz w:val="28"/>
          <w:szCs w:val="28"/>
        </w:rPr>
        <w:t>年度R</w:t>
      </w:r>
      <w:r w:rsidRPr="009D4B05">
        <w:rPr>
          <w:rFonts w:ascii="標楷體" w:eastAsia="標楷體" w:hAnsi="標楷體" w:cs="Times New Roman"/>
          <w:sz w:val="28"/>
          <w:szCs w:val="28"/>
        </w:rPr>
        <w:t>OE</w:t>
      </w:r>
      <w:r w:rsidRPr="009D4B05">
        <w:rPr>
          <w:rFonts w:ascii="標楷體" w:eastAsia="標楷體" w:hAnsi="標楷體" w:cs="Times New Roman" w:hint="eastAsia"/>
          <w:sz w:val="28"/>
          <w:szCs w:val="28"/>
        </w:rPr>
        <w:t>及R</w:t>
      </w:r>
      <w:r w:rsidRPr="009D4B05">
        <w:rPr>
          <w:rFonts w:ascii="標楷體" w:eastAsia="標楷體" w:hAnsi="標楷體" w:cs="Times New Roman"/>
          <w:sz w:val="28"/>
          <w:szCs w:val="28"/>
        </w:rPr>
        <w:t>OA</w:t>
      </w:r>
      <w:r w:rsidRPr="009D4B05">
        <w:rPr>
          <w:rFonts w:ascii="標楷體" w:eastAsia="標楷體" w:hAnsi="標楷體" w:cs="Times New Roman" w:hint="eastAsia"/>
          <w:sz w:val="28"/>
          <w:szCs w:val="28"/>
        </w:rPr>
        <w:t>等獲利能力指標較合併當年（9</w:t>
      </w:r>
      <w:r w:rsidRPr="009D4B05">
        <w:rPr>
          <w:rFonts w:ascii="標楷體" w:eastAsia="標楷體" w:hAnsi="標楷體" w:cs="Times New Roman"/>
          <w:sz w:val="28"/>
          <w:szCs w:val="28"/>
        </w:rPr>
        <w:t>7</w:t>
      </w:r>
      <w:r w:rsidRPr="009D4B05">
        <w:rPr>
          <w:rFonts w:ascii="標楷體" w:eastAsia="標楷體" w:hAnsi="標楷體" w:cs="Times New Roman" w:hint="eastAsia"/>
          <w:sz w:val="28"/>
          <w:szCs w:val="28"/>
        </w:rPr>
        <w:t>年度），僅分別增加0</w:t>
      </w:r>
      <w:r w:rsidRPr="009D4B05">
        <w:rPr>
          <w:rFonts w:ascii="標楷體" w:eastAsia="標楷體" w:hAnsi="標楷體" w:cs="Times New Roman"/>
          <w:sz w:val="28"/>
          <w:szCs w:val="28"/>
        </w:rPr>
        <w:t>.7</w:t>
      </w:r>
      <w:r w:rsidRPr="009D4B05">
        <w:rPr>
          <w:rFonts w:ascii="標楷體" w:eastAsia="標楷體" w:hAnsi="標楷體" w:cs="Times New Roman" w:hint="eastAsia"/>
          <w:sz w:val="28"/>
          <w:szCs w:val="28"/>
        </w:rPr>
        <w:t>0及0</w:t>
      </w:r>
      <w:r w:rsidRPr="009D4B05">
        <w:rPr>
          <w:rFonts w:ascii="標楷體" w:eastAsia="標楷體" w:hAnsi="標楷體" w:cs="Times New Roman"/>
          <w:sz w:val="28"/>
          <w:szCs w:val="28"/>
        </w:rPr>
        <w:t>.36</w:t>
      </w:r>
      <w:r w:rsidRPr="009D4B05">
        <w:rPr>
          <w:rFonts w:ascii="標楷體" w:eastAsia="標楷體" w:hAnsi="標楷體" w:cs="Times New Roman" w:hint="eastAsia"/>
          <w:sz w:val="28"/>
          <w:szCs w:val="28"/>
        </w:rPr>
        <w:t>個百分點，成長幅度遜於多數金控同業，顯示該金融控股公司自成立以來，透過擴大經濟規模及提升資本效率，以強化獲利能力之成效有限。另臺灣土地銀行公司1</w:t>
      </w:r>
      <w:r w:rsidRPr="009D4B05">
        <w:rPr>
          <w:rFonts w:ascii="標楷體" w:eastAsia="標楷體" w:hAnsi="標楷體" w:cs="Times New Roman"/>
          <w:sz w:val="28"/>
          <w:szCs w:val="28"/>
        </w:rPr>
        <w:t>14</w:t>
      </w:r>
      <w:r w:rsidRPr="009D4B05">
        <w:rPr>
          <w:rFonts w:ascii="標楷體" w:eastAsia="標楷體" w:hAnsi="標楷體" w:cs="Times New Roman" w:hint="eastAsia"/>
          <w:sz w:val="28"/>
          <w:szCs w:val="28"/>
        </w:rPr>
        <w:t>年度之R</w:t>
      </w:r>
      <w:r w:rsidRPr="009D4B05">
        <w:rPr>
          <w:rFonts w:ascii="標楷體" w:eastAsia="標楷體" w:hAnsi="標楷體" w:cs="Times New Roman"/>
          <w:sz w:val="28"/>
          <w:szCs w:val="28"/>
        </w:rPr>
        <w:t>OE 8.50</w:t>
      </w:r>
      <w:r w:rsidRPr="009D4B05">
        <w:rPr>
          <w:rFonts w:ascii="標楷體" w:eastAsia="標楷體" w:hAnsi="標楷體" w:cs="Times New Roman" w:hint="eastAsia"/>
          <w:sz w:val="28"/>
          <w:szCs w:val="28"/>
        </w:rPr>
        <w:t>％及R</w:t>
      </w:r>
      <w:r w:rsidRPr="009D4B05">
        <w:rPr>
          <w:rFonts w:ascii="標楷體" w:eastAsia="標楷體" w:hAnsi="標楷體" w:cs="Times New Roman"/>
          <w:sz w:val="28"/>
          <w:szCs w:val="28"/>
        </w:rPr>
        <w:t>OA 0.54</w:t>
      </w:r>
      <w:r w:rsidRPr="009D4B05">
        <w:rPr>
          <w:rFonts w:ascii="標楷體" w:eastAsia="標楷體" w:hAnsi="標楷體" w:cs="Times New Roman" w:hint="eastAsia"/>
          <w:sz w:val="28"/>
          <w:szCs w:val="28"/>
        </w:rPr>
        <w:t>％等獲利指標亦均低於（泛</w:t>
      </w:r>
      <w:r w:rsidRPr="009D4B05">
        <w:rPr>
          <w:rFonts w:ascii="標楷體" w:eastAsia="標楷體" w:hAnsi="標楷體" w:cs="Times New Roman"/>
          <w:sz w:val="28"/>
          <w:szCs w:val="28"/>
        </w:rPr>
        <w:t>）</w:t>
      </w:r>
      <w:r w:rsidRPr="009D4B05">
        <w:rPr>
          <w:rFonts w:ascii="標楷體" w:eastAsia="標楷體" w:hAnsi="標楷體" w:cs="Times New Roman" w:hint="eastAsia"/>
          <w:sz w:val="28"/>
          <w:szCs w:val="28"/>
        </w:rPr>
        <w:t>公股銀行之平均數（R</w:t>
      </w:r>
      <w:r w:rsidRPr="009D4B05">
        <w:rPr>
          <w:rFonts w:ascii="標楷體" w:eastAsia="標楷體" w:hAnsi="標楷體" w:cs="Times New Roman"/>
          <w:sz w:val="28"/>
          <w:szCs w:val="28"/>
        </w:rPr>
        <w:t>OE 10.83</w:t>
      </w:r>
      <w:r w:rsidRPr="009D4B05">
        <w:rPr>
          <w:rFonts w:ascii="標楷體" w:eastAsia="標楷體" w:hAnsi="標楷體" w:cs="Times New Roman" w:hint="eastAsia"/>
          <w:sz w:val="28"/>
          <w:szCs w:val="28"/>
        </w:rPr>
        <w:t>％及R</w:t>
      </w:r>
      <w:r w:rsidRPr="009D4B05">
        <w:rPr>
          <w:rFonts w:ascii="標楷體" w:eastAsia="標楷體" w:hAnsi="標楷體" w:cs="Times New Roman"/>
          <w:sz w:val="28"/>
          <w:szCs w:val="28"/>
        </w:rPr>
        <w:t>OA 0.78</w:t>
      </w:r>
      <w:r w:rsidRPr="009D4B05">
        <w:rPr>
          <w:rFonts w:ascii="標楷體" w:eastAsia="標楷體" w:hAnsi="標楷體" w:cs="Times New Roman" w:hint="eastAsia"/>
          <w:sz w:val="28"/>
          <w:szCs w:val="28"/>
        </w:rPr>
        <w:t>％），且低於與其資產規模相似之銀行，獲利能力有待提升。又查，臺灣金融控股公司所屬臺灣銀行公司為扭轉非利息收入偏低之現況，已將「深耕理財業務並提升全行手續費收入」列為業務推展策略重點方向，惟臺灣銀行公司手續費貢獻度7</w:t>
      </w:r>
      <w:r w:rsidRPr="009D4B05">
        <w:rPr>
          <w:rFonts w:ascii="標楷體" w:eastAsia="標楷體" w:hAnsi="標楷體" w:cs="Times New Roman"/>
          <w:sz w:val="28"/>
          <w:szCs w:val="28"/>
        </w:rPr>
        <w:t>.19</w:t>
      </w:r>
      <w:r w:rsidRPr="009D4B05">
        <w:rPr>
          <w:rFonts w:ascii="標楷體" w:eastAsia="標楷體" w:hAnsi="標楷體" w:cs="Times New Roman" w:hint="eastAsia"/>
          <w:sz w:val="28"/>
          <w:szCs w:val="28"/>
        </w:rPr>
        <w:t>％，仍落</w:t>
      </w:r>
      <w:r w:rsidRPr="009D4B05">
        <w:rPr>
          <w:rFonts w:ascii="標楷體" w:eastAsia="標楷體" w:hAnsi="標楷體" w:cs="Times New Roman" w:hint="eastAsia"/>
          <w:sz w:val="28"/>
          <w:szCs w:val="28"/>
        </w:rPr>
        <w:lastRenderedPageBreak/>
        <w:t>後其他金控集團所屬銀行子公司5</w:t>
      </w:r>
      <w:r w:rsidRPr="009D4B05">
        <w:rPr>
          <w:rFonts w:ascii="標楷體" w:eastAsia="標楷體" w:hAnsi="標楷體" w:cs="Times New Roman"/>
          <w:sz w:val="28"/>
          <w:szCs w:val="28"/>
        </w:rPr>
        <w:t>.91</w:t>
      </w:r>
      <w:r w:rsidRPr="009D4B05">
        <w:rPr>
          <w:rFonts w:ascii="標楷體" w:eastAsia="標楷體" w:hAnsi="標楷體" w:cs="Times New Roman" w:hint="eastAsia"/>
          <w:sz w:val="28"/>
          <w:szCs w:val="28"/>
        </w:rPr>
        <w:t>至2</w:t>
      </w:r>
      <w:r w:rsidRPr="009D4B05">
        <w:rPr>
          <w:rFonts w:ascii="標楷體" w:eastAsia="標楷體" w:hAnsi="標楷體" w:cs="Times New Roman"/>
          <w:sz w:val="28"/>
          <w:szCs w:val="28"/>
        </w:rPr>
        <w:t>4.76</w:t>
      </w:r>
      <w:r w:rsidRPr="009D4B05">
        <w:rPr>
          <w:rFonts w:ascii="標楷體" w:eastAsia="標楷體" w:hAnsi="標楷體" w:cs="Times New Roman" w:hint="eastAsia"/>
          <w:sz w:val="28"/>
          <w:szCs w:val="28"/>
        </w:rPr>
        <w:t>個百分點，且截至1</w:t>
      </w:r>
      <w:r w:rsidRPr="009D4B05">
        <w:rPr>
          <w:rFonts w:ascii="標楷體" w:eastAsia="標楷體" w:hAnsi="標楷體" w:cs="Times New Roman"/>
          <w:sz w:val="28"/>
          <w:szCs w:val="28"/>
        </w:rPr>
        <w:t>15</w:t>
      </w:r>
      <w:r w:rsidRPr="009D4B05">
        <w:rPr>
          <w:rFonts w:ascii="標楷體" w:eastAsia="標楷體" w:hAnsi="標楷體" w:cs="Times New Roman" w:hint="eastAsia"/>
          <w:sz w:val="28"/>
          <w:szCs w:val="28"/>
        </w:rPr>
        <w:t>年3月1</w:t>
      </w:r>
      <w:r w:rsidRPr="009D4B05">
        <w:rPr>
          <w:rFonts w:ascii="標楷體" w:eastAsia="標楷體" w:hAnsi="標楷體" w:cs="Times New Roman"/>
          <w:sz w:val="28"/>
          <w:szCs w:val="28"/>
        </w:rPr>
        <w:t>0</w:t>
      </w:r>
      <w:r w:rsidRPr="009D4B05">
        <w:rPr>
          <w:rFonts w:ascii="標楷體" w:eastAsia="標楷體" w:hAnsi="標楷體" w:cs="Times New Roman" w:hint="eastAsia"/>
          <w:sz w:val="28"/>
          <w:szCs w:val="28"/>
        </w:rPr>
        <w:t>日止，尚未開辨「家庭理財」服務，亦尚未將理財業務連結信用卡發行，以擴增服務對</w:t>
      </w:r>
      <w:r w:rsidRPr="004F1FC8">
        <w:rPr>
          <w:rFonts w:ascii="標楷體" w:eastAsia="標楷體" w:hAnsi="標楷體" w:cs="Times New Roman" w:hint="eastAsia"/>
          <w:spacing w:val="2"/>
          <w:sz w:val="28"/>
          <w:szCs w:val="28"/>
        </w:rPr>
        <w:t>象及開拓共銷商機，亦未就資產淨值達新臺幣1億元以上之客戶提供海外投資等客</w:t>
      </w:r>
    </w:p>
    <w:p w14:paraId="43E69075" w14:textId="705A1140" w:rsidR="009D4B05" w:rsidRPr="009D4B05" w:rsidRDefault="00C33CA7" w:rsidP="00A53242">
      <w:pPr>
        <w:pStyle w:val="30"/>
        <w:overflowPunct w:val="0"/>
        <w:adjustRightInd w:val="0"/>
        <w:snapToGrid w:val="0"/>
        <w:spacing w:after="0" w:line="600" w:lineRule="exact"/>
        <w:ind w:leftChars="11" w:left="26" w:firstLineChars="10" w:firstLine="16"/>
        <w:jc w:val="both"/>
        <w:rPr>
          <w:rFonts w:ascii="標楷體" w:eastAsia="標楷體" w:hAnsi="標楷體" w:cs="Times New Roman"/>
          <w:sz w:val="28"/>
          <w:szCs w:val="28"/>
        </w:rPr>
      </w:pPr>
      <w:r>
        <w:rPr>
          <w:noProof/>
        </w:rPr>
        <mc:AlternateContent>
          <mc:Choice Requires="wpg">
            <w:drawing>
              <wp:anchor distT="0" distB="0" distL="114300" distR="114300" simplePos="0" relativeHeight="251777024" behindDoc="0" locked="0" layoutInCell="1" allowOverlap="1" wp14:anchorId="760A70D7" wp14:editId="67595338">
                <wp:simplePos x="0" y="0"/>
                <wp:positionH relativeFrom="margin">
                  <wp:align>right</wp:align>
                </wp:positionH>
                <wp:positionV relativeFrom="paragraph">
                  <wp:posOffset>189422</wp:posOffset>
                </wp:positionV>
                <wp:extent cx="3933973" cy="3802380"/>
                <wp:effectExtent l="0" t="0" r="9525" b="7620"/>
                <wp:wrapSquare wrapText="bothSides"/>
                <wp:docPr id="4" name="群組 4"/>
                <wp:cNvGraphicFramePr/>
                <a:graphic xmlns:a="http://schemas.openxmlformats.org/drawingml/2006/main">
                  <a:graphicData uri="http://schemas.microsoft.com/office/word/2010/wordprocessingGroup">
                    <wpg:wgp>
                      <wpg:cNvGrpSpPr/>
                      <wpg:grpSpPr>
                        <a:xfrm>
                          <a:off x="0" y="0"/>
                          <a:ext cx="3933973" cy="3802380"/>
                          <a:chOff x="0" y="-159777"/>
                          <a:chExt cx="4776238" cy="3893577"/>
                        </a:xfrm>
                      </wpg:grpSpPr>
                      <wps:wsp>
                        <wps:cNvPr id="6" name="文字方塊 6"/>
                        <wps:cNvSpPr txBox="1"/>
                        <wps:spPr>
                          <a:xfrm>
                            <a:off x="0" y="304800"/>
                            <a:ext cx="564157" cy="289560"/>
                          </a:xfrm>
                          <a:prstGeom prst="rect">
                            <a:avLst/>
                          </a:prstGeom>
                          <a:solidFill>
                            <a:schemeClr val="lt1"/>
                          </a:solidFill>
                          <a:ln w="6350">
                            <a:noFill/>
                          </a:ln>
                        </wps:spPr>
                        <wps:txbx>
                          <w:txbxContent>
                            <w:p w14:paraId="6BCF3A3C" w14:textId="77777777" w:rsidR="00C33CA7" w:rsidRPr="00CA1EFB" w:rsidRDefault="00C33CA7" w:rsidP="00C33CA7">
                              <w:pPr>
                                <w:rPr>
                                  <w:rFonts w:ascii="標楷體" w:hAnsi="標楷體"/>
                                  <w:sz w:val="20"/>
                                  <w:szCs w:val="20"/>
                                </w:rPr>
                              </w:pPr>
                              <w:r>
                                <w:rPr>
                                  <w:rFonts w:ascii="標楷體" w:hAnsi="標楷體" w:hint="eastAsia"/>
                                  <w:sz w:val="20"/>
                                  <w:szCs w:val="20"/>
                                </w:rPr>
                                <w:t>億元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aphicFrame>
                        <wpg:cNvPr id="8" name="圖表 8"/>
                        <wpg:cNvFrPr/>
                        <wpg:xfrm>
                          <a:off x="15241" y="548640"/>
                          <a:ext cx="4572000" cy="2743200"/>
                        </wpg:xfrm>
                        <a:graphic>
                          <a:graphicData uri="http://schemas.openxmlformats.org/drawingml/2006/chart">
                            <c:chart xmlns:c="http://schemas.openxmlformats.org/drawingml/2006/chart" xmlns:r="http://schemas.openxmlformats.org/officeDocument/2006/relationships" r:id="rId12"/>
                          </a:graphicData>
                        </a:graphic>
                      </wpg:graphicFrame>
                      <wps:wsp>
                        <wps:cNvPr id="9" name="文字方塊 9"/>
                        <wps:cNvSpPr txBox="1"/>
                        <wps:spPr>
                          <a:xfrm>
                            <a:off x="0" y="-159777"/>
                            <a:ext cx="4776238" cy="550069"/>
                          </a:xfrm>
                          <a:prstGeom prst="rect">
                            <a:avLst/>
                          </a:prstGeom>
                          <a:solidFill>
                            <a:schemeClr val="lt1"/>
                          </a:solidFill>
                          <a:ln w="6350">
                            <a:noFill/>
                          </a:ln>
                        </wps:spPr>
                        <wps:txbx>
                          <w:txbxContent>
                            <w:p w14:paraId="07F9FAE0" w14:textId="6AAF9EBA" w:rsidR="00C33CA7" w:rsidRPr="00CA1EFB" w:rsidRDefault="00C33CA7" w:rsidP="0043632A">
                              <w:pPr>
                                <w:spacing w:line="300" w:lineRule="exact"/>
                                <w:ind w:left="673" w:hangingChars="280" w:hanging="673"/>
                                <w:rPr>
                                  <w:rFonts w:ascii="標楷體" w:hAnsi="標楷體"/>
                                  <w:b/>
                                  <w:bCs/>
                                </w:rPr>
                              </w:pPr>
                              <w:r w:rsidRPr="00CA1EFB">
                                <w:rPr>
                                  <w:rFonts w:ascii="標楷體" w:hAnsi="標楷體" w:hint="eastAsia"/>
                                  <w:b/>
                                  <w:bCs/>
                                </w:rPr>
                                <w:t>圖</w:t>
                              </w:r>
                              <w:r>
                                <w:rPr>
                                  <w:rFonts w:ascii="標楷體" w:hAnsi="標楷體" w:hint="eastAsia"/>
                                  <w:b/>
                                  <w:bCs/>
                                </w:rPr>
                                <w:t>3</w:t>
                              </w:r>
                              <w:r w:rsidR="0043632A">
                                <w:rPr>
                                  <w:rFonts w:ascii="標楷體" w:hAnsi="標楷體" w:hint="eastAsia"/>
                                  <w:b/>
                                  <w:bCs/>
                                </w:rPr>
                                <w:t xml:space="preserve">　</w:t>
                              </w:r>
                              <w:r w:rsidRPr="00CA1EFB">
                                <w:rPr>
                                  <w:rFonts w:ascii="標楷體" w:hAnsi="標楷體" w:hint="eastAsia"/>
                                  <w:b/>
                                  <w:bCs/>
                                </w:rPr>
                                <w:t>國營金融機構</w:t>
                              </w:r>
                              <w:r>
                                <w:rPr>
                                  <w:rFonts w:ascii="標楷體" w:hAnsi="標楷體" w:hint="eastAsia"/>
                                  <w:b/>
                                  <w:bCs/>
                                </w:rPr>
                                <w:t>及泛公股銀行1</w:t>
                              </w:r>
                              <w:r>
                                <w:rPr>
                                  <w:rFonts w:ascii="標楷體" w:hAnsi="標楷體"/>
                                  <w:b/>
                                  <w:bCs/>
                                </w:rPr>
                                <w:t>14</w:t>
                              </w:r>
                              <w:r>
                                <w:rPr>
                                  <w:rFonts w:ascii="標楷體" w:hAnsi="標楷體" w:hint="eastAsia"/>
                                  <w:b/>
                                  <w:bCs/>
                                </w:rPr>
                                <w:t>年度</w:t>
                              </w:r>
                              <w:r w:rsidRPr="00CA1EFB">
                                <w:rPr>
                                  <w:rFonts w:ascii="標楷體" w:hAnsi="標楷體" w:hint="eastAsia"/>
                                  <w:b/>
                                  <w:bCs/>
                                </w:rPr>
                                <w:t>財富管理手續費收入情形</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文字方塊 10"/>
                        <wps:cNvSpPr txBox="1"/>
                        <wps:spPr>
                          <a:xfrm>
                            <a:off x="91438" y="3291840"/>
                            <a:ext cx="4634529" cy="441960"/>
                          </a:xfrm>
                          <a:prstGeom prst="rect">
                            <a:avLst/>
                          </a:prstGeom>
                          <a:solidFill>
                            <a:schemeClr val="lt1"/>
                          </a:solidFill>
                          <a:ln w="6350">
                            <a:noFill/>
                          </a:ln>
                        </wps:spPr>
                        <wps:txbx>
                          <w:txbxContent>
                            <w:p w14:paraId="1C1A0638" w14:textId="77777777" w:rsidR="00C33CA7" w:rsidRPr="00656A9B" w:rsidRDefault="00C33CA7" w:rsidP="00C33CA7">
                              <w:pPr>
                                <w:spacing w:line="240" w:lineRule="exact"/>
                                <w:rPr>
                                  <w:rFonts w:ascii="標楷體" w:hAnsi="標楷體"/>
                                  <w:sz w:val="18"/>
                                  <w:szCs w:val="18"/>
                                </w:rPr>
                              </w:pPr>
                              <w:r w:rsidRPr="00656A9B">
                                <w:rPr>
                                  <w:rFonts w:ascii="標楷體" w:hAnsi="標楷體" w:hint="eastAsia"/>
                                  <w:sz w:val="18"/>
                                  <w:szCs w:val="18"/>
                                </w:rPr>
                                <w:t>註：1</w:t>
                              </w:r>
                              <w:r w:rsidRPr="00656A9B">
                                <w:rPr>
                                  <w:rFonts w:ascii="標楷體" w:hAnsi="標楷體"/>
                                  <w:sz w:val="18"/>
                                  <w:szCs w:val="18"/>
                                </w:rPr>
                                <w:t>.</w:t>
                              </w:r>
                              <w:r w:rsidRPr="00656A9B">
                                <w:rPr>
                                  <w:rFonts w:ascii="標楷體" w:hAnsi="標楷體" w:cs="新細明體" w:hint="eastAsia"/>
                                  <w:color w:val="000000"/>
                                  <w:kern w:val="0"/>
                                  <w:sz w:val="18"/>
                                  <w:szCs w:val="18"/>
                                </w:rPr>
                                <w:t>泛公股銀行係指政府持有一定股數，惟非屬國營事業者。</w:t>
                              </w:r>
                            </w:p>
                            <w:p w14:paraId="2D6D5794" w14:textId="77777777" w:rsidR="00C33CA7" w:rsidRPr="00656A9B" w:rsidRDefault="00C33CA7" w:rsidP="00C33CA7">
                              <w:pPr>
                                <w:spacing w:line="240" w:lineRule="exact"/>
                                <w:ind w:firstLineChars="200" w:firstLine="360"/>
                                <w:rPr>
                                  <w:rFonts w:ascii="標楷體" w:hAnsi="標楷體"/>
                                  <w:sz w:val="18"/>
                                  <w:szCs w:val="18"/>
                                </w:rPr>
                              </w:pPr>
                              <w:r w:rsidRPr="00656A9B">
                                <w:rPr>
                                  <w:rFonts w:ascii="標楷體" w:hAnsi="標楷體"/>
                                  <w:sz w:val="18"/>
                                  <w:szCs w:val="18"/>
                                </w:rPr>
                                <w:t>2.</w:t>
                              </w:r>
                              <w:r w:rsidRPr="00656A9B">
                                <w:rPr>
                                  <w:rFonts w:ascii="標楷體" w:hAnsi="標楷體" w:hint="eastAsia"/>
                                  <w:sz w:val="18"/>
                                  <w:szCs w:val="18"/>
                                </w:rPr>
                                <w:t>資料來源：整理自各金融機構公告資料。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60A70D7" id="群組 4" o:spid="_x0000_s1030" style="position:absolute;left:0;text-align:left;margin-left:258.55pt;margin-top:14.9pt;width:309.75pt;height:299.4pt;z-index:251777024;mso-position-horizontal:right;mso-position-horizontal-relative:margin;mso-width-relative:margin;mso-height-relative:margin" coordorigin=",-1597" coordsize="47762,38935" o:gfxdata="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">
                <v:shape id="文字方塊 6" o:spid="_x0000_s1031" type="#_x0000_t202" style="position:absolute;top:3048;width:564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" fillcolor="white [3201]" stroked="f" strokeweight=".5pt">
                  <v:textbox>
                    <w:txbxContent>
                      <w:p w14:paraId="6BCF3A3C" w14:textId="77777777" w:rsidR="00C33CA7" w:rsidRPr="00CA1EFB" w:rsidRDefault="00C33CA7" w:rsidP="00C33CA7">
                        <w:pPr>
                          <w:rPr>
                            <w:rFonts w:ascii="標楷體" w:hAnsi="標楷體"/>
                            <w:sz w:val="20"/>
                            <w:szCs w:val="20"/>
                          </w:rPr>
                        </w:pPr>
                        <w:r>
                          <w:rPr>
                            <w:rFonts w:ascii="標楷體" w:hAnsi="標楷體" w:hint="eastAsia"/>
                            <w:sz w:val="20"/>
                            <w:szCs w:val="20"/>
                          </w:rPr>
                          <w:t>億元</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8" o:spid="_x0000_s1032" type="#_x0000_t75" style="position:absolute;left:148;top:5455;width:45739;height:2746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">
                  <v:imagedata r:id="rId13" o:title=""/>
                  <o:lock v:ext="edit" aspectratio="f"/>
                </v:shape>
                <v:shape id="文字方塊 9" o:spid="_x0000_s1033" type="#_x0000_t202" style="position:absolute;top:-1597;width:47762;height:5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" fillcolor="white [3201]" stroked="f" strokeweight=".5pt">
                  <v:textbox>
                    <w:txbxContent>
                      <w:p w14:paraId="07F9FAE0" w14:textId="6AAF9EBA" w:rsidR="00C33CA7" w:rsidRPr="00CA1EFB" w:rsidRDefault="00C33CA7" w:rsidP="0043632A">
                        <w:pPr>
                          <w:spacing w:line="300" w:lineRule="exact"/>
                          <w:ind w:left="673" w:hangingChars="280" w:hanging="673"/>
                          <w:rPr>
                            <w:rFonts w:ascii="標楷體" w:hAnsi="標楷體"/>
                            <w:b/>
                            <w:bCs/>
                          </w:rPr>
                        </w:pPr>
                        <w:r w:rsidRPr="00CA1EFB">
                          <w:rPr>
                            <w:rFonts w:ascii="標楷體" w:hAnsi="標楷體" w:hint="eastAsia"/>
                            <w:b/>
                            <w:bCs/>
                          </w:rPr>
                          <w:t>圖</w:t>
                        </w:r>
                        <w:r>
                          <w:rPr>
                            <w:rFonts w:ascii="標楷體" w:hAnsi="標楷體" w:hint="eastAsia"/>
                            <w:b/>
                            <w:bCs/>
                          </w:rPr>
                          <w:t>3</w:t>
                        </w:r>
                        <w:r w:rsidR="0043632A">
                          <w:rPr>
                            <w:rFonts w:ascii="標楷體" w:hAnsi="標楷體" w:hint="eastAsia"/>
                            <w:b/>
                            <w:bCs/>
                          </w:rPr>
                          <w:t xml:space="preserve">　</w:t>
                        </w:r>
                        <w:r w:rsidRPr="00CA1EFB">
                          <w:rPr>
                            <w:rFonts w:ascii="標楷體" w:hAnsi="標楷體" w:hint="eastAsia"/>
                            <w:b/>
                            <w:bCs/>
                          </w:rPr>
                          <w:t>國營金融機構</w:t>
                        </w:r>
                        <w:r>
                          <w:rPr>
                            <w:rFonts w:ascii="標楷體" w:hAnsi="標楷體" w:hint="eastAsia"/>
                            <w:b/>
                            <w:bCs/>
                          </w:rPr>
                          <w:t>及泛公股銀行</w:t>
                        </w:r>
                        <w:proofErr w:type="gramStart"/>
                        <w:r>
                          <w:rPr>
                            <w:rFonts w:ascii="標楷體" w:hAnsi="標楷體" w:hint="eastAsia"/>
                            <w:b/>
                            <w:bCs/>
                          </w:rPr>
                          <w:t>1</w:t>
                        </w:r>
                        <w:r>
                          <w:rPr>
                            <w:rFonts w:ascii="標楷體" w:hAnsi="標楷體"/>
                            <w:b/>
                            <w:bCs/>
                          </w:rPr>
                          <w:t>14</w:t>
                        </w:r>
                        <w:proofErr w:type="gramEnd"/>
                        <w:r>
                          <w:rPr>
                            <w:rFonts w:ascii="標楷體" w:hAnsi="標楷體" w:hint="eastAsia"/>
                            <w:b/>
                            <w:bCs/>
                          </w:rPr>
                          <w:t>年度</w:t>
                        </w:r>
                        <w:r w:rsidRPr="00CA1EFB">
                          <w:rPr>
                            <w:rFonts w:ascii="標楷體" w:hAnsi="標楷體" w:hint="eastAsia"/>
                            <w:b/>
                            <w:bCs/>
                          </w:rPr>
                          <w:t>財富管理手續費收入情形</w:t>
                        </w:r>
                      </w:p>
                    </w:txbxContent>
                  </v:textbox>
                </v:shape>
                <v:shape id="文字方塊 10" o:spid="_x0000_s1034" type="#_x0000_t202" style="position:absolute;left:914;top:32918;width:46345;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" fillcolor="white [3201]" stroked="f" strokeweight=".5pt">
                  <v:textbox>
                    <w:txbxContent>
                      <w:p w14:paraId="1C1A0638" w14:textId="77777777" w:rsidR="00C33CA7" w:rsidRPr="00656A9B" w:rsidRDefault="00C33CA7" w:rsidP="00C33CA7">
                        <w:pPr>
                          <w:spacing w:line="240" w:lineRule="exact"/>
                          <w:rPr>
                            <w:rFonts w:ascii="標楷體" w:hAnsi="標楷體"/>
                            <w:sz w:val="18"/>
                            <w:szCs w:val="18"/>
                          </w:rPr>
                        </w:pPr>
                        <w:proofErr w:type="gramStart"/>
                        <w:r w:rsidRPr="00656A9B">
                          <w:rPr>
                            <w:rFonts w:ascii="標楷體" w:hAnsi="標楷體" w:hint="eastAsia"/>
                            <w:sz w:val="18"/>
                            <w:szCs w:val="18"/>
                          </w:rPr>
                          <w:t>註</w:t>
                        </w:r>
                        <w:proofErr w:type="gramEnd"/>
                        <w:r w:rsidRPr="00656A9B">
                          <w:rPr>
                            <w:rFonts w:ascii="標楷體" w:hAnsi="標楷體" w:hint="eastAsia"/>
                            <w:sz w:val="18"/>
                            <w:szCs w:val="18"/>
                          </w:rPr>
                          <w:t>：1</w:t>
                        </w:r>
                        <w:r w:rsidRPr="00656A9B">
                          <w:rPr>
                            <w:rFonts w:ascii="標楷體" w:hAnsi="標楷體"/>
                            <w:sz w:val="18"/>
                            <w:szCs w:val="18"/>
                          </w:rPr>
                          <w:t>.</w:t>
                        </w:r>
                        <w:r w:rsidRPr="00656A9B">
                          <w:rPr>
                            <w:rFonts w:ascii="標楷體" w:hAnsi="標楷體" w:cs="新細明體" w:hint="eastAsia"/>
                            <w:color w:val="000000"/>
                            <w:kern w:val="0"/>
                            <w:sz w:val="18"/>
                            <w:szCs w:val="18"/>
                          </w:rPr>
                          <w:t>泛公股銀行係指政府持有一定股數，</w:t>
                        </w:r>
                        <w:proofErr w:type="gramStart"/>
                        <w:r w:rsidRPr="00656A9B">
                          <w:rPr>
                            <w:rFonts w:ascii="標楷體" w:hAnsi="標楷體" w:cs="新細明體" w:hint="eastAsia"/>
                            <w:color w:val="000000"/>
                            <w:kern w:val="0"/>
                            <w:sz w:val="18"/>
                            <w:szCs w:val="18"/>
                          </w:rPr>
                          <w:t>惟非屬</w:t>
                        </w:r>
                        <w:proofErr w:type="gramEnd"/>
                        <w:r w:rsidRPr="00656A9B">
                          <w:rPr>
                            <w:rFonts w:ascii="標楷體" w:hAnsi="標楷體" w:cs="新細明體" w:hint="eastAsia"/>
                            <w:color w:val="000000"/>
                            <w:kern w:val="0"/>
                            <w:sz w:val="18"/>
                            <w:szCs w:val="18"/>
                          </w:rPr>
                          <w:t>國營事業者。</w:t>
                        </w:r>
                      </w:p>
                      <w:p w14:paraId="2D6D5794" w14:textId="77777777" w:rsidR="00C33CA7" w:rsidRPr="00656A9B" w:rsidRDefault="00C33CA7" w:rsidP="00C33CA7">
                        <w:pPr>
                          <w:spacing w:line="240" w:lineRule="exact"/>
                          <w:ind w:firstLineChars="200" w:firstLine="360"/>
                          <w:rPr>
                            <w:rFonts w:ascii="標楷體" w:hAnsi="標楷體"/>
                            <w:sz w:val="18"/>
                            <w:szCs w:val="18"/>
                          </w:rPr>
                        </w:pPr>
                        <w:r w:rsidRPr="00656A9B">
                          <w:rPr>
                            <w:rFonts w:ascii="標楷體" w:hAnsi="標楷體"/>
                            <w:sz w:val="18"/>
                            <w:szCs w:val="18"/>
                          </w:rPr>
                          <w:t>2.</w:t>
                        </w:r>
                        <w:r w:rsidRPr="00656A9B">
                          <w:rPr>
                            <w:rFonts w:ascii="標楷體" w:hAnsi="標楷體" w:hint="eastAsia"/>
                            <w:sz w:val="18"/>
                            <w:szCs w:val="18"/>
                          </w:rPr>
                          <w:t>資料來源：整理自各金融機構公告資料。</w:t>
                        </w:r>
                      </w:p>
                    </w:txbxContent>
                  </v:textbox>
                </v:shape>
                <w10:wrap type="square" anchorx="margin"/>
              </v:group>
              <o:OLEObject Type="Embed" ProgID="Excel.Chart.8" ShapeID="圖表 8" DrawAspect="Content" ObjectID="_1845113300" r:id="rId14">
                <o:FieldCodes>\s</o:FieldCodes>
              </o:OLEObject>
            </w:pict>
          </mc:Fallback>
        </mc:AlternateContent>
      </w:r>
      <w:r w:rsidR="009D4B05" w:rsidRPr="009D4B05">
        <w:rPr>
          <w:rFonts w:ascii="標楷體" w:eastAsia="標楷體" w:hAnsi="標楷體" w:cs="Times New Roman" w:hint="eastAsia"/>
          <w:sz w:val="28"/>
          <w:szCs w:val="28"/>
        </w:rPr>
        <w:t>製化服務，致1</w:t>
      </w:r>
      <w:r w:rsidR="009D4B05" w:rsidRPr="009D4B05">
        <w:rPr>
          <w:rFonts w:ascii="標楷體" w:eastAsia="標楷體" w:hAnsi="標楷體" w:cs="Times New Roman"/>
          <w:sz w:val="28"/>
          <w:szCs w:val="28"/>
        </w:rPr>
        <w:t>14</w:t>
      </w:r>
      <w:r w:rsidR="009D4B05" w:rsidRPr="009D4B05">
        <w:rPr>
          <w:rFonts w:ascii="標楷體" w:eastAsia="標楷體" w:hAnsi="標楷體" w:cs="Times New Roman" w:hint="eastAsia"/>
          <w:sz w:val="28"/>
          <w:szCs w:val="28"/>
        </w:rPr>
        <w:t>年度財富管理手續費收入1</w:t>
      </w:r>
      <w:r w:rsidR="009D4B05" w:rsidRPr="009D4B05">
        <w:rPr>
          <w:rFonts w:ascii="標楷體" w:eastAsia="標楷體" w:hAnsi="標楷體" w:cs="Times New Roman"/>
          <w:sz w:val="28"/>
          <w:szCs w:val="28"/>
        </w:rPr>
        <w:t>6.01</w:t>
      </w:r>
      <w:r w:rsidR="009D4B05" w:rsidRPr="009D4B05">
        <w:rPr>
          <w:rFonts w:ascii="標楷體" w:eastAsia="標楷體" w:hAnsi="標楷體" w:cs="Times New Roman" w:hint="eastAsia"/>
          <w:sz w:val="28"/>
          <w:szCs w:val="28"/>
        </w:rPr>
        <w:t>億元，遠低於與其資產規模相當之民營銀行1</w:t>
      </w:r>
      <w:r w:rsidR="009D4B05" w:rsidRPr="009D4B05">
        <w:rPr>
          <w:rFonts w:ascii="標楷體" w:eastAsia="標楷體" w:hAnsi="標楷體" w:cs="Times New Roman"/>
          <w:sz w:val="28"/>
          <w:szCs w:val="28"/>
        </w:rPr>
        <w:t>14.18</w:t>
      </w:r>
      <w:r w:rsidR="009D4B05" w:rsidRPr="009D4B05">
        <w:rPr>
          <w:rFonts w:ascii="標楷體" w:eastAsia="標楷體" w:hAnsi="標楷體" w:cs="Times New Roman" w:hint="eastAsia"/>
          <w:sz w:val="28"/>
          <w:szCs w:val="28"/>
        </w:rPr>
        <w:t>億元至2</w:t>
      </w:r>
      <w:r w:rsidR="009D4B05" w:rsidRPr="009D4B05">
        <w:rPr>
          <w:rFonts w:ascii="標楷體" w:eastAsia="標楷體" w:hAnsi="標楷體" w:cs="Times New Roman"/>
          <w:sz w:val="28"/>
          <w:szCs w:val="28"/>
        </w:rPr>
        <w:t>76.65</w:t>
      </w:r>
      <w:r w:rsidR="009D4B05" w:rsidRPr="009D4B05">
        <w:rPr>
          <w:rFonts w:ascii="標楷體" w:eastAsia="標楷體" w:hAnsi="標楷體" w:cs="Times New Roman" w:hint="eastAsia"/>
          <w:sz w:val="28"/>
          <w:szCs w:val="28"/>
        </w:rPr>
        <w:t>億元，亦不及多數泛公股行庫之</w:t>
      </w:r>
      <w:r w:rsidR="009D4B05" w:rsidRPr="009D4B05">
        <w:rPr>
          <w:rFonts w:ascii="標楷體" w:eastAsia="標楷體" w:hAnsi="標楷體" w:cs="Times New Roman"/>
          <w:sz w:val="28"/>
          <w:szCs w:val="28"/>
        </w:rPr>
        <w:t>40.44</w:t>
      </w:r>
      <w:r w:rsidR="009D4B05" w:rsidRPr="009D4B05">
        <w:rPr>
          <w:rFonts w:ascii="標楷體" w:eastAsia="標楷體" w:hAnsi="標楷體" w:cs="Times New Roman" w:hint="eastAsia"/>
          <w:sz w:val="28"/>
          <w:szCs w:val="28"/>
        </w:rPr>
        <w:t>億元至</w:t>
      </w:r>
      <w:r w:rsidR="009D4B05" w:rsidRPr="009D4B05">
        <w:rPr>
          <w:rFonts w:ascii="標楷體" w:eastAsia="標楷體" w:hAnsi="標楷體" w:cs="Times New Roman"/>
          <w:sz w:val="28"/>
          <w:szCs w:val="28"/>
        </w:rPr>
        <w:t>108.31</w:t>
      </w:r>
      <w:r w:rsidR="009D4B05" w:rsidRPr="009D4B05">
        <w:rPr>
          <w:rFonts w:ascii="標楷體" w:eastAsia="標楷體" w:hAnsi="標楷體" w:cs="Times New Roman" w:hint="eastAsia"/>
          <w:sz w:val="28"/>
          <w:szCs w:val="28"/>
        </w:rPr>
        <w:t>億元（圖</w:t>
      </w:r>
      <w:r w:rsidR="00B140EF">
        <w:rPr>
          <w:rFonts w:ascii="標楷體" w:eastAsia="標楷體" w:hAnsi="標楷體" w:cs="Times New Roman" w:hint="eastAsia"/>
          <w:sz w:val="28"/>
          <w:szCs w:val="28"/>
        </w:rPr>
        <w:t>3</w:t>
      </w:r>
      <w:r w:rsidR="009D4B05" w:rsidRPr="009D4B05">
        <w:rPr>
          <w:rFonts w:ascii="標楷體" w:eastAsia="標楷體" w:hAnsi="標楷體" w:cs="Times New Roman"/>
          <w:sz w:val="28"/>
          <w:szCs w:val="28"/>
        </w:rPr>
        <w:t>）</w:t>
      </w:r>
      <w:r w:rsidR="009D4B05" w:rsidRPr="009D4B05">
        <w:rPr>
          <w:rFonts w:ascii="標楷體" w:eastAsia="標楷體" w:hAnsi="標楷體" w:cs="Times New Roman" w:hint="eastAsia"/>
          <w:sz w:val="28"/>
          <w:szCs w:val="28"/>
        </w:rPr>
        <w:t>，而臺灣土地銀行公司1</w:t>
      </w:r>
      <w:r w:rsidR="009D4B05" w:rsidRPr="009D4B05">
        <w:rPr>
          <w:rFonts w:ascii="標楷體" w:eastAsia="標楷體" w:hAnsi="標楷體" w:cs="Times New Roman"/>
          <w:sz w:val="28"/>
          <w:szCs w:val="28"/>
        </w:rPr>
        <w:t>09</w:t>
      </w:r>
      <w:r w:rsidR="009D4B05" w:rsidRPr="009D4B05">
        <w:rPr>
          <w:rFonts w:ascii="標楷體" w:eastAsia="標楷體" w:hAnsi="標楷體" w:cs="Times New Roman" w:hint="eastAsia"/>
          <w:sz w:val="28"/>
          <w:szCs w:val="28"/>
        </w:rPr>
        <w:t>至1</w:t>
      </w:r>
      <w:r w:rsidR="009D4B05" w:rsidRPr="009D4B05">
        <w:rPr>
          <w:rFonts w:ascii="標楷體" w:eastAsia="標楷體" w:hAnsi="標楷體" w:cs="Times New Roman"/>
          <w:sz w:val="28"/>
          <w:szCs w:val="28"/>
        </w:rPr>
        <w:t>14</w:t>
      </w:r>
      <w:r w:rsidR="009D4B05" w:rsidRPr="009D4B05">
        <w:rPr>
          <w:rFonts w:ascii="標楷體" w:eastAsia="標楷體" w:hAnsi="標楷體" w:cs="Times New Roman" w:hint="eastAsia"/>
          <w:sz w:val="28"/>
          <w:szCs w:val="28"/>
        </w:rPr>
        <w:t>年度財富管理手續費收入均低各該年度之績效目標，且1</w:t>
      </w:r>
      <w:r w:rsidR="009D4B05" w:rsidRPr="009D4B05">
        <w:rPr>
          <w:rFonts w:ascii="標楷體" w:eastAsia="標楷體" w:hAnsi="標楷體" w:cs="Times New Roman"/>
          <w:sz w:val="28"/>
          <w:szCs w:val="28"/>
        </w:rPr>
        <w:t>14</w:t>
      </w:r>
      <w:r w:rsidR="009D4B05" w:rsidRPr="009D4B05">
        <w:rPr>
          <w:rFonts w:ascii="標楷體" w:eastAsia="標楷體" w:hAnsi="標楷體" w:cs="Times New Roman" w:hint="eastAsia"/>
          <w:sz w:val="28"/>
          <w:szCs w:val="28"/>
        </w:rPr>
        <w:t>年度仍因其金融商品多為傳統基金及保險，商品多元性不足，財富管理手續費收入僅有1</w:t>
      </w:r>
      <w:r w:rsidR="009D4B05" w:rsidRPr="009D4B05">
        <w:rPr>
          <w:rFonts w:ascii="標楷體" w:eastAsia="標楷體" w:hAnsi="標楷體" w:cs="Times New Roman"/>
          <w:sz w:val="28"/>
          <w:szCs w:val="28"/>
        </w:rPr>
        <w:t>1</w:t>
      </w:r>
      <w:r w:rsidR="009D4B05" w:rsidRPr="009D4B05">
        <w:rPr>
          <w:rFonts w:ascii="標楷體" w:eastAsia="標楷體" w:hAnsi="標楷體" w:cs="Times New Roman" w:hint="eastAsia"/>
          <w:sz w:val="28"/>
          <w:szCs w:val="28"/>
        </w:rPr>
        <w:t>億元，除遠低於泛公股銀行外，甚較同為公股銀行之臺灣銀行公司減少5</w:t>
      </w:r>
      <w:r w:rsidR="009D4B05" w:rsidRPr="009D4B05">
        <w:rPr>
          <w:rFonts w:ascii="標楷體" w:eastAsia="標楷體" w:hAnsi="標楷體" w:cs="Times New Roman"/>
          <w:sz w:val="28"/>
          <w:szCs w:val="28"/>
        </w:rPr>
        <w:t>.01</w:t>
      </w:r>
      <w:r w:rsidR="009D4B05" w:rsidRPr="009D4B05">
        <w:rPr>
          <w:rFonts w:ascii="標楷體" w:eastAsia="標楷體" w:hAnsi="標楷體" w:cs="Times New Roman" w:hint="eastAsia"/>
          <w:sz w:val="28"/>
          <w:szCs w:val="28"/>
        </w:rPr>
        <w:t>億元，並因臺灣土地銀行公司之商品與服務規劃等相關營運基礎未臻完備，截至1</w:t>
      </w:r>
      <w:r w:rsidR="009D4B05" w:rsidRPr="009D4B05">
        <w:rPr>
          <w:rFonts w:ascii="標楷體" w:eastAsia="標楷體" w:hAnsi="標楷體" w:cs="Times New Roman"/>
          <w:sz w:val="28"/>
          <w:szCs w:val="28"/>
        </w:rPr>
        <w:t>14</w:t>
      </w:r>
      <w:r w:rsidR="009D4B05" w:rsidRPr="009D4B05">
        <w:rPr>
          <w:rFonts w:ascii="標楷體" w:eastAsia="標楷體" w:hAnsi="標楷體" w:cs="Times New Roman" w:hint="eastAsia"/>
          <w:sz w:val="28"/>
          <w:szCs w:val="28"/>
        </w:rPr>
        <w:t>年底止尚未提供高資產客戶適用之金融商品及服務。鑑於國營金融機構獲利能力不及多數同業，恐影響未來金融競爭力，並面臨利潤空間受限之挑戰，經函請各該事業研謀妥處。據復：臺灣金融控股公司未來將賡續深化集團整體經營策略，整合資源協助各子公司強化核心業務發展，另持續透過擴增民營企業放款及爭取海外聯貸商機，以提升放款平均收益率，並預計於1</w:t>
      </w:r>
      <w:r w:rsidR="009D4B05" w:rsidRPr="009D4B05">
        <w:rPr>
          <w:rFonts w:ascii="標楷體" w:eastAsia="標楷體" w:hAnsi="標楷體" w:cs="Times New Roman"/>
          <w:sz w:val="28"/>
          <w:szCs w:val="28"/>
        </w:rPr>
        <w:t>15</w:t>
      </w:r>
      <w:r w:rsidR="009D4B05" w:rsidRPr="009D4B05">
        <w:rPr>
          <w:rFonts w:ascii="標楷體" w:eastAsia="標楷體" w:hAnsi="標楷體" w:cs="Times New Roman" w:hint="eastAsia"/>
          <w:sz w:val="28"/>
          <w:szCs w:val="28"/>
        </w:rPr>
        <w:t>年7月推出「家族理財」服務等財富管理業務精進措施。臺灣土地銀行公司已規劃增加商品多元性及拓展高資產客群，並加強推展代理收付與辦理優存專案等措施，以拓展獲利來源。</w:t>
      </w:r>
    </w:p>
    <w:bookmarkEnd w:id="0"/>
    <w:bookmarkEnd w:id="1"/>
    <w:bookmarkEnd w:id="2"/>
    <w:bookmarkEnd w:id="3"/>
    <w:bookmarkEnd w:id="4"/>
    <w:bookmarkEnd w:id="5"/>
    <w:p w14:paraId="67DED788" w14:textId="63A143BF" w:rsidR="00505006" w:rsidRPr="00DA77BA" w:rsidRDefault="00505006" w:rsidP="00145882">
      <w:pPr>
        <w:pStyle w:val="aff9"/>
        <w:tabs>
          <w:tab w:val="left" w:pos="3686"/>
          <w:tab w:val="left" w:pos="3828"/>
        </w:tabs>
        <w:overflowPunct w:val="0"/>
        <w:adjustRightInd w:val="0"/>
        <w:snapToGrid w:val="0"/>
        <w:spacing w:before="72" w:after="72" w:line="580" w:lineRule="exact"/>
        <w:ind w:leftChars="0" w:left="0" w:firstLineChars="100" w:firstLine="320"/>
        <w:rPr>
          <w:rFonts w:ascii="標楷體" w:hAnsi="標楷體"/>
          <w:color w:val="000000" w:themeColor="text1"/>
          <w:kern w:val="0"/>
        </w:rPr>
      </w:pPr>
      <w:r w:rsidRPr="00DA77BA">
        <w:rPr>
          <w:rFonts w:ascii="標楷體" w:hAnsi="標楷體" w:hint="eastAsia"/>
          <w:color w:val="000000" w:themeColor="text1"/>
          <w:kern w:val="0"/>
        </w:rPr>
        <w:lastRenderedPageBreak/>
        <w:t>五、1</w:t>
      </w:r>
      <w:r w:rsidR="003A1C6C" w:rsidRPr="00DA77BA">
        <w:rPr>
          <w:rFonts w:ascii="標楷體" w:hAnsi="標楷體"/>
          <w:color w:val="000000" w:themeColor="text1"/>
          <w:kern w:val="0"/>
        </w:rPr>
        <w:t>1</w:t>
      </w:r>
      <w:r w:rsidR="00C537FB">
        <w:rPr>
          <w:rFonts w:ascii="標楷體" w:hAnsi="標楷體"/>
          <w:color w:val="000000" w:themeColor="text1"/>
          <w:kern w:val="0"/>
        </w:rPr>
        <w:t>3</w:t>
      </w:r>
      <w:r w:rsidRPr="00DA77BA">
        <w:rPr>
          <w:rFonts w:ascii="標楷體" w:hAnsi="標楷體" w:hint="eastAsia"/>
          <w:color w:val="000000" w:themeColor="text1"/>
          <w:kern w:val="0"/>
        </w:rPr>
        <w:t>年度重要審核意見追蹤查核概述</w:t>
      </w:r>
    </w:p>
    <w:p w14:paraId="6AFF57F7" w14:textId="46006368" w:rsidR="004F7E08" w:rsidRDefault="0016264F" w:rsidP="00145882">
      <w:pPr>
        <w:widowControl/>
        <w:overflowPunct w:val="0"/>
        <w:adjustRightInd w:val="0"/>
        <w:snapToGrid w:val="0"/>
        <w:spacing w:beforeLines="20" w:before="72" w:afterLines="20" w:after="72" w:line="580" w:lineRule="exact"/>
        <w:jc w:val="both"/>
        <w:rPr>
          <w:rFonts w:ascii="標楷體" w:hAnsi="標楷體"/>
          <w:color w:val="000000" w:themeColor="text1"/>
          <w:kern w:val="0"/>
          <w:sz w:val="28"/>
          <w:szCs w:val="28"/>
          <w:lang w:eastAsia="zh-HK"/>
        </w:rPr>
      </w:pPr>
      <w:r w:rsidRPr="00DA77BA">
        <w:rPr>
          <w:rFonts w:ascii="標楷體" w:hAnsi="標楷體" w:hint="eastAsia"/>
          <w:color w:val="000000" w:themeColor="text1"/>
          <w:kern w:val="0"/>
          <w:sz w:val="28"/>
          <w:szCs w:val="28"/>
        </w:rPr>
        <w:t xml:space="preserve">　　</w:t>
      </w:r>
      <w:r w:rsidRPr="000762D7">
        <w:rPr>
          <w:rFonts w:ascii="標楷體" w:hAnsi="標楷體" w:hint="eastAsia"/>
          <w:color w:val="000000" w:themeColor="text1"/>
          <w:kern w:val="0"/>
          <w:sz w:val="28"/>
          <w:szCs w:val="28"/>
        </w:rPr>
        <w:t>本部於1</w:t>
      </w:r>
      <w:r w:rsidR="00FD4976" w:rsidRPr="000762D7">
        <w:rPr>
          <w:rFonts w:ascii="標楷體" w:hAnsi="標楷體"/>
          <w:color w:val="000000" w:themeColor="text1"/>
          <w:kern w:val="0"/>
          <w:sz w:val="28"/>
          <w:szCs w:val="28"/>
        </w:rPr>
        <w:t>1</w:t>
      </w:r>
      <w:r w:rsidR="00C537FB">
        <w:rPr>
          <w:rFonts w:ascii="標楷體" w:hAnsi="標楷體"/>
          <w:color w:val="000000" w:themeColor="text1"/>
          <w:kern w:val="0"/>
          <w:sz w:val="28"/>
          <w:szCs w:val="28"/>
        </w:rPr>
        <w:t>3</w:t>
      </w:r>
      <w:r w:rsidRPr="000762D7">
        <w:rPr>
          <w:rFonts w:ascii="標楷體" w:hAnsi="標楷體" w:hint="eastAsia"/>
          <w:color w:val="000000" w:themeColor="text1"/>
          <w:kern w:val="0"/>
          <w:sz w:val="28"/>
          <w:szCs w:val="28"/>
        </w:rPr>
        <w:t>年度審核報告提列</w:t>
      </w:r>
      <w:r w:rsidR="00505006" w:rsidRPr="000762D7">
        <w:rPr>
          <w:rFonts w:ascii="標楷體" w:hAnsi="標楷體" w:hint="eastAsia"/>
          <w:color w:val="000000" w:themeColor="text1"/>
          <w:kern w:val="0"/>
          <w:sz w:val="28"/>
          <w:szCs w:val="28"/>
        </w:rPr>
        <w:t>有關</w:t>
      </w:r>
      <w:r w:rsidR="00B83602" w:rsidRPr="000762D7">
        <w:rPr>
          <w:rFonts w:ascii="標楷體" w:hAnsi="標楷體" w:hint="eastAsia"/>
          <w:color w:val="000000" w:themeColor="text1"/>
          <w:kern w:val="0"/>
          <w:sz w:val="28"/>
          <w:szCs w:val="28"/>
        </w:rPr>
        <w:t>營業部分</w:t>
      </w:r>
      <w:r w:rsidR="006105C7" w:rsidRPr="000762D7">
        <w:rPr>
          <w:rFonts w:ascii="標楷體" w:hAnsi="標楷體" w:hint="eastAsia"/>
          <w:color w:val="000000" w:themeColor="text1"/>
          <w:kern w:val="0"/>
          <w:sz w:val="28"/>
          <w:szCs w:val="28"/>
        </w:rPr>
        <w:t>（含中央政府投</w:t>
      </w:r>
      <w:r w:rsidR="006105C7" w:rsidRPr="00276310">
        <w:rPr>
          <w:rFonts w:ascii="標楷體" w:hAnsi="標楷體" w:hint="eastAsia"/>
          <w:color w:val="000000" w:themeColor="text1"/>
          <w:kern w:val="0"/>
          <w:sz w:val="28"/>
          <w:szCs w:val="28"/>
        </w:rPr>
        <w:t>資民營事業</w:t>
      </w:r>
      <w:r w:rsidR="00C537FB">
        <w:rPr>
          <w:rFonts w:ascii="標楷體" w:hAnsi="標楷體" w:hint="eastAsia"/>
          <w:color w:val="000000" w:themeColor="text1"/>
          <w:kern w:val="0"/>
          <w:sz w:val="28"/>
          <w:szCs w:val="28"/>
        </w:rPr>
        <w:t>、</w:t>
      </w:r>
      <w:r w:rsidR="006105C7" w:rsidRPr="00276310">
        <w:rPr>
          <w:rFonts w:ascii="標楷體" w:hAnsi="標楷體" w:hint="eastAsia"/>
          <w:color w:val="000000" w:themeColor="text1"/>
          <w:kern w:val="0"/>
          <w:sz w:val="28"/>
          <w:szCs w:val="28"/>
        </w:rPr>
        <w:t>政府捐助財團法人</w:t>
      </w:r>
      <w:r w:rsidR="00382D62" w:rsidRPr="00382D62">
        <w:rPr>
          <w:rFonts w:ascii="標楷體" w:hAnsi="標楷體" w:hint="eastAsia"/>
          <w:color w:val="000000" w:themeColor="text1"/>
          <w:kern w:val="0"/>
          <w:sz w:val="28"/>
          <w:szCs w:val="28"/>
        </w:rPr>
        <w:t>及行政法人</w:t>
      </w:r>
      <w:r w:rsidR="006105C7" w:rsidRPr="00276310">
        <w:rPr>
          <w:rFonts w:ascii="標楷體" w:hAnsi="標楷體" w:hint="eastAsia"/>
          <w:color w:val="000000" w:themeColor="text1"/>
          <w:kern w:val="0"/>
          <w:sz w:val="28"/>
          <w:szCs w:val="28"/>
        </w:rPr>
        <w:t>）</w:t>
      </w:r>
      <w:r w:rsidRPr="00276310">
        <w:rPr>
          <w:rFonts w:ascii="標楷體" w:hAnsi="標楷體" w:hint="eastAsia"/>
          <w:color w:val="000000" w:themeColor="text1"/>
          <w:kern w:val="0"/>
          <w:sz w:val="28"/>
          <w:szCs w:val="28"/>
        </w:rPr>
        <w:t>之重要審核意見計有</w:t>
      </w:r>
      <w:r w:rsidR="001F5247" w:rsidRPr="004242E5">
        <w:rPr>
          <w:rFonts w:ascii="標楷體" w:hAnsi="標楷體" w:hint="eastAsia"/>
          <w:color w:val="000000" w:themeColor="text1"/>
          <w:kern w:val="0"/>
          <w:sz w:val="28"/>
          <w:szCs w:val="28"/>
        </w:rPr>
        <w:t>1</w:t>
      </w:r>
      <w:r w:rsidR="00C537FB">
        <w:rPr>
          <w:rFonts w:ascii="標楷體" w:hAnsi="標楷體"/>
          <w:color w:val="000000" w:themeColor="text1"/>
          <w:kern w:val="0"/>
          <w:sz w:val="28"/>
          <w:szCs w:val="28"/>
        </w:rPr>
        <w:t>52</w:t>
      </w:r>
      <w:r w:rsidRPr="004242E5">
        <w:rPr>
          <w:rFonts w:ascii="標楷體" w:hAnsi="標楷體" w:hint="eastAsia"/>
          <w:color w:val="000000" w:themeColor="text1"/>
          <w:kern w:val="0"/>
          <w:sz w:val="28"/>
          <w:szCs w:val="28"/>
        </w:rPr>
        <w:t>項（表</w:t>
      </w:r>
      <w:r w:rsidR="003960A5" w:rsidRPr="004242E5">
        <w:rPr>
          <w:rFonts w:ascii="標楷體" w:hAnsi="標楷體" w:hint="eastAsia"/>
          <w:color w:val="000000" w:themeColor="text1"/>
          <w:kern w:val="0"/>
          <w:sz w:val="28"/>
          <w:szCs w:val="28"/>
        </w:rPr>
        <w:t>7</w:t>
      </w:r>
      <w:r w:rsidRPr="004242E5">
        <w:rPr>
          <w:rFonts w:ascii="標楷體" w:hAnsi="標楷體"/>
          <w:color w:val="000000" w:themeColor="text1"/>
          <w:kern w:val="0"/>
          <w:sz w:val="28"/>
          <w:szCs w:val="28"/>
        </w:rPr>
        <w:t>）</w:t>
      </w:r>
      <w:r w:rsidRPr="004242E5">
        <w:rPr>
          <w:rFonts w:ascii="標楷體" w:hAnsi="標楷體" w:hint="eastAsia"/>
          <w:color w:val="000000" w:themeColor="text1"/>
          <w:kern w:val="0"/>
          <w:sz w:val="28"/>
          <w:szCs w:val="28"/>
        </w:rPr>
        <w:t>，為促使各</w:t>
      </w:r>
      <w:r w:rsidR="00CB785F" w:rsidRPr="004242E5">
        <w:rPr>
          <w:rFonts w:ascii="標楷體" w:hAnsi="標楷體" w:hint="eastAsia"/>
          <w:color w:val="000000" w:themeColor="text1"/>
          <w:kern w:val="0"/>
          <w:sz w:val="28"/>
          <w:szCs w:val="28"/>
        </w:rPr>
        <w:t>營（事）業單位</w:t>
      </w:r>
      <w:r w:rsidRPr="004242E5">
        <w:rPr>
          <w:rFonts w:ascii="標楷體" w:hAnsi="標楷體" w:hint="eastAsia"/>
          <w:color w:val="000000" w:themeColor="text1"/>
          <w:kern w:val="0"/>
          <w:sz w:val="28"/>
          <w:szCs w:val="28"/>
        </w:rPr>
        <w:t>確實有效落實辦理所提改善措施，仍賡續追蹤查核實際辦理結果，經核仍待繼續改善者</w:t>
      </w:r>
      <w:r w:rsidR="003960A5" w:rsidRPr="004242E5">
        <w:rPr>
          <w:rFonts w:ascii="標楷體" w:hAnsi="標楷體" w:hint="eastAsia"/>
          <w:color w:val="000000" w:themeColor="text1"/>
          <w:kern w:val="0"/>
          <w:sz w:val="28"/>
          <w:szCs w:val="28"/>
        </w:rPr>
        <w:t>48</w:t>
      </w:r>
      <w:r w:rsidRPr="004242E5">
        <w:rPr>
          <w:rFonts w:ascii="標楷體" w:hAnsi="標楷體" w:hint="eastAsia"/>
          <w:color w:val="000000" w:themeColor="text1"/>
          <w:kern w:val="0"/>
          <w:sz w:val="28"/>
          <w:szCs w:val="28"/>
        </w:rPr>
        <w:t>項、</w:t>
      </w:r>
      <w:r w:rsidR="001F5247" w:rsidRPr="004242E5">
        <w:rPr>
          <w:rFonts w:ascii="標楷體" w:hAnsi="標楷體" w:hint="eastAsia"/>
          <w:color w:val="000000" w:themeColor="text1"/>
          <w:kern w:val="0"/>
          <w:sz w:val="28"/>
          <w:szCs w:val="28"/>
        </w:rPr>
        <w:t>處理中</w:t>
      </w:r>
      <w:r w:rsidR="00153142">
        <w:rPr>
          <w:rFonts w:ascii="標楷體" w:hAnsi="標楷體" w:hint="eastAsia"/>
          <w:color w:val="000000" w:themeColor="text1"/>
          <w:kern w:val="0"/>
          <w:sz w:val="28"/>
          <w:szCs w:val="28"/>
        </w:rPr>
        <w:t>2</w:t>
      </w:r>
      <w:r w:rsidR="001F5247" w:rsidRPr="004242E5">
        <w:rPr>
          <w:rFonts w:ascii="標楷體" w:hAnsi="標楷體" w:hint="eastAsia"/>
          <w:color w:val="000000" w:themeColor="text1"/>
          <w:kern w:val="0"/>
          <w:sz w:val="28"/>
          <w:szCs w:val="28"/>
        </w:rPr>
        <w:t>項、</w:t>
      </w:r>
      <w:r w:rsidRPr="004242E5">
        <w:rPr>
          <w:rFonts w:ascii="標楷體" w:hAnsi="標楷體" w:hint="eastAsia"/>
          <w:color w:val="000000" w:themeColor="text1"/>
          <w:kern w:val="0"/>
          <w:sz w:val="28"/>
          <w:szCs w:val="28"/>
        </w:rPr>
        <w:t>已研謀改善或依改善措施持續辦理者</w:t>
      </w:r>
      <w:r w:rsidR="003960A5" w:rsidRPr="004242E5">
        <w:rPr>
          <w:rFonts w:ascii="標楷體" w:hAnsi="標楷體" w:hint="eastAsia"/>
          <w:color w:val="000000" w:themeColor="text1"/>
          <w:kern w:val="0"/>
          <w:sz w:val="28"/>
          <w:szCs w:val="28"/>
        </w:rPr>
        <w:t>10</w:t>
      </w:r>
      <w:r w:rsidR="00153142">
        <w:rPr>
          <w:rFonts w:ascii="標楷體" w:hAnsi="標楷體"/>
          <w:color w:val="000000" w:themeColor="text1"/>
          <w:kern w:val="0"/>
          <w:sz w:val="28"/>
          <w:szCs w:val="28"/>
        </w:rPr>
        <w:t>2</w:t>
      </w:r>
      <w:r w:rsidRPr="004242E5">
        <w:rPr>
          <w:rFonts w:ascii="標楷體" w:hAnsi="標楷體" w:hint="eastAsia"/>
          <w:color w:val="000000" w:themeColor="text1"/>
          <w:kern w:val="0"/>
          <w:sz w:val="28"/>
          <w:szCs w:val="28"/>
        </w:rPr>
        <w:t>項，其中仍待繼續改善者，經再綜合研提審核意見</w:t>
      </w:r>
      <w:r w:rsidR="00CA603F">
        <w:rPr>
          <w:rFonts w:ascii="標楷體" w:hAnsi="標楷體" w:hint="eastAsia"/>
          <w:color w:val="000000" w:themeColor="text1"/>
          <w:kern w:val="0"/>
          <w:sz w:val="28"/>
          <w:szCs w:val="28"/>
        </w:rPr>
        <w:t>4</w:t>
      </w:r>
      <w:r w:rsidR="001A67F7">
        <w:rPr>
          <w:rFonts w:ascii="標楷體" w:hAnsi="標楷體"/>
          <w:color w:val="000000" w:themeColor="text1"/>
          <w:kern w:val="0"/>
          <w:sz w:val="28"/>
          <w:szCs w:val="28"/>
        </w:rPr>
        <w:t>9</w:t>
      </w:r>
      <w:r w:rsidR="00CB785F" w:rsidRPr="004242E5">
        <w:rPr>
          <w:rFonts w:ascii="標楷體" w:hAnsi="標楷體" w:hint="eastAsia"/>
          <w:color w:val="000000" w:themeColor="text1"/>
          <w:kern w:val="0"/>
          <w:sz w:val="28"/>
          <w:szCs w:val="28"/>
        </w:rPr>
        <w:t>項</w:t>
      </w:r>
      <w:r w:rsidRPr="004242E5">
        <w:rPr>
          <w:rFonts w:ascii="標楷體" w:hAnsi="標楷體" w:hint="eastAsia"/>
          <w:color w:val="000000" w:themeColor="text1"/>
          <w:kern w:val="0"/>
          <w:sz w:val="28"/>
          <w:szCs w:val="28"/>
        </w:rPr>
        <w:t>【詳乙、各營</w:t>
      </w:r>
      <w:r w:rsidR="00586345" w:rsidRPr="004242E5">
        <w:rPr>
          <w:rFonts w:ascii="標楷體" w:hAnsi="標楷體" w:hint="eastAsia"/>
          <w:color w:val="000000" w:themeColor="text1"/>
          <w:kern w:val="0"/>
          <w:sz w:val="28"/>
          <w:szCs w:val="28"/>
        </w:rPr>
        <w:t>（</w:t>
      </w:r>
      <w:r w:rsidRPr="004242E5">
        <w:rPr>
          <w:rFonts w:ascii="標楷體" w:hAnsi="標楷體" w:hint="eastAsia"/>
          <w:color w:val="000000" w:themeColor="text1"/>
          <w:kern w:val="0"/>
          <w:sz w:val="28"/>
          <w:szCs w:val="28"/>
        </w:rPr>
        <w:t>事</w:t>
      </w:r>
      <w:r w:rsidR="00586345" w:rsidRPr="004242E5">
        <w:rPr>
          <w:rFonts w:ascii="標楷體" w:hAnsi="標楷體" w:hint="eastAsia"/>
          <w:color w:val="000000" w:themeColor="text1"/>
          <w:kern w:val="0"/>
          <w:sz w:val="28"/>
          <w:szCs w:val="28"/>
        </w:rPr>
        <w:t>）</w:t>
      </w:r>
      <w:r w:rsidRPr="004242E5">
        <w:rPr>
          <w:rFonts w:ascii="標楷體" w:hAnsi="標楷體" w:hint="eastAsia"/>
          <w:color w:val="000000" w:themeColor="text1"/>
          <w:kern w:val="0"/>
          <w:sz w:val="28"/>
          <w:szCs w:val="28"/>
        </w:rPr>
        <w:t>業決算之審核</w:t>
      </w:r>
      <w:r w:rsidR="00DB29B4" w:rsidRPr="004242E5">
        <w:rPr>
          <w:rFonts w:ascii="標楷體" w:hAnsi="標楷體" w:hint="eastAsia"/>
          <w:color w:val="000000" w:themeColor="text1"/>
          <w:kern w:val="0"/>
          <w:sz w:val="28"/>
          <w:szCs w:val="28"/>
        </w:rPr>
        <w:t>及戊</w:t>
      </w:r>
      <w:r w:rsidR="00DB29B4" w:rsidRPr="00276310">
        <w:rPr>
          <w:rFonts w:ascii="標楷體" w:hAnsi="標楷體" w:hint="eastAsia"/>
          <w:color w:val="000000" w:themeColor="text1"/>
          <w:kern w:val="0"/>
          <w:sz w:val="28"/>
          <w:szCs w:val="28"/>
        </w:rPr>
        <w:t>、附錄</w:t>
      </w:r>
      <w:r w:rsidRPr="00276310">
        <w:rPr>
          <w:rFonts w:ascii="標楷體" w:hAnsi="標楷體" w:hint="eastAsia"/>
          <w:color w:val="000000" w:themeColor="text1"/>
          <w:kern w:val="0"/>
          <w:sz w:val="28"/>
          <w:szCs w:val="28"/>
        </w:rPr>
        <w:t>】</w:t>
      </w:r>
      <w:r w:rsidR="00DE648D" w:rsidRPr="00276310">
        <w:rPr>
          <w:rFonts w:ascii="標楷體" w:hAnsi="標楷體" w:hint="eastAsia"/>
          <w:color w:val="000000" w:themeColor="text1"/>
          <w:kern w:val="0"/>
          <w:sz w:val="28"/>
          <w:szCs w:val="28"/>
        </w:rPr>
        <w:t>，本部均已列管注意追蹤其辦理情形</w:t>
      </w:r>
      <w:r w:rsidRPr="00276310">
        <w:rPr>
          <w:rFonts w:ascii="標楷體" w:hAnsi="標楷體" w:hint="eastAsia"/>
          <w:color w:val="000000" w:themeColor="text1"/>
          <w:kern w:val="0"/>
          <w:sz w:val="28"/>
          <w:szCs w:val="28"/>
          <w:lang w:eastAsia="zh-HK"/>
        </w:rPr>
        <w:t>。</w:t>
      </w:r>
    </w:p>
    <w:p w14:paraId="53AA66F7" w14:textId="77777777" w:rsidR="00B22A11" w:rsidRDefault="00B22A11" w:rsidP="006A4991">
      <w:pPr>
        <w:widowControl/>
        <w:overflowPunct w:val="0"/>
        <w:adjustRightInd w:val="0"/>
        <w:snapToGrid w:val="0"/>
        <w:spacing w:beforeLines="20" w:before="72" w:line="220" w:lineRule="exact"/>
        <w:jc w:val="both"/>
        <w:rPr>
          <w:rFonts w:ascii="標楷體" w:hAnsi="標楷體"/>
          <w:color w:val="000000" w:themeColor="text1"/>
          <w:kern w:val="0"/>
          <w:sz w:val="28"/>
          <w:szCs w:val="28"/>
          <w:lang w:eastAsia="zh-HK"/>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55"/>
        <w:gridCol w:w="800"/>
        <w:gridCol w:w="616"/>
        <w:gridCol w:w="616"/>
        <w:gridCol w:w="616"/>
        <w:gridCol w:w="616"/>
        <w:gridCol w:w="616"/>
        <w:gridCol w:w="616"/>
        <w:gridCol w:w="800"/>
        <w:gridCol w:w="985"/>
        <w:gridCol w:w="925"/>
        <w:gridCol w:w="1045"/>
      </w:tblGrid>
      <w:tr w:rsidR="00684FEA" w:rsidRPr="00DA77BA" w14:paraId="290F2375" w14:textId="77777777" w:rsidTr="006F0AD2">
        <w:trPr>
          <w:cantSplit/>
          <w:trHeight w:val="319"/>
          <w:tblHeader/>
        </w:trPr>
        <w:tc>
          <w:tcPr>
            <w:tcW w:w="10206" w:type="dxa"/>
            <w:gridSpan w:val="12"/>
            <w:tcBorders>
              <w:top w:val="nil"/>
              <w:left w:val="nil"/>
              <w:bottom w:val="single" w:sz="4" w:space="0" w:color="auto"/>
              <w:right w:val="nil"/>
            </w:tcBorders>
            <w:vAlign w:val="center"/>
          </w:tcPr>
          <w:p w14:paraId="174ABBB1" w14:textId="77777777" w:rsidR="00684FEA" w:rsidRPr="00DA77BA" w:rsidRDefault="00684FEA" w:rsidP="000B46F8">
            <w:pPr>
              <w:overflowPunct w:val="0"/>
              <w:adjustRightInd w:val="0"/>
              <w:snapToGrid w:val="0"/>
              <w:spacing w:beforeLines="10" w:before="36" w:afterLines="50" w:after="180" w:line="240" w:lineRule="atLeast"/>
              <w:ind w:leftChars="20" w:left="48" w:rightChars="20" w:right="48"/>
              <w:jc w:val="center"/>
              <w:rPr>
                <w:rFonts w:ascii="標楷體" w:hAnsi="標楷體"/>
                <w:color w:val="000000" w:themeColor="text1"/>
                <w:szCs w:val="24"/>
                <w:highlight w:val="yellow"/>
              </w:rPr>
            </w:pPr>
            <w:r w:rsidRPr="00DA77BA">
              <w:rPr>
                <w:rFonts w:ascii="標楷體" w:hAnsi="標楷體" w:hint="eastAsia"/>
                <w:b/>
                <w:color w:val="000000" w:themeColor="text1"/>
                <w:szCs w:val="24"/>
              </w:rPr>
              <w:t>表</w:t>
            </w:r>
            <w:r>
              <w:rPr>
                <w:rFonts w:ascii="標楷體" w:hAnsi="標楷體"/>
                <w:b/>
                <w:color w:val="000000" w:themeColor="text1"/>
                <w:szCs w:val="24"/>
              </w:rPr>
              <w:t>7</w:t>
            </w:r>
            <w:r w:rsidRPr="00DA77BA">
              <w:rPr>
                <w:rFonts w:ascii="標楷體" w:hAnsi="標楷體" w:hint="eastAsia"/>
                <w:b/>
                <w:color w:val="000000" w:themeColor="text1"/>
                <w:szCs w:val="24"/>
              </w:rPr>
              <w:t xml:space="preserve">　審核報告營業部分所列重要審核意見分類及覆核辦理情形</w:t>
            </w:r>
          </w:p>
        </w:tc>
      </w:tr>
      <w:tr w:rsidR="00684FEA" w:rsidRPr="00DA77BA" w14:paraId="0CE0EF0B" w14:textId="77777777" w:rsidTr="001A67F7">
        <w:trPr>
          <w:cantSplit/>
          <w:trHeight w:val="510"/>
          <w:tblHeader/>
        </w:trPr>
        <w:tc>
          <w:tcPr>
            <w:tcW w:w="1955" w:type="dxa"/>
            <w:vMerge w:val="restart"/>
            <w:tcBorders>
              <w:top w:val="single" w:sz="4" w:space="0" w:color="auto"/>
              <w:right w:val="single" w:sz="4" w:space="0" w:color="auto"/>
            </w:tcBorders>
            <w:shd w:val="clear" w:color="auto" w:fill="B4C6E7" w:themeFill="accent5" w:themeFillTint="66"/>
            <w:vAlign w:val="center"/>
          </w:tcPr>
          <w:p w14:paraId="44D01526" w14:textId="77777777" w:rsidR="00684FEA" w:rsidRPr="00546341" w:rsidRDefault="00684FEA" w:rsidP="000B46F8">
            <w:pPr>
              <w:overflowPunct w:val="0"/>
              <w:adjustRightInd w:val="0"/>
              <w:snapToGrid w:val="0"/>
              <w:spacing w:beforeLines="10" w:before="36" w:line="240" w:lineRule="exact"/>
              <w:jc w:val="center"/>
              <w:rPr>
                <w:rFonts w:ascii="標楷體" w:hAnsi="標楷體"/>
                <w:sz w:val="20"/>
                <w:szCs w:val="24"/>
                <w:highlight w:val="yellow"/>
              </w:rPr>
            </w:pPr>
            <w:r w:rsidRPr="00546341">
              <w:rPr>
                <w:rFonts w:ascii="標楷體" w:hAnsi="標楷體" w:hint="eastAsia"/>
                <w:sz w:val="20"/>
                <w:szCs w:val="24"/>
              </w:rPr>
              <w:t>主管機關名稱</w:t>
            </w:r>
          </w:p>
        </w:tc>
        <w:tc>
          <w:tcPr>
            <w:tcW w:w="4496" w:type="dxa"/>
            <w:gridSpan w:val="7"/>
            <w:tcBorders>
              <w:top w:val="single" w:sz="4" w:space="0" w:color="auto"/>
              <w:left w:val="single" w:sz="4" w:space="0" w:color="auto"/>
              <w:right w:val="single" w:sz="4" w:space="0" w:color="auto"/>
            </w:tcBorders>
            <w:shd w:val="clear" w:color="auto" w:fill="B4C6E7" w:themeFill="accent5" w:themeFillTint="66"/>
            <w:vAlign w:val="center"/>
          </w:tcPr>
          <w:p w14:paraId="7DC81DE1" w14:textId="33955B50" w:rsidR="00684FEA" w:rsidRPr="00546341" w:rsidRDefault="00684FEA" w:rsidP="000B46F8">
            <w:pPr>
              <w:overflowPunct w:val="0"/>
              <w:adjustRightInd w:val="0"/>
              <w:snapToGrid w:val="0"/>
              <w:spacing w:beforeLines="10" w:before="36" w:line="240" w:lineRule="exact"/>
              <w:jc w:val="center"/>
              <w:rPr>
                <w:rFonts w:ascii="標楷體" w:hAnsi="標楷體"/>
                <w:sz w:val="20"/>
              </w:rPr>
            </w:pPr>
            <w:r w:rsidRPr="00546341">
              <w:rPr>
                <w:rFonts w:ascii="標楷體" w:hAnsi="標楷體"/>
                <w:sz w:val="20"/>
              </w:rPr>
              <w:t>1</w:t>
            </w:r>
            <w:r w:rsidRPr="00546341">
              <w:rPr>
                <w:rFonts w:ascii="標楷體" w:hAnsi="標楷體" w:hint="eastAsia"/>
                <w:sz w:val="20"/>
              </w:rPr>
              <w:t>1</w:t>
            </w:r>
            <w:r>
              <w:rPr>
                <w:rFonts w:ascii="標楷體" w:hAnsi="標楷體"/>
                <w:sz w:val="20"/>
              </w:rPr>
              <w:t>4</w:t>
            </w:r>
            <w:r w:rsidRPr="00546341">
              <w:rPr>
                <w:rFonts w:ascii="標楷體" w:hAnsi="標楷體" w:hint="eastAsia"/>
                <w:sz w:val="20"/>
              </w:rPr>
              <w:t>年度重要審核意見（註3）</w:t>
            </w:r>
          </w:p>
        </w:tc>
        <w:tc>
          <w:tcPr>
            <w:tcW w:w="3755" w:type="dxa"/>
            <w:gridSpan w:val="4"/>
            <w:tcBorders>
              <w:top w:val="single" w:sz="4" w:space="0" w:color="auto"/>
              <w:left w:val="single" w:sz="4" w:space="0" w:color="auto"/>
            </w:tcBorders>
            <w:shd w:val="clear" w:color="auto" w:fill="B4C6E7" w:themeFill="accent5" w:themeFillTint="66"/>
            <w:vAlign w:val="center"/>
          </w:tcPr>
          <w:p w14:paraId="012F4118" w14:textId="77777777" w:rsidR="00684FEA" w:rsidRPr="00546341" w:rsidRDefault="00684FEA" w:rsidP="000B46F8">
            <w:pPr>
              <w:overflowPunct w:val="0"/>
              <w:adjustRightInd w:val="0"/>
              <w:snapToGrid w:val="0"/>
              <w:spacing w:beforeLines="10" w:before="36" w:line="240" w:lineRule="exact"/>
              <w:jc w:val="center"/>
              <w:rPr>
                <w:rFonts w:ascii="標楷體" w:hAnsi="標楷體"/>
                <w:sz w:val="20"/>
              </w:rPr>
            </w:pPr>
            <w:r w:rsidRPr="00546341">
              <w:rPr>
                <w:rFonts w:ascii="標楷體" w:hAnsi="標楷體"/>
                <w:sz w:val="20"/>
              </w:rPr>
              <w:t>11</w:t>
            </w:r>
            <w:r>
              <w:rPr>
                <w:rFonts w:ascii="標楷體" w:hAnsi="標楷體"/>
                <w:sz w:val="20"/>
              </w:rPr>
              <w:t>3</w:t>
            </w:r>
            <w:r w:rsidRPr="00546341">
              <w:rPr>
                <w:rFonts w:ascii="標楷體" w:hAnsi="標楷體" w:hint="eastAsia"/>
                <w:sz w:val="20"/>
              </w:rPr>
              <w:t>年度重要審核意見覆核情形</w:t>
            </w:r>
          </w:p>
        </w:tc>
      </w:tr>
      <w:tr w:rsidR="00684FEA" w:rsidRPr="00DA77BA" w14:paraId="1B93955B" w14:textId="77777777" w:rsidTr="00A53242">
        <w:trPr>
          <w:cantSplit/>
          <w:trHeight w:val="510"/>
          <w:tblHeader/>
        </w:trPr>
        <w:tc>
          <w:tcPr>
            <w:tcW w:w="1955" w:type="dxa"/>
            <w:vMerge/>
            <w:tcBorders>
              <w:right w:val="single" w:sz="4" w:space="0" w:color="auto"/>
            </w:tcBorders>
            <w:shd w:val="clear" w:color="auto" w:fill="B4C6E7" w:themeFill="accent5" w:themeFillTint="66"/>
            <w:vAlign w:val="center"/>
          </w:tcPr>
          <w:p w14:paraId="2C3F2AC0" w14:textId="77777777" w:rsidR="00684FEA" w:rsidRPr="00546341" w:rsidRDefault="00684FEA" w:rsidP="000B46F8">
            <w:pPr>
              <w:overflowPunct w:val="0"/>
              <w:adjustRightInd w:val="0"/>
              <w:snapToGrid w:val="0"/>
              <w:spacing w:beforeLines="10" w:before="36" w:line="240" w:lineRule="exact"/>
              <w:jc w:val="center"/>
              <w:rPr>
                <w:rFonts w:ascii="標楷體" w:hAnsi="標楷體"/>
                <w:sz w:val="20"/>
                <w:highlight w:val="yellow"/>
              </w:rPr>
            </w:pPr>
          </w:p>
        </w:tc>
        <w:tc>
          <w:tcPr>
            <w:tcW w:w="800" w:type="dxa"/>
            <w:vMerge w:val="restart"/>
            <w:tcBorders>
              <w:left w:val="single" w:sz="4" w:space="0" w:color="auto"/>
              <w:right w:val="single" w:sz="4" w:space="0" w:color="auto"/>
            </w:tcBorders>
            <w:shd w:val="clear" w:color="auto" w:fill="B4C6E7" w:themeFill="accent5" w:themeFillTint="66"/>
            <w:vAlign w:val="center"/>
          </w:tcPr>
          <w:p w14:paraId="0E57DE1C" w14:textId="77777777" w:rsidR="00684FEA" w:rsidRPr="00546341" w:rsidRDefault="00684FEA" w:rsidP="000B46F8">
            <w:pPr>
              <w:overflowPunct w:val="0"/>
              <w:adjustRightInd w:val="0"/>
              <w:snapToGrid w:val="0"/>
              <w:spacing w:beforeLines="10" w:before="36" w:line="240" w:lineRule="exact"/>
              <w:ind w:leftChars="5" w:left="12" w:rightChars="12" w:right="29"/>
              <w:jc w:val="distribute"/>
              <w:rPr>
                <w:rFonts w:ascii="標楷體" w:hAnsi="標楷體"/>
                <w:sz w:val="20"/>
              </w:rPr>
            </w:pPr>
            <w:r w:rsidRPr="00546341">
              <w:rPr>
                <w:rFonts w:ascii="標楷體" w:hAnsi="標楷體"/>
                <w:sz w:val="20"/>
              </w:rPr>
              <w:t>項數</w:t>
            </w:r>
          </w:p>
          <w:p w14:paraId="5BF0858A" w14:textId="77777777" w:rsidR="00684FEA" w:rsidRPr="00546341" w:rsidRDefault="00684FEA" w:rsidP="000B46F8">
            <w:pPr>
              <w:overflowPunct w:val="0"/>
              <w:adjustRightInd w:val="0"/>
              <w:snapToGrid w:val="0"/>
              <w:spacing w:beforeLines="10" w:before="36" w:line="240" w:lineRule="exact"/>
              <w:ind w:leftChars="5" w:left="12" w:rightChars="12" w:right="29"/>
              <w:jc w:val="distribute"/>
              <w:rPr>
                <w:rFonts w:ascii="標楷體" w:hAnsi="標楷體"/>
                <w:b/>
                <w:sz w:val="20"/>
              </w:rPr>
            </w:pPr>
            <w:r w:rsidRPr="00546341">
              <w:rPr>
                <w:rFonts w:ascii="標楷體" w:hAnsi="標楷體" w:hint="eastAsia"/>
                <w:sz w:val="20"/>
              </w:rPr>
              <w:t>合計</w:t>
            </w:r>
          </w:p>
        </w:tc>
        <w:tc>
          <w:tcPr>
            <w:tcW w:w="3696" w:type="dxa"/>
            <w:gridSpan w:val="6"/>
            <w:tcBorders>
              <w:left w:val="single" w:sz="4" w:space="0" w:color="auto"/>
              <w:right w:val="single" w:sz="4" w:space="0" w:color="auto"/>
            </w:tcBorders>
            <w:shd w:val="clear" w:color="auto" w:fill="B4C6E7" w:themeFill="accent5" w:themeFillTint="66"/>
            <w:vAlign w:val="center"/>
          </w:tcPr>
          <w:p w14:paraId="353FEB84" w14:textId="77777777" w:rsidR="00684FEA" w:rsidRPr="00546341" w:rsidRDefault="00684FEA" w:rsidP="000B46F8">
            <w:pPr>
              <w:overflowPunct w:val="0"/>
              <w:adjustRightInd w:val="0"/>
              <w:snapToGrid w:val="0"/>
              <w:spacing w:beforeLines="10" w:before="36" w:line="240" w:lineRule="exact"/>
              <w:jc w:val="center"/>
              <w:rPr>
                <w:rFonts w:ascii="標楷體" w:hAnsi="標楷體"/>
                <w:sz w:val="20"/>
              </w:rPr>
            </w:pPr>
            <w:r w:rsidRPr="00546341">
              <w:rPr>
                <w:rFonts w:ascii="標楷體" w:hAnsi="標楷體"/>
                <w:sz w:val="20"/>
              </w:rPr>
              <w:t>分類</w:t>
            </w:r>
            <w:r w:rsidRPr="00546341">
              <w:rPr>
                <w:rFonts w:ascii="標楷體" w:hAnsi="標楷體" w:hint="eastAsia"/>
                <w:sz w:val="20"/>
              </w:rPr>
              <w:t>（註1）</w:t>
            </w:r>
          </w:p>
        </w:tc>
        <w:tc>
          <w:tcPr>
            <w:tcW w:w="800" w:type="dxa"/>
            <w:vMerge w:val="restart"/>
            <w:tcBorders>
              <w:left w:val="single" w:sz="4" w:space="0" w:color="auto"/>
              <w:right w:val="single" w:sz="4" w:space="0" w:color="auto"/>
            </w:tcBorders>
            <w:shd w:val="clear" w:color="auto" w:fill="B4C6E7" w:themeFill="accent5" w:themeFillTint="66"/>
            <w:vAlign w:val="center"/>
          </w:tcPr>
          <w:p w14:paraId="703B0A28" w14:textId="77777777" w:rsidR="00684FEA" w:rsidRPr="00546341" w:rsidRDefault="00684FEA" w:rsidP="000B46F8">
            <w:pPr>
              <w:overflowPunct w:val="0"/>
              <w:adjustRightInd w:val="0"/>
              <w:snapToGrid w:val="0"/>
              <w:spacing w:beforeLines="10" w:before="36" w:line="240" w:lineRule="exact"/>
              <w:ind w:leftChars="5" w:left="12" w:rightChars="12" w:right="29"/>
              <w:jc w:val="distribute"/>
              <w:rPr>
                <w:rFonts w:ascii="標楷體" w:hAnsi="標楷體"/>
                <w:sz w:val="20"/>
              </w:rPr>
            </w:pPr>
            <w:r w:rsidRPr="00546341">
              <w:rPr>
                <w:rFonts w:ascii="標楷體" w:hAnsi="標楷體" w:hint="eastAsia"/>
                <w:sz w:val="20"/>
              </w:rPr>
              <w:t>項數</w:t>
            </w:r>
          </w:p>
          <w:p w14:paraId="24018D41" w14:textId="77777777" w:rsidR="00684FEA" w:rsidRPr="00546341" w:rsidRDefault="00684FEA" w:rsidP="000B46F8">
            <w:pPr>
              <w:overflowPunct w:val="0"/>
              <w:adjustRightInd w:val="0"/>
              <w:snapToGrid w:val="0"/>
              <w:spacing w:beforeLines="10" w:before="36" w:line="240" w:lineRule="exact"/>
              <w:ind w:leftChars="5" w:left="12" w:rightChars="12" w:right="29"/>
              <w:jc w:val="distribute"/>
              <w:rPr>
                <w:rFonts w:ascii="標楷體" w:hAnsi="標楷體"/>
                <w:b/>
                <w:sz w:val="20"/>
              </w:rPr>
            </w:pPr>
            <w:r w:rsidRPr="00546341">
              <w:rPr>
                <w:rFonts w:ascii="標楷體" w:hAnsi="標楷體" w:hint="eastAsia"/>
                <w:sz w:val="20"/>
              </w:rPr>
              <w:t>合計</w:t>
            </w:r>
          </w:p>
        </w:tc>
        <w:tc>
          <w:tcPr>
            <w:tcW w:w="985" w:type="dxa"/>
            <w:vMerge w:val="restart"/>
            <w:tcBorders>
              <w:left w:val="single" w:sz="4" w:space="0" w:color="auto"/>
              <w:right w:val="single" w:sz="4" w:space="0" w:color="auto"/>
            </w:tcBorders>
            <w:shd w:val="clear" w:color="auto" w:fill="B4C6E7" w:themeFill="accent5" w:themeFillTint="66"/>
            <w:vAlign w:val="center"/>
          </w:tcPr>
          <w:p w14:paraId="6A94BFAB" w14:textId="77777777" w:rsidR="00684FEA" w:rsidRPr="00546341" w:rsidRDefault="00684FEA" w:rsidP="000B46F8">
            <w:pPr>
              <w:overflowPunct w:val="0"/>
              <w:adjustRightInd w:val="0"/>
              <w:snapToGrid w:val="0"/>
              <w:spacing w:beforeLines="10" w:before="36" w:line="240" w:lineRule="exact"/>
              <w:ind w:leftChars="5" w:left="12" w:rightChars="12" w:right="29"/>
              <w:jc w:val="distribute"/>
              <w:rPr>
                <w:rFonts w:ascii="標楷體" w:hAnsi="標楷體"/>
                <w:sz w:val="20"/>
              </w:rPr>
            </w:pPr>
            <w:r w:rsidRPr="00546341">
              <w:rPr>
                <w:rFonts w:ascii="標楷體" w:hAnsi="標楷體" w:hint="eastAsia"/>
                <w:sz w:val="20"/>
              </w:rPr>
              <w:t>仍待繼</w:t>
            </w:r>
          </w:p>
          <w:p w14:paraId="6789E0C8" w14:textId="77777777" w:rsidR="00684FEA" w:rsidRPr="00546341" w:rsidRDefault="00684FEA" w:rsidP="000B46F8">
            <w:pPr>
              <w:overflowPunct w:val="0"/>
              <w:adjustRightInd w:val="0"/>
              <w:snapToGrid w:val="0"/>
              <w:spacing w:beforeLines="10" w:before="36" w:line="240" w:lineRule="exact"/>
              <w:ind w:leftChars="5" w:left="12" w:rightChars="12" w:right="29"/>
              <w:jc w:val="distribute"/>
              <w:rPr>
                <w:rFonts w:ascii="標楷體" w:hAnsi="標楷體"/>
                <w:sz w:val="20"/>
              </w:rPr>
            </w:pPr>
            <w:r w:rsidRPr="00546341">
              <w:rPr>
                <w:rFonts w:ascii="標楷體" w:hAnsi="標楷體" w:hint="eastAsia"/>
                <w:sz w:val="20"/>
              </w:rPr>
              <w:t>續改善</w:t>
            </w:r>
          </w:p>
        </w:tc>
        <w:tc>
          <w:tcPr>
            <w:tcW w:w="925" w:type="dxa"/>
            <w:vMerge w:val="restart"/>
            <w:tcBorders>
              <w:left w:val="single" w:sz="4" w:space="0" w:color="auto"/>
              <w:right w:val="single" w:sz="4" w:space="0" w:color="auto"/>
            </w:tcBorders>
            <w:shd w:val="clear" w:color="auto" w:fill="B4C6E7" w:themeFill="accent5" w:themeFillTint="66"/>
            <w:vAlign w:val="center"/>
          </w:tcPr>
          <w:p w14:paraId="2F813472" w14:textId="77777777" w:rsidR="00684FEA" w:rsidRPr="00546341" w:rsidRDefault="00684FEA" w:rsidP="000B46F8">
            <w:pPr>
              <w:overflowPunct w:val="0"/>
              <w:adjustRightInd w:val="0"/>
              <w:snapToGrid w:val="0"/>
              <w:spacing w:beforeLines="10" w:before="36" w:line="240" w:lineRule="exact"/>
              <w:ind w:leftChars="5" w:left="12" w:rightChars="12" w:right="29"/>
              <w:jc w:val="distribute"/>
              <w:rPr>
                <w:rFonts w:ascii="標楷體" w:hAnsi="標楷體"/>
                <w:spacing w:val="-20"/>
                <w:sz w:val="20"/>
              </w:rPr>
            </w:pPr>
            <w:r w:rsidRPr="00546341">
              <w:rPr>
                <w:rFonts w:ascii="標楷體" w:hAnsi="標楷體" w:hint="eastAsia"/>
                <w:spacing w:val="-20"/>
                <w:sz w:val="20"/>
              </w:rPr>
              <w:t>處理中</w:t>
            </w:r>
          </w:p>
        </w:tc>
        <w:tc>
          <w:tcPr>
            <w:tcW w:w="1045" w:type="dxa"/>
            <w:vMerge w:val="restart"/>
            <w:tcBorders>
              <w:left w:val="single" w:sz="4" w:space="0" w:color="auto"/>
            </w:tcBorders>
            <w:shd w:val="clear" w:color="auto" w:fill="B4C6E7" w:themeFill="accent5" w:themeFillTint="66"/>
            <w:vAlign w:val="center"/>
          </w:tcPr>
          <w:p w14:paraId="0AC5C073" w14:textId="77777777" w:rsidR="00684FEA" w:rsidRPr="00546341" w:rsidRDefault="00684FEA" w:rsidP="000B46F8">
            <w:pPr>
              <w:overflowPunct w:val="0"/>
              <w:adjustRightInd w:val="0"/>
              <w:snapToGrid w:val="0"/>
              <w:spacing w:beforeLines="10" w:before="36" w:line="240" w:lineRule="exact"/>
              <w:ind w:leftChars="5" w:left="12" w:rightChars="31" w:right="74"/>
              <w:jc w:val="distribute"/>
              <w:rPr>
                <w:rFonts w:ascii="標楷體" w:hAnsi="標楷體"/>
                <w:spacing w:val="-20"/>
                <w:sz w:val="20"/>
              </w:rPr>
            </w:pPr>
            <w:r w:rsidRPr="00546341">
              <w:rPr>
                <w:rFonts w:ascii="標楷體" w:hAnsi="標楷體" w:hint="eastAsia"/>
                <w:spacing w:val="-20"/>
                <w:sz w:val="20"/>
              </w:rPr>
              <w:t>已改善辦理</w:t>
            </w:r>
          </w:p>
          <w:p w14:paraId="5F74B6BF" w14:textId="77777777" w:rsidR="00684FEA" w:rsidRPr="00546341" w:rsidRDefault="00684FEA" w:rsidP="000B46F8">
            <w:pPr>
              <w:overflowPunct w:val="0"/>
              <w:adjustRightInd w:val="0"/>
              <w:snapToGrid w:val="0"/>
              <w:spacing w:beforeLines="10" w:before="36" w:line="240" w:lineRule="exact"/>
              <w:ind w:rightChars="20" w:right="48"/>
              <w:jc w:val="center"/>
              <w:rPr>
                <w:rFonts w:ascii="標楷體" w:hAnsi="標楷體"/>
                <w:sz w:val="20"/>
              </w:rPr>
            </w:pPr>
            <w:r w:rsidRPr="00546341">
              <w:rPr>
                <w:rFonts w:ascii="標楷體" w:hAnsi="標楷體" w:hint="eastAsia"/>
                <w:spacing w:val="-20"/>
                <w:sz w:val="20"/>
              </w:rPr>
              <w:t>（註2）</w:t>
            </w:r>
          </w:p>
        </w:tc>
      </w:tr>
      <w:tr w:rsidR="00684FEA" w:rsidRPr="00DA77BA" w14:paraId="6BE82ACA" w14:textId="77777777" w:rsidTr="00B74AD5">
        <w:trPr>
          <w:cantSplit/>
          <w:trHeight w:val="510"/>
          <w:tblHeader/>
        </w:trPr>
        <w:tc>
          <w:tcPr>
            <w:tcW w:w="1955" w:type="dxa"/>
            <w:vMerge/>
            <w:tcBorders>
              <w:bottom w:val="single" w:sz="4" w:space="0" w:color="auto"/>
              <w:right w:val="single" w:sz="4" w:space="0" w:color="auto"/>
            </w:tcBorders>
            <w:shd w:val="clear" w:color="auto" w:fill="B4C6E7" w:themeFill="accent5" w:themeFillTint="66"/>
            <w:vAlign w:val="center"/>
          </w:tcPr>
          <w:p w14:paraId="07D580FB" w14:textId="77777777" w:rsidR="00684FEA" w:rsidRPr="00546341" w:rsidRDefault="00684FEA" w:rsidP="000B46F8">
            <w:pPr>
              <w:overflowPunct w:val="0"/>
              <w:adjustRightInd w:val="0"/>
              <w:snapToGrid w:val="0"/>
              <w:spacing w:beforeLines="10" w:before="36" w:line="240" w:lineRule="exact"/>
              <w:jc w:val="center"/>
              <w:rPr>
                <w:rFonts w:ascii="標楷體" w:hAnsi="標楷體"/>
                <w:sz w:val="20"/>
                <w:highlight w:val="yellow"/>
              </w:rPr>
            </w:pPr>
          </w:p>
        </w:tc>
        <w:tc>
          <w:tcPr>
            <w:tcW w:w="800" w:type="dxa"/>
            <w:vMerge/>
            <w:tcBorders>
              <w:left w:val="single" w:sz="4" w:space="0" w:color="auto"/>
              <w:bottom w:val="single" w:sz="4" w:space="0" w:color="auto"/>
              <w:right w:val="single" w:sz="4" w:space="0" w:color="auto"/>
            </w:tcBorders>
            <w:shd w:val="clear" w:color="auto" w:fill="B4C6E7" w:themeFill="accent5" w:themeFillTint="66"/>
            <w:vAlign w:val="center"/>
          </w:tcPr>
          <w:p w14:paraId="24C1C426" w14:textId="77777777" w:rsidR="00684FEA" w:rsidRPr="00546341" w:rsidRDefault="00684FEA" w:rsidP="000B46F8">
            <w:pPr>
              <w:overflowPunct w:val="0"/>
              <w:adjustRightInd w:val="0"/>
              <w:snapToGrid w:val="0"/>
              <w:spacing w:beforeLines="10" w:before="36" w:line="240" w:lineRule="exact"/>
              <w:jc w:val="center"/>
              <w:rPr>
                <w:rFonts w:ascii="標楷體" w:hAnsi="標楷體"/>
                <w:b/>
                <w:sz w:val="20"/>
              </w:rPr>
            </w:pPr>
          </w:p>
        </w:tc>
        <w:tc>
          <w:tcPr>
            <w:tcW w:w="616" w:type="dxa"/>
            <w:tcBorders>
              <w:left w:val="single" w:sz="4" w:space="0" w:color="auto"/>
              <w:bottom w:val="single" w:sz="4" w:space="0" w:color="auto"/>
              <w:right w:val="single" w:sz="4" w:space="0" w:color="auto"/>
            </w:tcBorders>
            <w:shd w:val="clear" w:color="auto" w:fill="B4C6E7" w:themeFill="accent5" w:themeFillTint="66"/>
            <w:vAlign w:val="center"/>
          </w:tcPr>
          <w:p w14:paraId="388EAAAA" w14:textId="77777777" w:rsidR="00684FEA" w:rsidRPr="00546341" w:rsidRDefault="00684FEA" w:rsidP="000B46F8">
            <w:pPr>
              <w:overflowPunct w:val="0"/>
              <w:adjustRightInd w:val="0"/>
              <w:snapToGrid w:val="0"/>
              <w:spacing w:beforeLines="10" w:before="36" w:line="240" w:lineRule="exact"/>
              <w:jc w:val="center"/>
              <w:rPr>
                <w:rFonts w:ascii="標楷體" w:hAnsi="標楷體"/>
                <w:spacing w:val="-10"/>
                <w:sz w:val="20"/>
              </w:rPr>
            </w:pPr>
            <w:r w:rsidRPr="00546341">
              <w:rPr>
                <w:rFonts w:ascii="標楷體" w:hAnsi="標楷體"/>
                <w:spacing w:val="-10"/>
                <w:sz w:val="20"/>
              </w:rPr>
              <w:t>（</w:t>
            </w:r>
            <w:r w:rsidRPr="00546341">
              <w:rPr>
                <w:rFonts w:ascii="標楷體" w:hAnsi="標楷體" w:hint="eastAsia"/>
                <w:spacing w:val="-10"/>
                <w:sz w:val="20"/>
              </w:rPr>
              <w:t>1</w:t>
            </w:r>
            <w:r w:rsidRPr="00546341">
              <w:rPr>
                <w:rFonts w:ascii="標楷體" w:hAnsi="標楷體"/>
                <w:spacing w:val="-10"/>
                <w:sz w:val="20"/>
              </w:rPr>
              <w:t>）</w:t>
            </w:r>
          </w:p>
        </w:tc>
        <w:tc>
          <w:tcPr>
            <w:tcW w:w="616" w:type="dxa"/>
            <w:tcBorders>
              <w:left w:val="single" w:sz="4" w:space="0" w:color="auto"/>
              <w:bottom w:val="single" w:sz="4" w:space="0" w:color="auto"/>
              <w:right w:val="single" w:sz="4" w:space="0" w:color="auto"/>
            </w:tcBorders>
            <w:shd w:val="clear" w:color="auto" w:fill="B4C6E7" w:themeFill="accent5" w:themeFillTint="66"/>
            <w:vAlign w:val="center"/>
          </w:tcPr>
          <w:p w14:paraId="543612D3" w14:textId="77777777" w:rsidR="00684FEA" w:rsidRPr="00546341" w:rsidRDefault="00684FEA" w:rsidP="000B46F8">
            <w:pPr>
              <w:overflowPunct w:val="0"/>
              <w:adjustRightInd w:val="0"/>
              <w:snapToGrid w:val="0"/>
              <w:spacing w:beforeLines="10" w:before="36" w:line="240" w:lineRule="exact"/>
              <w:jc w:val="center"/>
              <w:rPr>
                <w:rFonts w:ascii="標楷體" w:hAnsi="標楷體"/>
                <w:spacing w:val="-10"/>
                <w:sz w:val="20"/>
              </w:rPr>
            </w:pPr>
            <w:r w:rsidRPr="00546341">
              <w:rPr>
                <w:rFonts w:ascii="標楷體" w:hAnsi="標楷體"/>
                <w:spacing w:val="-10"/>
                <w:sz w:val="20"/>
              </w:rPr>
              <w:t>（</w:t>
            </w:r>
            <w:r w:rsidRPr="00546341">
              <w:rPr>
                <w:rFonts w:ascii="標楷體" w:hAnsi="標楷體" w:hint="eastAsia"/>
                <w:spacing w:val="-10"/>
                <w:sz w:val="20"/>
              </w:rPr>
              <w:t>2</w:t>
            </w:r>
            <w:r w:rsidRPr="00546341">
              <w:rPr>
                <w:rFonts w:ascii="標楷體" w:hAnsi="標楷體"/>
                <w:spacing w:val="-10"/>
                <w:sz w:val="20"/>
              </w:rPr>
              <w:t>）</w:t>
            </w:r>
          </w:p>
        </w:tc>
        <w:tc>
          <w:tcPr>
            <w:tcW w:w="616" w:type="dxa"/>
            <w:tcBorders>
              <w:left w:val="single" w:sz="4" w:space="0" w:color="auto"/>
              <w:bottom w:val="single" w:sz="4" w:space="0" w:color="auto"/>
              <w:right w:val="single" w:sz="4" w:space="0" w:color="auto"/>
            </w:tcBorders>
            <w:shd w:val="clear" w:color="auto" w:fill="B4C6E7" w:themeFill="accent5" w:themeFillTint="66"/>
            <w:vAlign w:val="center"/>
          </w:tcPr>
          <w:p w14:paraId="397D050A" w14:textId="77777777" w:rsidR="00684FEA" w:rsidRPr="00546341" w:rsidRDefault="00684FEA" w:rsidP="000B46F8">
            <w:pPr>
              <w:overflowPunct w:val="0"/>
              <w:adjustRightInd w:val="0"/>
              <w:snapToGrid w:val="0"/>
              <w:spacing w:beforeLines="10" w:before="36" w:line="240" w:lineRule="exact"/>
              <w:jc w:val="center"/>
              <w:rPr>
                <w:rFonts w:ascii="標楷體" w:hAnsi="標楷體"/>
                <w:spacing w:val="-10"/>
                <w:sz w:val="20"/>
              </w:rPr>
            </w:pPr>
            <w:r w:rsidRPr="00546341">
              <w:rPr>
                <w:rFonts w:ascii="標楷體" w:hAnsi="標楷體"/>
                <w:spacing w:val="-10"/>
                <w:sz w:val="20"/>
              </w:rPr>
              <w:t>（</w:t>
            </w:r>
            <w:r w:rsidRPr="00546341">
              <w:rPr>
                <w:rFonts w:ascii="標楷體" w:hAnsi="標楷體" w:hint="eastAsia"/>
                <w:spacing w:val="-10"/>
                <w:sz w:val="20"/>
              </w:rPr>
              <w:t>3</w:t>
            </w:r>
            <w:r w:rsidRPr="00546341">
              <w:rPr>
                <w:rFonts w:ascii="標楷體" w:hAnsi="標楷體"/>
                <w:spacing w:val="-10"/>
                <w:sz w:val="20"/>
              </w:rPr>
              <w:t>）</w:t>
            </w:r>
          </w:p>
        </w:tc>
        <w:tc>
          <w:tcPr>
            <w:tcW w:w="616" w:type="dxa"/>
            <w:tcBorders>
              <w:left w:val="single" w:sz="4" w:space="0" w:color="auto"/>
              <w:bottom w:val="single" w:sz="4" w:space="0" w:color="auto"/>
              <w:right w:val="single" w:sz="4" w:space="0" w:color="auto"/>
            </w:tcBorders>
            <w:shd w:val="clear" w:color="auto" w:fill="B4C6E7" w:themeFill="accent5" w:themeFillTint="66"/>
            <w:vAlign w:val="center"/>
          </w:tcPr>
          <w:p w14:paraId="0C37290D" w14:textId="77777777" w:rsidR="00684FEA" w:rsidRPr="00546341" w:rsidRDefault="00684FEA" w:rsidP="000B46F8">
            <w:pPr>
              <w:overflowPunct w:val="0"/>
              <w:adjustRightInd w:val="0"/>
              <w:snapToGrid w:val="0"/>
              <w:spacing w:beforeLines="10" w:before="36" w:line="240" w:lineRule="exact"/>
              <w:jc w:val="center"/>
              <w:rPr>
                <w:rFonts w:ascii="標楷體" w:hAnsi="標楷體"/>
                <w:spacing w:val="-10"/>
                <w:sz w:val="20"/>
              </w:rPr>
            </w:pPr>
            <w:r w:rsidRPr="00546341">
              <w:rPr>
                <w:rFonts w:ascii="標楷體" w:hAnsi="標楷體"/>
                <w:spacing w:val="-10"/>
                <w:sz w:val="20"/>
              </w:rPr>
              <w:t>（</w:t>
            </w:r>
            <w:r w:rsidRPr="00546341">
              <w:rPr>
                <w:rFonts w:ascii="標楷體" w:hAnsi="標楷體" w:hint="eastAsia"/>
                <w:spacing w:val="-10"/>
                <w:sz w:val="20"/>
              </w:rPr>
              <w:t>4</w:t>
            </w:r>
            <w:r w:rsidRPr="00546341">
              <w:rPr>
                <w:rFonts w:ascii="標楷體" w:hAnsi="標楷體"/>
                <w:spacing w:val="-10"/>
                <w:sz w:val="20"/>
              </w:rPr>
              <w:t>）</w:t>
            </w:r>
          </w:p>
        </w:tc>
        <w:tc>
          <w:tcPr>
            <w:tcW w:w="616" w:type="dxa"/>
            <w:tcBorders>
              <w:left w:val="single" w:sz="4" w:space="0" w:color="auto"/>
              <w:bottom w:val="single" w:sz="4" w:space="0" w:color="auto"/>
              <w:right w:val="single" w:sz="4" w:space="0" w:color="auto"/>
            </w:tcBorders>
            <w:shd w:val="clear" w:color="auto" w:fill="B4C6E7" w:themeFill="accent5" w:themeFillTint="66"/>
            <w:vAlign w:val="center"/>
          </w:tcPr>
          <w:p w14:paraId="3B2E9816" w14:textId="77777777" w:rsidR="00684FEA" w:rsidRPr="00546341" w:rsidRDefault="00684FEA" w:rsidP="000B46F8">
            <w:pPr>
              <w:overflowPunct w:val="0"/>
              <w:adjustRightInd w:val="0"/>
              <w:snapToGrid w:val="0"/>
              <w:spacing w:beforeLines="10" w:before="36" w:line="240" w:lineRule="exact"/>
              <w:jc w:val="center"/>
              <w:rPr>
                <w:rFonts w:ascii="標楷體" w:hAnsi="標楷體"/>
                <w:spacing w:val="-10"/>
                <w:sz w:val="20"/>
              </w:rPr>
            </w:pPr>
            <w:r w:rsidRPr="00546341">
              <w:rPr>
                <w:rFonts w:ascii="標楷體" w:hAnsi="標楷體"/>
                <w:spacing w:val="-10"/>
                <w:sz w:val="20"/>
              </w:rPr>
              <w:t>（</w:t>
            </w:r>
            <w:r w:rsidRPr="00546341">
              <w:rPr>
                <w:rFonts w:ascii="標楷體" w:hAnsi="標楷體" w:hint="eastAsia"/>
                <w:spacing w:val="-10"/>
                <w:sz w:val="20"/>
              </w:rPr>
              <w:t>5</w:t>
            </w:r>
            <w:r w:rsidRPr="00546341">
              <w:rPr>
                <w:rFonts w:ascii="標楷體" w:hAnsi="標楷體"/>
                <w:spacing w:val="-10"/>
                <w:sz w:val="20"/>
              </w:rPr>
              <w:t>）</w:t>
            </w:r>
          </w:p>
        </w:tc>
        <w:tc>
          <w:tcPr>
            <w:tcW w:w="616" w:type="dxa"/>
            <w:tcBorders>
              <w:left w:val="single" w:sz="4" w:space="0" w:color="auto"/>
              <w:bottom w:val="single" w:sz="4" w:space="0" w:color="auto"/>
              <w:right w:val="single" w:sz="4" w:space="0" w:color="auto"/>
            </w:tcBorders>
            <w:shd w:val="clear" w:color="auto" w:fill="B4C6E7" w:themeFill="accent5" w:themeFillTint="66"/>
            <w:vAlign w:val="center"/>
          </w:tcPr>
          <w:p w14:paraId="058D5EF6" w14:textId="77777777" w:rsidR="00684FEA" w:rsidRPr="00546341" w:rsidRDefault="00684FEA" w:rsidP="000B46F8">
            <w:pPr>
              <w:overflowPunct w:val="0"/>
              <w:adjustRightInd w:val="0"/>
              <w:snapToGrid w:val="0"/>
              <w:spacing w:beforeLines="10" w:before="36" w:line="240" w:lineRule="exact"/>
              <w:jc w:val="center"/>
              <w:rPr>
                <w:rFonts w:ascii="標楷體" w:hAnsi="標楷體"/>
                <w:spacing w:val="-10"/>
                <w:sz w:val="20"/>
              </w:rPr>
            </w:pPr>
            <w:r w:rsidRPr="00546341">
              <w:rPr>
                <w:rFonts w:ascii="標楷體" w:hAnsi="標楷體"/>
                <w:spacing w:val="-10"/>
                <w:sz w:val="20"/>
              </w:rPr>
              <w:t>（</w:t>
            </w:r>
            <w:r w:rsidRPr="00546341">
              <w:rPr>
                <w:rFonts w:ascii="標楷體" w:hAnsi="標楷體" w:hint="eastAsia"/>
                <w:spacing w:val="-10"/>
                <w:sz w:val="20"/>
              </w:rPr>
              <w:t>6</w:t>
            </w:r>
            <w:r w:rsidRPr="00546341">
              <w:rPr>
                <w:rFonts w:ascii="標楷體" w:hAnsi="標楷體"/>
                <w:spacing w:val="-10"/>
                <w:sz w:val="20"/>
              </w:rPr>
              <w:t>）</w:t>
            </w:r>
          </w:p>
        </w:tc>
        <w:tc>
          <w:tcPr>
            <w:tcW w:w="800" w:type="dxa"/>
            <w:vMerge/>
            <w:tcBorders>
              <w:left w:val="single" w:sz="4" w:space="0" w:color="auto"/>
              <w:bottom w:val="single" w:sz="4" w:space="0" w:color="auto"/>
              <w:right w:val="single" w:sz="4" w:space="0" w:color="auto"/>
            </w:tcBorders>
            <w:shd w:val="clear" w:color="auto" w:fill="B4C6E7" w:themeFill="accent5" w:themeFillTint="66"/>
            <w:vAlign w:val="center"/>
          </w:tcPr>
          <w:p w14:paraId="1B80A41D" w14:textId="77777777" w:rsidR="00684FEA" w:rsidRPr="00546341" w:rsidRDefault="00684FEA" w:rsidP="000B46F8">
            <w:pPr>
              <w:overflowPunct w:val="0"/>
              <w:adjustRightInd w:val="0"/>
              <w:snapToGrid w:val="0"/>
              <w:spacing w:beforeLines="10" w:before="36" w:line="240" w:lineRule="exact"/>
              <w:jc w:val="distribute"/>
              <w:rPr>
                <w:rFonts w:ascii="標楷體" w:hAnsi="標楷體"/>
                <w:b/>
                <w:spacing w:val="-20"/>
                <w:sz w:val="20"/>
                <w:highlight w:val="yellow"/>
              </w:rPr>
            </w:pPr>
          </w:p>
        </w:tc>
        <w:tc>
          <w:tcPr>
            <w:tcW w:w="985" w:type="dxa"/>
            <w:vMerge/>
            <w:tcBorders>
              <w:left w:val="single" w:sz="4" w:space="0" w:color="auto"/>
              <w:bottom w:val="single" w:sz="4" w:space="0" w:color="auto"/>
              <w:right w:val="single" w:sz="4" w:space="0" w:color="auto"/>
            </w:tcBorders>
            <w:shd w:val="clear" w:color="auto" w:fill="B4C6E7" w:themeFill="accent5" w:themeFillTint="66"/>
            <w:vAlign w:val="center"/>
          </w:tcPr>
          <w:p w14:paraId="3124AE79" w14:textId="77777777" w:rsidR="00684FEA" w:rsidRPr="00546341" w:rsidRDefault="00684FEA" w:rsidP="000B46F8">
            <w:pPr>
              <w:overflowPunct w:val="0"/>
              <w:adjustRightInd w:val="0"/>
              <w:snapToGrid w:val="0"/>
              <w:spacing w:beforeLines="10" w:before="36" w:line="240" w:lineRule="exact"/>
              <w:jc w:val="distribute"/>
              <w:rPr>
                <w:rFonts w:ascii="標楷體" w:hAnsi="標楷體"/>
                <w:spacing w:val="-20"/>
                <w:sz w:val="20"/>
                <w:highlight w:val="yellow"/>
              </w:rPr>
            </w:pPr>
          </w:p>
        </w:tc>
        <w:tc>
          <w:tcPr>
            <w:tcW w:w="925" w:type="dxa"/>
            <w:vMerge/>
            <w:tcBorders>
              <w:left w:val="single" w:sz="4" w:space="0" w:color="auto"/>
              <w:bottom w:val="single" w:sz="4" w:space="0" w:color="auto"/>
              <w:right w:val="single" w:sz="4" w:space="0" w:color="auto"/>
            </w:tcBorders>
            <w:shd w:val="clear" w:color="auto" w:fill="B4C6E7" w:themeFill="accent5" w:themeFillTint="66"/>
            <w:vAlign w:val="center"/>
          </w:tcPr>
          <w:p w14:paraId="67462BCD" w14:textId="77777777" w:rsidR="00684FEA" w:rsidRPr="00546341" w:rsidRDefault="00684FEA" w:rsidP="000B46F8">
            <w:pPr>
              <w:overflowPunct w:val="0"/>
              <w:adjustRightInd w:val="0"/>
              <w:snapToGrid w:val="0"/>
              <w:spacing w:beforeLines="10" w:before="36" w:line="240" w:lineRule="exact"/>
              <w:ind w:leftChars="-10" w:left="-24" w:rightChars="13" w:right="31"/>
              <w:jc w:val="distribute"/>
              <w:rPr>
                <w:rFonts w:ascii="標楷體" w:hAnsi="標楷體"/>
                <w:spacing w:val="-20"/>
                <w:sz w:val="20"/>
                <w:highlight w:val="yellow"/>
              </w:rPr>
            </w:pPr>
          </w:p>
        </w:tc>
        <w:tc>
          <w:tcPr>
            <w:tcW w:w="1045" w:type="dxa"/>
            <w:vMerge/>
            <w:tcBorders>
              <w:left w:val="single" w:sz="4" w:space="0" w:color="auto"/>
              <w:bottom w:val="single" w:sz="4" w:space="0" w:color="auto"/>
            </w:tcBorders>
            <w:shd w:val="clear" w:color="auto" w:fill="B4C6E7" w:themeFill="accent5" w:themeFillTint="66"/>
            <w:vAlign w:val="center"/>
          </w:tcPr>
          <w:p w14:paraId="0A0B3B22" w14:textId="77777777" w:rsidR="00684FEA" w:rsidRPr="00546341" w:rsidRDefault="00684FEA" w:rsidP="000B46F8">
            <w:pPr>
              <w:overflowPunct w:val="0"/>
              <w:adjustRightInd w:val="0"/>
              <w:snapToGrid w:val="0"/>
              <w:spacing w:beforeLines="10" w:before="36" w:line="240" w:lineRule="exact"/>
              <w:jc w:val="center"/>
              <w:rPr>
                <w:rFonts w:ascii="標楷體" w:hAnsi="標楷體"/>
                <w:sz w:val="20"/>
                <w:highlight w:val="yellow"/>
              </w:rPr>
            </w:pPr>
          </w:p>
        </w:tc>
      </w:tr>
      <w:tr w:rsidR="00BC0D77" w:rsidRPr="00DA77BA" w14:paraId="3762E227" w14:textId="77777777" w:rsidTr="002F6E09">
        <w:trPr>
          <w:cantSplit/>
          <w:trHeight w:val="550"/>
          <w:tblHeader/>
        </w:trPr>
        <w:tc>
          <w:tcPr>
            <w:tcW w:w="1955" w:type="dxa"/>
            <w:tcBorders>
              <w:top w:val="single" w:sz="4" w:space="0" w:color="auto"/>
              <w:bottom w:val="single" w:sz="4" w:space="0" w:color="auto"/>
              <w:right w:val="single" w:sz="4" w:space="0" w:color="auto"/>
            </w:tcBorders>
            <w:vAlign w:val="center"/>
          </w:tcPr>
          <w:p w14:paraId="44BE845D" w14:textId="77777777" w:rsidR="00BC0D77" w:rsidRPr="00546341" w:rsidRDefault="00BC0D77" w:rsidP="00BC0D77">
            <w:pPr>
              <w:overflowPunct w:val="0"/>
              <w:adjustRightInd w:val="0"/>
              <w:snapToGrid w:val="0"/>
              <w:spacing w:beforeLines="10" w:before="36" w:line="240" w:lineRule="exact"/>
              <w:ind w:rightChars="44" w:right="106"/>
              <w:jc w:val="distribute"/>
              <w:rPr>
                <w:rFonts w:ascii="標楷體" w:hAnsi="標楷體"/>
                <w:b/>
                <w:spacing w:val="-26"/>
                <w:sz w:val="20"/>
              </w:rPr>
            </w:pPr>
            <w:r w:rsidRPr="00546341">
              <w:rPr>
                <w:rFonts w:ascii="標楷體" w:hAnsi="標楷體" w:hint="eastAsia"/>
                <w:b/>
                <w:noProof/>
                <w:spacing w:val="-26"/>
                <w:sz w:val="20"/>
              </w:rPr>
              <w:t>合計</w:t>
            </w:r>
          </w:p>
        </w:tc>
        <w:tc>
          <w:tcPr>
            <w:tcW w:w="800" w:type="dxa"/>
            <w:tcBorders>
              <w:top w:val="single" w:sz="4" w:space="0" w:color="auto"/>
              <w:left w:val="single" w:sz="4" w:space="0" w:color="auto"/>
              <w:bottom w:val="single" w:sz="4" w:space="0" w:color="auto"/>
              <w:right w:val="single" w:sz="4" w:space="0" w:color="auto"/>
            </w:tcBorders>
            <w:vAlign w:val="center"/>
          </w:tcPr>
          <w:p w14:paraId="5BE8BCB9" w14:textId="60E9DF02" w:rsidR="00BC0D77" w:rsidRPr="00DA0BFA" w:rsidRDefault="00BC0D77" w:rsidP="001A67F7">
            <w:pPr>
              <w:overflowPunct w:val="0"/>
              <w:adjustRightInd w:val="0"/>
              <w:snapToGrid w:val="0"/>
              <w:spacing w:beforeLines="10" w:before="36" w:line="240" w:lineRule="exact"/>
              <w:ind w:rightChars="17" w:right="41"/>
              <w:jc w:val="right"/>
              <w:rPr>
                <w:rFonts w:ascii="標楷體" w:hAnsi="標楷體"/>
                <w:b/>
                <w:noProof/>
                <w:sz w:val="20"/>
              </w:rPr>
            </w:pPr>
            <w:r w:rsidRPr="00DA0BFA">
              <w:rPr>
                <w:rFonts w:ascii="標楷體" w:hAnsi="標楷體" w:hint="eastAsia"/>
                <w:b/>
                <w:bCs/>
                <w:color w:val="000000"/>
                <w:sz w:val="20"/>
                <w:szCs w:val="20"/>
              </w:rPr>
              <w:t>14</w:t>
            </w:r>
            <w:r w:rsidR="0087088B">
              <w:rPr>
                <w:rFonts w:ascii="標楷體" w:hAnsi="標楷體"/>
                <w:b/>
                <w:bCs/>
                <w:color w:val="000000"/>
                <w:sz w:val="20"/>
                <w:szCs w:val="20"/>
              </w:rPr>
              <w:t>7</w:t>
            </w:r>
          </w:p>
        </w:tc>
        <w:tc>
          <w:tcPr>
            <w:tcW w:w="616" w:type="dxa"/>
            <w:tcBorders>
              <w:top w:val="single" w:sz="4" w:space="0" w:color="auto"/>
              <w:left w:val="single" w:sz="4" w:space="0" w:color="auto"/>
              <w:bottom w:val="single" w:sz="4" w:space="0" w:color="auto"/>
              <w:right w:val="single" w:sz="4" w:space="0" w:color="auto"/>
            </w:tcBorders>
            <w:vAlign w:val="center"/>
          </w:tcPr>
          <w:p w14:paraId="0A9CF65A" w14:textId="4121CA41" w:rsidR="00BC0D77" w:rsidRPr="00DA0BFA" w:rsidRDefault="00BC0D77" w:rsidP="001A67F7">
            <w:pPr>
              <w:overflowPunct w:val="0"/>
              <w:adjustRightInd w:val="0"/>
              <w:snapToGrid w:val="0"/>
              <w:spacing w:beforeLines="10" w:before="36" w:line="240" w:lineRule="exact"/>
              <w:ind w:rightChars="17" w:right="41"/>
              <w:jc w:val="right"/>
              <w:rPr>
                <w:rFonts w:ascii="標楷體" w:hAnsi="標楷體"/>
                <w:b/>
                <w:noProof/>
                <w:sz w:val="20"/>
              </w:rPr>
            </w:pPr>
            <w:r w:rsidRPr="00DA0BFA">
              <w:rPr>
                <w:rFonts w:ascii="標楷體" w:hAnsi="標楷體" w:hint="eastAsia"/>
                <w:b/>
                <w:bCs/>
                <w:color w:val="000000"/>
                <w:sz w:val="20"/>
                <w:szCs w:val="20"/>
              </w:rPr>
              <w:t>5</w:t>
            </w:r>
          </w:p>
        </w:tc>
        <w:tc>
          <w:tcPr>
            <w:tcW w:w="616" w:type="dxa"/>
            <w:tcBorders>
              <w:top w:val="single" w:sz="4" w:space="0" w:color="auto"/>
              <w:left w:val="single" w:sz="4" w:space="0" w:color="auto"/>
              <w:bottom w:val="single" w:sz="4" w:space="0" w:color="auto"/>
              <w:right w:val="single" w:sz="4" w:space="0" w:color="auto"/>
            </w:tcBorders>
            <w:vAlign w:val="center"/>
          </w:tcPr>
          <w:p w14:paraId="42A398D0" w14:textId="174FD55C" w:rsidR="00BC0D77" w:rsidRPr="00DA0BFA" w:rsidRDefault="00BC0D77" w:rsidP="001A67F7">
            <w:pPr>
              <w:overflowPunct w:val="0"/>
              <w:adjustRightInd w:val="0"/>
              <w:snapToGrid w:val="0"/>
              <w:spacing w:beforeLines="10" w:before="36" w:line="240" w:lineRule="exact"/>
              <w:ind w:rightChars="17" w:right="41"/>
              <w:jc w:val="right"/>
              <w:rPr>
                <w:rFonts w:ascii="標楷體" w:hAnsi="標楷體"/>
                <w:b/>
                <w:noProof/>
                <w:sz w:val="20"/>
              </w:rPr>
            </w:pPr>
            <w:r w:rsidRPr="00DA0BFA">
              <w:rPr>
                <w:rFonts w:ascii="標楷體" w:hAnsi="標楷體" w:hint="eastAsia"/>
                <w:b/>
                <w:bCs/>
                <w:color w:val="000000"/>
                <w:sz w:val="20"/>
                <w:szCs w:val="20"/>
              </w:rPr>
              <w:t>55</w:t>
            </w:r>
          </w:p>
        </w:tc>
        <w:tc>
          <w:tcPr>
            <w:tcW w:w="616" w:type="dxa"/>
            <w:tcBorders>
              <w:top w:val="single" w:sz="4" w:space="0" w:color="auto"/>
              <w:left w:val="single" w:sz="4" w:space="0" w:color="auto"/>
              <w:bottom w:val="single" w:sz="4" w:space="0" w:color="auto"/>
              <w:right w:val="single" w:sz="4" w:space="0" w:color="auto"/>
            </w:tcBorders>
            <w:vAlign w:val="center"/>
          </w:tcPr>
          <w:p w14:paraId="192A2D4B" w14:textId="0D7E5733" w:rsidR="00BC0D77" w:rsidRPr="00DA0BFA" w:rsidRDefault="00BC0D77" w:rsidP="001A67F7">
            <w:pPr>
              <w:overflowPunct w:val="0"/>
              <w:adjustRightInd w:val="0"/>
              <w:snapToGrid w:val="0"/>
              <w:spacing w:beforeLines="10" w:before="36" w:line="240" w:lineRule="exact"/>
              <w:ind w:rightChars="17" w:right="41"/>
              <w:jc w:val="right"/>
              <w:rPr>
                <w:rFonts w:ascii="標楷體" w:hAnsi="標楷體"/>
                <w:b/>
                <w:noProof/>
                <w:sz w:val="20"/>
              </w:rPr>
            </w:pPr>
            <w:r w:rsidRPr="00DA0BFA">
              <w:rPr>
                <w:rFonts w:ascii="標楷體" w:hAnsi="標楷體" w:hint="eastAsia"/>
                <w:b/>
                <w:bCs/>
                <w:color w:val="000000"/>
                <w:sz w:val="20"/>
                <w:szCs w:val="20"/>
              </w:rPr>
              <w:t>23</w:t>
            </w:r>
          </w:p>
        </w:tc>
        <w:tc>
          <w:tcPr>
            <w:tcW w:w="616" w:type="dxa"/>
            <w:tcBorders>
              <w:top w:val="single" w:sz="4" w:space="0" w:color="auto"/>
              <w:left w:val="single" w:sz="4" w:space="0" w:color="auto"/>
              <w:bottom w:val="single" w:sz="4" w:space="0" w:color="auto"/>
              <w:right w:val="single" w:sz="4" w:space="0" w:color="auto"/>
            </w:tcBorders>
            <w:vAlign w:val="center"/>
          </w:tcPr>
          <w:p w14:paraId="021865E6" w14:textId="41079B57" w:rsidR="00BC0D77" w:rsidRPr="00DA0BFA" w:rsidRDefault="00BC0D77" w:rsidP="001A67F7">
            <w:pPr>
              <w:overflowPunct w:val="0"/>
              <w:adjustRightInd w:val="0"/>
              <w:snapToGrid w:val="0"/>
              <w:spacing w:beforeLines="10" w:before="36" w:line="240" w:lineRule="exact"/>
              <w:ind w:rightChars="17" w:right="41"/>
              <w:jc w:val="right"/>
              <w:rPr>
                <w:rFonts w:ascii="標楷體" w:hAnsi="標楷體"/>
                <w:b/>
                <w:noProof/>
                <w:sz w:val="20"/>
              </w:rPr>
            </w:pPr>
            <w:r w:rsidRPr="00DA0BFA">
              <w:rPr>
                <w:rFonts w:ascii="標楷體" w:hAnsi="標楷體" w:hint="eastAsia"/>
                <w:b/>
                <w:bCs/>
                <w:color w:val="000000"/>
                <w:sz w:val="20"/>
                <w:szCs w:val="20"/>
              </w:rPr>
              <w:t>29</w:t>
            </w:r>
          </w:p>
        </w:tc>
        <w:tc>
          <w:tcPr>
            <w:tcW w:w="616" w:type="dxa"/>
            <w:tcBorders>
              <w:top w:val="single" w:sz="4" w:space="0" w:color="auto"/>
              <w:left w:val="single" w:sz="4" w:space="0" w:color="auto"/>
              <w:bottom w:val="single" w:sz="4" w:space="0" w:color="auto"/>
              <w:right w:val="single" w:sz="4" w:space="0" w:color="auto"/>
            </w:tcBorders>
            <w:vAlign w:val="center"/>
          </w:tcPr>
          <w:p w14:paraId="7D09DF40" w14:textId="08936607" w:rsidR="00BC0D77" w:rsidRPr="00DA0BFA" w:rsidRDefault="0087088B" w:rsidP="001A67F7">
            <w:pPr>
              <w:overflowPunct w:val="0"/>
              <w:adjustRightInd w:val="0"/>
              <w:snapToGrid w:val="0"/>
              <w:spacing w:beforeLines="10" w:before="36" w:line="240" w:lineRule="exact"/>
              <w:ind w:rightChars="17" w:right="41"/>
              <w:jc w:val="right"/>
              <w:rPr>
                <w:rFonts w:ascii="標楷體" w:hAnsi="標楷體"/>
                <w:b/>
                <w:noProof/>
                <w:sz w:val="20"/>
              </w:rPr>
            </w:pPr>
            <w:r>
              <w:rPr>
                <w:rFonts w:ascii="標楷體" w:hAnsi="標楷體" w:hint="eastAsia"/>
                <w:b/>
                <w:noProof/>
                <w:sz w:val="20"/>
              </w:rPr>
              <w:t>8</w:t>
            </w:r>
          </w:p>
        </w:tc>
        <w:tc>
          <w:tcPr>
            <w:tcW w:w="616" w:type="dxa"/>
            <w:tcBorders>
              <w:top w:val="single" w:sz="4" w:space="0" w:color="auto"/>
              <w:left w:val="single" w:sz="4" w:space="0" w:color="auto"/>
              <w:bottom w:val="single" w:sz="4" w:space="0" w:color="auto"/>
              <w:right w:val="single" w:sz="4" w:space="0" w:color="auto"/>
            </w:tcBorders>
            <w:vAlign w:val="center"/>
          </w:tcPr>
          <w:p w14:paraId="7EC68B04" w14:textId="2AC6CB1C" w:rsidR="00BC0D77" w:rsidRPr="00DA0BFA" w:rsidRDefault="00BC0D77" w:rsidP="001A67F7">
            <w:pPr>
              <w:overflowPunct w:val="0"/>
              <w:adjustRightInd w:val="0"/>
              <w:snapToGrid w:val="0"/>
              <w:spacing w:beforeLines="10" w:before="36" w:line="240" w:lineRule="exact"/>
              <w:ind w:rightChars="17" w:right="41"/>
              <w:jc w:val="right"/>
              <w:rPr>
                <w:rFonts w:ascii="標楷體" w:hAnsi="標楷體"/>
                <w:b/>
                <w:noProof/>
                <w:sz w:val="20"/>
              </w:rPr>
            </w:pPr>
            <w:r w:rsidRPr="00DA0BFA">
              <w:rPr>
                <w:rFonts w:ascii="標楷體" w:hAnsi="標楷體" w:hint="eastAsia"/>
                <w:b/>
                <w:bCs/>
                <w:color w:val="000000"/>
                <w:sz w:val="20"/>
                <w:szCs w:val="20"/>
              </w:rPr>
              <w:t>27</w:t>
            </w:r>
          </w:p>
        </w:tc>
        <w:tc>
          <w:tcPr>
            <w:tcW w:w="800" w:type="dxa"/>
            <w:tcBorders>
              <w:top w:val="single" w:sz="4" w:space="0" w:color="auto"/>
              <w:left w:val="single" w:sz="4" w:space="0" w:color="auto"/>
              <w:bottom w:val="single" w:sz="4" w:space="0" w:color="auto"/>
              <w:right w:val="single" w:sz="4" w:space="0" w:color="auto"/>
            </w:tcBorders>
            <w:vAlign w:val="center"/>
          </w:tcPr>
          <w:p w14:paraId="21D01775" w14:textId="4506DA44" w:rsidR="00BC0D77" w:rsidRPr="00DA0BFA" w:rsidRDefault="00BC0D77" w:rsidP="001A67F7">
            <w:pPr>
              <w:overflowPunct w:val="0"/>
              <w:adjustRightInd w:val="0"/>
              <w:snapToGrid w:val="0"/>
              <w:spacing w:beforeLines="10" w:before="36" w:line="240" w:lineRule="exact"/>
              <w:ind w:rightChars="17" w:right="41"/>
              <w:jc w:val="right"/>
              <w:rPr>
                <w:rFonts w:ascii="標楷體" w:hAnsi="標楷體"/>
                <w:b/>
                <w:noProof/>
                <w:sz w:val="20"/>
              </w:rPr>
            </w:pPr>
            <w:r w:rsidRPr="00DA0BFA">
              <w:rPr>
                <w:rFonts w:ascii="標楷體" w:hAnsi="標楷體" w:hint="eastAsia"/>
                <w:b/>
                <w:bCs/>
                <w:color w:val="000000"/>
                <w:sz w:val="20"/>
                <w:szCs w:val="20"/>
              </w:rPr>
              <w:t>152</w:t>
            </w:r>
          </w:p>
        </w:tc>
        <w:tc>
          <w:tcPr>
            <w:tcW w:w="985" w:type="dxa"/>
            <w:tcBorders>
              <w:top w:val="single" w:sz="4" w:space="0" w:color="auto"/>
              <w:left w:val="single" w:sz="4" w:space="0" w:color="auto"/>
              <w:bottom w:val="single" w:sz="4" w:space="0" w:color="auto"/>
              <w:right w:val="single" w:sz="4" w:space="0" w:color="auto"/>
            </w:tcBorders>
            <w:vAlign w:val="center"/>
          </w:tcPr>
          <w:p w14:paraId="4720B8D9" w14:textId="43780761" w:rsidR="00BC0D77" w:rsidRPr="00DA0BFA" w:rsidRDefault="00BC0D77" w:rsidP="001A67F7">
            <w:pPr>
              <w:overflowPunct w:val="0"/>
              <w:adjustRightInd w:val="0"/>
              <w:snapToGrid w:val="0"/>
              <w:spacing w:beforeLines="10" w:before="36" w:line="240" w:lineRule="exact"/>
              <w:ind w:rightChars="17" w:right="41"/>
              <w:jc w:val="right"/>
              <w:rPr>
                <w:rFonts w:ascii="標楷體" w:hAnsi="標楷體"/>
                <w:b/>
                <w:noProof/>
                <w:spacing w:val="-20"/>
                <w:sz w:val="20"/>
              </w:rPr>
            </w:pPr>
            <w:r w:rsidRPr="00DA0BFA">
              <w:rPr>
                <w:rFonts w:ascii="標楷體" w:hAnsi="標楷體" w:hint="eastAsia"/>
                <w:b/>
                <w:bCs/>
                <w:color w:val="000000"/>
                <w:sz w:val="20"/>
                <w:szCs w:val="20"/>
              </w:rPr>
              <w:t>48</w:t>
            </w:r>
          </w:p>
        </w:tc>
        <w:tc>
          <w:tcPr>
            <w:tcW w:w="925" w:type="dxa"/>
            <w:tcBorders>
              <w:top w:val="single" w:sz="4" w:space="0" w:color="auto"/>
              <w:left w:val="single" w:sz="4" w:space="0" w:color="auto"/>
              <w:bottom w:val="single" w:sz="4" w:space="0" w:color="auto"/>
              <w:right w:val="single" w:sz="4" w:space="0" w:color="auto"/>
            </w:tcBorders>
            <w:vAlign w:val="center"/>
          </w:tcPr>
          <w:p w14:paraId="4D603266" w14:textId="51D8A10F" w:rsidR="00BC0D77" w:rsidRPr="00DA0BFA" w:rsidRDefault="00BC0D77" w:rsidP="001A67F7">
            <w:pPr>
              <w:overflowPunct w:val="0"/>
              <w:adjustRightInd w:val="0"/>
              <w:snapToGrid w:val="0"/>
              <w:spacing w:beforeLines="10" w:before="36" w:line="240" w:lineRule="exact"/>
              <w:ind w:right="17"/>
              <w:jc w:val="right"/>
              <w:rPr>
                <w:rFonts w:ascii="標楷體" w:hAnsi="標楷體"/>
                <w:b/>
                <w:noProof/>
                <w:sz w:val="20"/>
              </w:rPr>
            </w:pPr>
            <w:r w:rsidRPr="00DA0BFA">
              <w:rPr>
                <w:rFonts w:ascii="標楷體" w:hAnsi="標楷體" w:hint="eastAsia"/>
                <w:b/>
                <w:bCs/>
                <w:color w:val="000000"/>
                <w:sz w:val="20"/>
                <w:szCs w:val="20"/>
              </w:rPr>
              <w:t>2</w:t>
            </w:r>
          </w:p>
        </w:tc>
        <w:tc>
          <w:tcPr>
            <w:tcW w:w="1045" w:type="dxa"/>
            <w:tcBorders>
              <w:top w:val="single" w:sz="4" w:space="0" w:color="auto"/>
              <w:left w:val="single" w:sz="4" w:space="0" w:color="auto"/>
              <w:bottom w:val="single" w:sz="4" w:space="0" w:color="auto"/>
              <w:right w:val="single" w:sz="4" w:space="0" w:color="auto"/>
            </w:tcBorders>
            <w:vAlign w:val="center"/>
          </w:tcPr>
          <w:p w14:paraId="7E7A5D86" w14:textId="02313909" w:rsidR="00BC0D77" w:rsidRPr="00DA0BFA" w:rsidRDefault="00BC0D77" w:rsidP="001A67F7">
            <w:pPr>
              <w:overflowPunct w:val="0"/>
              <w:adjustRightInd w:val="0"/>
              <w:snapToGrid w:val="0"/>
              <w:spacing w:beforeLines="10" w:before="36" w:line="240" w:lineRule="exact"/>
              <w:ind w:rightChars="17" w:right="41"/>
              <w:jc w:val="right"/>
              <w:rPr>
                <w:rFonts w:ascii="標楷體" w:hAnsi="標楷體"/>
                <w:b/>
                <w:noProof/>
                <w:sz w:val="20"/>
              </w:rPr>
            </w:pPr>
            <w:r w:rsidRPr="00DA0BFA">
              <w:rPr>
                <w:rFonts w:ascii="標楷體" w:hAnsi="標楷體" w:hint="eastAsia"/>
                <w:b/>
                <w:bCs/>
                <w:color w:val="000000"/>
                <w:sz w:val="20"/>
                <w:szCs w:val="20"/>
              </w:rPr>
              <w:t>102</w:t>
            </w:r>
          </w:p>
        </w:tc>
      </w:tr>
      <w:tr w:rsidR="00BC0D77" w:rsidRPr="00DA77BA" w14:paraId="0D36B2BE" w14:textId="77777777" w:rsidTr="002F6E09">
        <w:trPr>
          <w:cantSplit/>
          <w:trHeight w:val="550"/>
          <w:tblHeader/>
        </w:trPr>
        <w:tc>
          <w:tcPr>
            <w:tcW w:w="1955" w:type="dxa"/>
            <w:tcBorders>
              <w:top w:val="single" w:sz="4" w:space="0" w:color="auto"/>
              <w:right w:val="single" w:sz="4" w:space="0" w:color="auto"/>
            </w:tcBorders>
            <w:vAlign w:val="center"/>
          </w:tcPr>
          <w:p w14:paraId="678AD166" w14:textId="77777777" w:rsidR="00BC0D77" w:rsidRPr="00546341" w:rsidRDefault="00BC0D77" w:rsidP="00BC0D77">
            <w:pPr>
              <w:overflowPunct w:val="0"/>
              <w:adjustRightInd w:val="0"/>
              <w:snapToGrid w:val="0"/>
              <w:spacing w:beforeLines="10" w:before="36" w:line="240" w:lineRule="exact"/>
              <w:ind w:leftChars="57" w:left="137" w:rightChars="77" w:right="185"/>
              <w:jc w:val="distribute"/>
              <w:rPr>
                <w:rFonts w:ascii="標楷體" w:hAnsi="標楷體"/>
                <w:b/>
                <w:noProof/>
                <w:spacing w:val="-26"/>
                <w:sz w:val="20"/>
              </w:rPr>
            </w:pPr>
            <w:r w:rsidRPr="00546341">
              <w:rPr>
                <w:rFonts w:ascii="標楷體" w:hAnsi="標楷體" w:hint="eastAsia"/>
                <w:b/>
                <w:noProof/>
                <w:spacing w:val="-26"/>
                <w:sz w:val="20"/>
              </w:rPr>
              <w:t>小計</w:t>
            </w:r>
          </w:p>
        </w:tc>
        <w:tc>
          <w:tcPr>
            <w:tcW w:w="800" w:type="dxa"/>
            <w:tcBorders>
              <w:top w:val="single" w:sz="4" w:space="0" w:color="auto"/>
              <w:left w:val="single" w:sz="4" w:space="0" w:color="auto"/>
              <w:bottom w:val="single" w:sz="4" w:space="0" w:color="auto"/>
              <w:right w:val="single" w:sz="4" w:space="0" w:color="auto"/>
            </w:tcBorders>
            <w:vAlign w:val="center"/>
          </w:tcPr>
          <w:p w14:paraId="53903116" w14:textId="2198475C" w:rsidR="00BC0D77" w:rsidRPr="00DA0BFA" w:rsidRDefault="00BC0D77" w:rsidP="001A67F7">
            <w:pPr>
              <w:overflowPunct w:val="0"/>
              <w:adjustRightInd w:val="0"/>
              <w:snapToGrid w:val="0"/>
              <w:spacing w:beforeLines="10" w:before="36" w:line="240" w:lineRule="exact"/>
              <w:ind w:rightChars="17" w:right="41"/>
              <w:jc w:val="right"/>
              <w:rPr>
                <w:rFonts w:ascii="標楷體" w:hAnsi="標楷體"/>
                <w:b/>
                <w:noProof/>
                <w:sz w:val="20"/>
              </w:rPr>
            </w:pPr>
            <w:r w:rsidRPr="00DA0BFA">
              <w:rPr>
                <w:rFonts w:ascii="標楷體" w:hAnsi="標楷體" w:hint="eastAsia"/>
                <w:b/>
                <w:bCs/>
                <w:color w:val="000000"/>
                <w:sz w:val="20"/>
                <w:szCs w:val="20"/>
              </w:rPr>
              <w:t>10</w:t>
            </w:r>
            <w:r w:rsidR="0087088B">
              <w:rPr>
                <w:rFonts w:ascii="標楷體" w:hAnsi="標楷體"/>
                <w:b/>
                <w:bCs/>
                <w:color w:val="000000"/>
                <w:sz w:val="20"/>
                <w:szCs w:val="20"/>
              </w:rPr>
              <w:t>8</w:t>
            </w:r>
          </w:p>
        </w:tc>
        <w:tc>
          <w:tcPr>
            <w:tcW w:w="616" w:type="dxa"/>
            <w:tcBorders>
              <w:top w:val="single" w:sz="4" w:space="0" w:color="auto"/>
              <w:left w:val="single" w:sz="4" w:space="0" w:color="auto"/>
              <w:bottom w:val="single" w:sz="4" w:space="0" w:color="auto"/>
              <w:right w:val="single" w:sz="4" w:space="0" w:color="auto"/>
            </w:tcBorders>
            <w:vAlign w:val="center"/>
          </w:tcPr>
          <w:p w14:paraId="5DB7FC92" w14:textId="37D38748" w:rsidR="00BC0D77" w:rsidRPr="00DA0BFA" w:rsidRDefault="00BC0D77" w:rsidP="001A67F7">
            <w:pPr>
              <w:overflowPunct w:val="0"/>
              <w:adjustRightInd w:val="0"/>
              <w:snapToGrid w:val="0"/>
              <w:spacing w:beforeLines="10" w:before="36" w:line="240" w:lineRule="exact"/>
              <w:ind w:rightChars="17" w:right="41"/>
              <w:jc w:val="right"/>
              <w:rPr>
                <w:rFonts w:ascii="標楷體" w:hAnsi="標楷體"/>
                <w:b/>
                <w:noProof/>
                <w:sz w:val="20"/>
              </w:rPr>
            </w:pPr>
            <w:r w:rsidRPr="00DA0BFA">
              <w:rPr>
                <w:rFonts w:ascii="標楷體" w:hAnsi="標楷體" w:hint="eastAsia"/>
                <w:b/>
                <w:bCs/>
                <w:color w:val="000000"/>
                <w:sz w:val="20"/>
                <w:szCs w:val="20"/>
              </w:rPr>
              <w:t>2</w:t>
            </w:r>
          </w:p>
        </w:tc>
        <w:tc>
          <w:tcPr>
            <w:tcW w:w="616" w:type="dxa"/>
            <w:tcBorders>
              <w:top w:val="single" w:sz="4" w:space="0" w:color="auto"/>
              <w:left w:val="single" w:sz="4" w:space="0" w:color="auto"/>
              <w:bottom w:val="single" w:sz="4" w:space="0" w:color="auto"/>
              <w:right w:val="single" w:sz="4" w:space="0" w:color="auto"/>
            </w:tcBorders>
            <w:vAlign w:val="center"/>
          </w:tcPr>
          <w:p w14:paraId="7661563C" w14:textId="2EEED079" w:rsidR="00BC0D77" w:rsidRPr="00DA0BFA" w:rsidRDefault="00BC0D77" w:rsidP="001A67F7">
            <w:pPr>
              <w:overflowPunct w:val="0"/>
              <w:adjustRightInd w:val="0"/>
              <w:snapToGrid w:val="0"/>
              <w:spacing w:beforeLines="10" w:before="36" w:line="240" w:lineRule="exact"/>
              <w:ind w:rightChars="17" w:right="41"/>
              <w:jc w:val="right"/>
              <w:rPr>
                <w:rFonts w:ascii="標楷體" w:hAnsi="標楷體"/>
                <w:b/>
                <w:noProof/>
                <w:sz w:val="20"/>
              </w:rPr>
            </w:pPr>
            <w:r w:rsidRPr="00DA0BFA">
              <w:rPr>
                <w:rFonts w:ascii="標楷體" w:hAnsi="標楷體" w:hint="eastAsia"/>
                <w:b/>
                <w:bCs/>
                <w:color w:val="000000"/>
                <w:sz w:val="20"/>
                <w:szCs w:val="20"/>
              </w:rPr>
              <w:t>41</w:t>
            </w:r>
          </w:p>
        </w:tc>
        <w:tc>
          <w:tcPr>
            <w:tcW w:w="616" w:type="dxa"/>
            <w:tcBorders>
              <w:top w:val="single" w:sz="4" w:space="0" w:color="auto"/>
              <w:left w:val="single" w:sz="4" w:space="0" w:color="auto"/>
              <w:bottom w:val="single" w:sz="4" w:space="0" w:color="auto"/>
              <w:right w:val="single" w:sz="4" w:space="0" w:color="auto"/>
            </w:tcBorders>
            <w:vAlign w:val="center"/>
          </w:tcPr>
          <w:p w14:paraId="0F363CE7" w14:textId="64D76446" w:rsidR="00BC0D77" w:rsidRPr="00DA0BFA" w:rsidRDefault="00BC0D77" w:rsidP="001A67F7">
            <w:pPr>
              <w:overflowPunct w:val="0"/>
              <w:adjustRightInd w:val="0"/>
              <w:snapToGrid w:val="0"/>
              <w:spacing w:beforeLines="10" w:before="36" w:line="240" w:lineRule="exact"/>
              <w:ind w:rightChars="17" w:right="41"/>
              <w:jc w:val="right"/>
              <w:rPr>
                <w:rFonts w:ascii="標楷體" w:hAnsi="標楷體"/>
                <w:b/>
                <w:noProof/>
                <w:sz w:val="20"/>
              </w:rPr>
            </w:pPr>
            <w:r w:rsidRPr="00DA0BFA">
              <w:rPr>
                <w:rFonts w:ascii="標楷體" w:hAnsi="標楷體" w:hint="eastAsia"/>
                <w:b/>
                <w:bCs/>
                <w:color w:val="000000"/>
                <w:sz w:val="20"/>
                <w:szCs w:val="20"/>
              </w:rPr>
              <w:t>14</w:t>
            </w:r>
          </w:p>
        </w:tc>
        <w:tc>
          <w:tcPr>
            <w:tcW w:w="616" w:type="dxa"/>
            <w:tcBorders>
              <w:top w:val="single" w:sz="4" w:space="0" w:color="auto"/>
              <w:left w:val="single" w:sz="4" w:space="0" w:color="auto"/>
              <w:bottom w:val="single" w:sz="4" w:space="0" w:color="auto"/>
              <w:right w:val="single" w:sz="4" w:space="0" w:color="auto"/>
            </w:tcBorders>
            <w:vAlign w:val="center"/>
          </w:tcPr>
          <w:p w14:paraId="2ECB1C32" w14:textId="3C163212" w:rsidR="00BC0D77" w:rsidRPr="00DA0BFA" w:rsidRDefault="00BC0D77" w:rsidP="001A67F7">
            <w:pPr>
              <w:overflowPunct w:val="0"/>
              <w:adjustRightInd w:val="0"/>
              <w:snapToGrid w:val="0"/>
              <w:spacing w:beforeLines="10" w:before="36" w:line="240" w:lineRule="exact"/>
              <w:ind w:rightChars="17" w:right="41"/>
              <w:jc w:val="right"/>
              <w:rPr>
                <w:rFonts w:ascii="標楷體" w:hAnsi="標楷體"/>
                <w:b/>
                <w:noProof/>
                <w:sz w:val="20"/>
              </w:rPr>
            </w:pPr>
            <w:r w:rsidRPr="00DA0BFA">
              <w:rPr>
                <w:rFonts w:ascii="標楷體" w:hAnsi="標楷體" w:hint="eastAsia"/>
                <w:b/>
                <w:bCs/>
                <w:color w:val="000000"/>
                <w:sz w:val="20"/>
                <w:szCs w:val="20"/>
              </w:rPr>
              <w:t>28</w:t>
            </w:r>
          </w:p>
        </w:tc>
        <w:tc>
          <w:tcPr>
            <w:tcW w:w="616" w:type="dxa"/>
            <w:tcBorders>
              <w:top w:val="single" w:sz="4" w:space="0" w:color="auto"/>
              <w:left w:val="single" w:sz="4" w:space="0" w:color="auto"/>
              <w:bottom w:val="single" w:sz="4" w:space="0" w:color="auto"/>
              <w:right w:val="single" w:sz="4" w:space="0" w:color="auto"/>
            </w:tcBorders>
            <w:vAlign w:val="center"/>
          </w:tcPr>
          <w:p w14:paraId="41057F6F" w14:textId="2D4179E7" w:rsidR="00BC0D77" w:rsidRPr="00DA0BFA" w:rsidRDefault="0087088B" w:rsidP="001A67F7">
            <w:pPr>
              <w:overflowPunct w:val="0"/>
              <w:adjustRightInd w:val="0"/>
              <w:snapToGrid w:val="0"/>
              <w:spacing w:beforeLines="10" w:before="36" w:line="240" w:lineRule="exact"/>
              <w:ind w:rightChars="17" w:right="41"/>
              <w:jc w:val="right"/>
              <w:rPr>
                <w:rFonts w:ascii="標楷體" w:hAnsi="標楷體"/>
                <w:b/>
                <w:noProof/>
                <w:sz w:val="20"/>
              </w:rPr>
            </w:pPr>
            <w:r>
              <w:rPr>
                <w:rFonts w:ascii="標楷體" w:hAnsi="標楷體" w:hint="eastAsia"/>
                <w:b/>
                <w:noProof/>
                <w:sz w:val="20"/>
              </w:rPr>
              <w:t>3</w:t>
            </w:r>
          </w:p>
        </w:tc>
        <w:tc>
          <w:tcPr>
            <w:tcW w:w="616" w:type="dxa"/>
            <w:tcBorders>
              <w:top w:val="single" w:sz="4" w:space="0" w:color="auto"/>
              <w:left w:val="single" w:sz="4" w:space="0" w:color="auto"/>
              <w:bottom w:val="single" w:sz="4" w:space="0" w:color="auto"/>
              <w:right w:val="single" w:sz="4" w:space="0" w:color="auto"/>
            </w:tcBorders>
            <w:vAlign w:val="center"/>
          </w:tcPr>
          <w:p w14:paraId="0AF693ED" w14:textId="1803A60F" w:rsidR="00BC0D77" w:rsidRPr="00DA0BFA" w:rsidRDefault="00BC0D77" w:rsidP="001A67F7">
            <w:pPr>
              <w:overflowPunct w:val="0"/>
              <w:adjustRightInd w:val="0"/>
              <w:snapToGrid w:val="0"/>
              <w:spacing w:beforeLines="10" w:before="36" w:line="240" w:lineRule="exact"/>
              <w:ind w:rightChars="17" w:right="41"/>
              <w:jc w:val="right"/>
              <w:rPr>
                <w:rFonts w:ascii="標楷體" w:hAnsi="標楷體"/>
                <w:b/>
                <w:noProof/>
                <w:sz w:val="20"/>
              </w:rPr>
            </w:pPr>
            <w:r w:rsidRPr="00DA0BFA">
              <w:rPr>
                <w:rFonts w:ascii="標楷體" w:hAnsi="標楷體" w:hint="eastAsia"/>
                <w:b/>
                <w:bCs/>
                <w:sz w:val="20"/>
                <w:szCs w:val="20"/>
              </w:rPr>
              <w:t>20</w:t>
            </w:r>
          </w:p>
        </w:tc>
        <w:tc>
          <w:tcPr>
            <w:tcW w:w="800" w:type="dxa"/>
            <w:tcBorders>
              <w:top w:val="single" w:sz="4" w:space="0" w:color="auto"/>
              <w:left w:val="single" w:sz="4" w:space="0" w:color="auto"/>
              <w:bottom w:val="single" w:sz="4" w:space="0" w:color="auto"/>
              <w:right w:val="single" w:sz="4" w:space="0" w:color="auto"/>
            </w:tcBorders>
            <w:vAlign w:val="center"/>
          </w:tcPr>
          <w:p w14:paraId="3095B354" w14:textId="1087D828" w:rsidR="00BC0D77" w:rsidRPr="00DA0BFA" w:rsidRDefault="00BC0D77" w:rsidP="001A67F7">
            <w:pPr>
              <w:overflowPunct w:val="0"/>
              <w:adjustRightInd w:val="0"/>
              <w:snapToGrid w:val="0"/>
              <w:spacing w:beforeLines="10" w:before="36" w:line="240" w:lineRule="exact"/>
              <w:ind w:rightChars="17" w:right="41"/>
              <w:jc w:val="right"/>
              <w:rPr>
                <w:rFonts w:ascii="標楷體" w:hAnsi="標楷體"/>
                <w:b/>
                <w:noProof/>
                <w:sz w:val="20"/>
              </w:rPr>
            </w:pPr>
            <w:r w:rsidRPr="00DA0BFA">
              <w:rPr>
                <w:rFonts w:ascii="標楷體" w:hAnsi="標楷體" w:hint="eastAsia"/>
                <w:b/>
                <w:bCs/>
                <w:sz w:val="20"/>
                <w:szCs w:val="20"/>
              </w:rPr>
              <w:t>112</w:t>
            </w:r>
          </w:p>
        </w:tc>
        <w:tc>
          <w:tcPr>
            <w:tcW w:w="985" w:type="dxa"/>
            <w:tcBorders>
              <w:top w:val="single" w:sz="4" w:space="0" w:color="auto"/>
              <w:left w:val="single" w:sz="4" w:space="0" w:color="auto"/>
              <w:bottom w:val="single" w:sz="4" w:space="0" w:color="auto"/>
              <w:right w:val="single" w:sz="4" w:space="0" w:color="auto"/>
            </w:tcBorders>
            <w:vAlign w:val="center"/>
          </w:tcPr>
          <w:p w14:paraId="7A0D7B3F" w14:textId="26A066AA" w:rsidR="00BC0D77" w:rsidRPr="00DA0BFA" w:rsidRDefault="00BC0D77" w:rsidP="001A67F7">
            <w:pPr>
              <w:overflowPunct w:val="0"/>
              <w:adjustRightInd w:val="0"/>
              <w:snapToGrid w:val="0"/>
              <w:spacing w:beforeLines="10" w:before="36" w:line="240" w:lineRule="exact"/>
              <w:ind w:rightChars="17" w:right="41"/>
              <w:jc w:val="right"/>
              <w:rPr>
                <w:rFonts w:ascii="標楷體" w:hAnsi="標楷體"/>
                <w:b/>
                <w:noProof/>
                <w:sz w:val="20"/>
              </w:rPr>
            </w:pPr>
            <w:r w:rsidRPr="00DA0BFA">
              <w:rPr>
                <w:rFonts w:ascii="標楷體" w:hAnsi="標楷體" w:hint="eastAsia"/>
                <w:b/>
                <w:bCs/>
                <w:color w:val="000000"/>
                <w:sz w:val="20"/>
                <w:szCs w:val="20"/>
              </w:rPr>
              <w:t>35</w:t>
            </w:r>
          </w:p>
        </w:tc>
        <w:tc>
          <w:tcPr>
            <w:tcW w:w="925" w:type="dxa"/>
            <w:tcBorders>
              <w:top w:val="single" w:sz="4" w:space="0" w:color="auto"/>
              <w:left w:val="single" w:sz="4" w:space="0" w:color="auto"/>
              <w:bottom w:val="single" w:sz="4" w:space="0" w:color="auto"/>
              <w:right w:val="single" w:sz="4" w:space="0" w:color="auto"/>
            </w:tcBorders>
            <w:vAlign w:val="center"/>
          </w:tcPr>
          <w:p w14:paraId="723E2901" w14:textId="5FD1E669" w:rsidR="00BC0D77" w:rsidRPr="00DA0BFA" w:rsidRDefault="00C54804" w:rsidP="001A67F7">
            <w:pPr>
              <w:overflowPunct w:val="0"/>
              <w:adjustRightInd w:val="0"/>
              <w:snapToGrid w:val="0"/>
              <w:spacing w:beforeLines="10" w:before="36" w:line="240" w:lineRule="exact"/>
              <w:ind w:right="17"/>
              <w:jc w:val="right"/>
              <w:rPr>
                <w:rFonts w:ascii="標楷體" w:hAnsi="標楷體"/>
                <w:b/>
                <w:noProof/>
                <w:sz w:val="20"/>
              </w:rPr>
            </w:pPr>
            <w:r>
              <w:rPr>
                <w:rFonts w:ascii="標楷體" w:hAnsi="標楷體" w:hint="eastAsia"/>
                <w:b/>
                <w:noProof/>
                <w:sz w:val="20"/>
              </w:rPr>
              <w:t>2</w:t>
            </w:r>
          </w:p>
        </w:tc>
        <w:tc>
          <w:tcPr>
            <w:tcW w:w="1045" w:type="dxa"/>
            <w:tcBorders>
              <w:top w:val="single" w:sz="4" w:space="0" w:color="auto"/>
              <w:left w:val="single" w:sz="4" w:space="0" w:color="auto"/>
              <w:bottom w:val="single" w:sz="4" w:space="0" w:color="auto"/>
              <w:right w:val="single" w:sz="4" w:space="0" w:color="auto"/>
            </w:tcBorders>
            <w:vAlign w:val="center"/>
          </w:tcPr>
          <w:p w14:paraId="55B7F4C9" w14:textId="3095FE1D" w:rsidR="00BC0D77" w:rsidRPr="00DA0BFA" w:rsidRDefault="00C54804" w:rsidP="001A67F7">
            <w:pPr>
              <w:overflowPunct w:val="0"/>
              <w:adjustRightInd w:val="0"/>
              <w:snapToGrid w:val="0"/>
              <w:spacing w:beforeLines="10" w:before="36" w:line="240" w:lineRule="exact"/>
              <w:ind w:rightChars="17" w:right="41"/>
              <w:jc w:val="right"/>
              <w:rPr>
                <w:rFonts w:ascii="標楷體" w:hAnsi="標楷體"/>
                <w:b/>
                <w:noProof/>
                <w:sz w:val="20"/>
              </w:rPr>
            </w:pPr>
            <w:r>
              <w:rPr>
                <w:rFonts w:ascii="標楷體" w:hAnsi="標楷體"/>
                <w:b/>
                <w:bCs/>
                <w:color w:val="000000"/>
                <w:sz w:val="20"/>
                <w:szCs w:val="20"/>
              </w:rPr>
              <w:t>75</w:t>
            </w:r>
          </w:p>
        </w:tc>
      </w:tr>
      <w:tr w:rsidR="008E3FF0" w:rsidRPr="00DA77BA" w14:paraId="24673BE5" w14:textId="77777777" w:rsidTr="002F6E09">
        <w:trPr>
          <w:cantSplit/>
          <w:trHeight w:val="550"/>
          <w:tblHeader/>
        </w:trPr>
        <w:tc>
          <w:tcPr>
            <w:tcW w:w="1955" w:type="dxa"/>
            <w:tcBorders>
              <w:top w:val="single" w:sz="4" w:space="0" w:color="auto"/>
              <w:right w:val="single" w:sz="4" w:space="0" w:color="auto"/>
            </w:tcBorders>
            <w:vAlign w:val="center"/>
          </w:tcPr>
          <w:p w14:paraId="0673CFD6" w14:textId="77777777" w:rsidR="008E3FF0" w:rsidRPr="00546341" w:rsidRDefault="008E3FF0" w:rsidP="008E3FF0">
            <w:pPr>
              <w:overflowPunct w:val="0"/>
              <w:adjustRightInd w:val="0"/>
              <w:snapToGrid w:val="0"/>
              <w:spacing w:beforeLines="10" w:before="36" w:line="240" w:lineRule="exact"/>
              <w:ind w:rightChars="19" w:right="46"/>
              <w:jc w:val="distribute"/>
              <w:rPr>
                <w:rFonts w:ascii="標楷體" w:hAnsi="標楷體"/>
                <w:noProof/>
                <w:spacing w:val="-26"/>
                <w:sz w:val="20"/>
              </w:rPr>
            </w:pPr>
            <w:r w:rsidRPr="00546341">
              <w:rPr>
                <w:rFonts w:ascii="標楷體" w:hAnsi="標楷體" w:hint="eastAsia"/>
                <w:noProof/>
                <w:spacing w:val="-26"/>
                <w:sz w:val="20"/>
              </w:rPr>
              <w:t>行政院主管</w:t>
            </w:r>
          </w:p>
        </w:tc>
        <w:tc>
          <w:tcPr>
            <w:tcW w:w="800" w:type="dxa"/>
            <w:tcBorders>
              <w:top w:val="single" w:sz="4" w:space="0" w:color="auto"/>
              <w:left w:val="single" w:sz="4" w:space="0" w:color="auto"/>
              <w:bottom w:val="single" w:sz="4" w:space="0" w:color="auto"/>
              <w:right w:val="single" w:sz="4" w:space="0" w:color="auto"/>
            </w:tcBorders>
            <w:vAlign w:val="center"/>
          </w:tcPr>
          <w:p w14:paraId="23F8E9AF" w14:textId="10D8635D"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4</w:t>
            </w:r>
          </w:p>
        </w:tc>
        <w:tc>
          <w:tcPr>
            <w:tcW w:w="616" w:type="dxa"/>
            <w:tcBorders>
              <w:top w:val="single" w:sz="4" w:space="0" w:color="auto"/>
              <w:left w:val="single" w:sz="4" w:space="0" w:color="auto"/>
              <w:bottom w:val="single" w:sz="4" w:space="0" w:color="auto"/>
              <w:right w:val="single" w:sz="4" w:space="0" w:color="auto"/>
            </w:tcBorders>
            <w:vAlign w:val="center"/>
          </w:tcPr>
          <w:p w14:paraId="1F29A71B" w14:textId="66DB72F6"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noProof/>
                <w:sz w:val="20"/>
              </w:rPr>
              <w:t>－</w:t>
            </w:r>
          </w:p>
        </w:tc>
        <w:tc>
          <w:tcPr>
            <w:tcW w:w="616" w:type="dxa"/>
            <w:tcBorders>
              <w:top w:val="single" w:sz="4" w:space="0" w:color="auto"/>
              <w:left w:val="single" w:sz="4" w:space="0" w:color="auto"/>
              <w:bottom w:val="single" w:sz="4" w:space="0" w:color="auto"/>
              <w:right w:val="single" w:sz="4" w:space="0" w:color="auto"/>
            </w:tcBorders>
            <w:vAlign w:val="center"/>
          </w:tcPr>
          <w:p w14:paraId="1BFC8A0E" w14:textId="1EFB9F0F"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2</w:t>
            </w:r>
          </w:p>
        </w:tc>
        <w:tc>
          <w:tcPr>
            <w:tcW w:w="616" w:type="dxa"/>
            <w:tcBorders>
              <w:top w:val="single" w:sz="4" w:space="0" w:color="auto"/>
              <w:left w:val="single" w:sz="4" w:space="0" w:color="auto"/>
              <w:bottom w:val="single" w:sz="4" w:space="0" w:color="auto"/>
              <w:right w:val="single" w:sz="4" w:space="0" w:color="auto"/>
            </w:tcBorders>
            <w:vAlign w:val="center"/>
          </w:tcPr>
          <w:p w14:paraId="42490D5B" w14:textId="7E34BCC4"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noProof/>
                <w:sz w:val="20"/>
              </w:rPr>
              <w:t>－</w:t>
            </w:r>
          </w:p>
        </w:tc>
        <w:tc>
          <w:tcPr>
            <w:tcW w:w="616" w:type="dxa"/>
            <w:tcBorders>
              <w:top w:val="single" w:sz="4" w:space="0" w:color="auto"/>
              <w:left w:val="single" w:sz="4" w:space="0" w:color="auto"/>
              <w:bottom w:val="single" w:sz="4" w:space="0" w:color="auto"/>
              <w:right w:val="single" w:sz="4" w:space="0" w:color="auto"/>
            </w:tcBorders>
            <w:vAlign w:val="center"/>
          </w:tcPr>
          <w:p w14:paraId="079246D6" w14:textId="4CBF40AD"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1</w:t>
            </w:r>
          </w:p>
        </w:tc>
        <w:tc>
          <w:tcPr>
            <w:tcW w:w="616" w:type="dxa"/>
            <w:tcBorders>
              <w:top w:val="single" w:sz="4" w:space="0" w:color="auto"/>
              <w:left w:val="single" w:sz="4" w:space="0" w:color="auto"/>
              <w:bottom w:val="single" w:sz="4" w:space="0" w:color="auto"/>
              <w:right w:val="single" w:sz="4" w:space="0" w:color="auto"/>
            </w:tcBorders>
            <w:vAlign w:val="center"/>
          </w:tcPr>
          <w:p w14:paraId="11B42D01" w14:textId="23A19E1E"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noProof/>
                <w:sz w:val="20"/>
              </w:rPr>
              <w:t>－</w:t>
            </w:r>
          </w:p>
        </w:tc>
        <w:tc>
          <w:tcPr>
            <w:tcW w:w="616" w:type="dxa"/>
            <w:tcBorders>
              <w:top w:val="single" w:sz="4" w:space="0" w:color="auto"/>
              <w:left w:val="single" w:sz="4" w:space="0" w:color="auto"/>
              <w:bottom w:val="single" w:sz="4" w:space="0" w:color="auto"/>
              <w:right w:val="single" w:sz="4" w:space="0" w:color="auto"/>
            </w:tcBorders>
            <w:vAlign w:val="center"/>
          </w:tcPr>
          <w:p w14:paraId="482F27C0" w14:textId="485C4CEE"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1</w:t>
            </w:r>
          </w:p>
        </w:tc>
        <w:tc>
          <w:tcPr>
            <w:tcW w:w="800" w:type="dxa"/>
            <w:tcBorders>
              <w:top w:val="single" w:sz="4" w:space="0" w:color="auto"/>
              <w:left w:val="single" w:sz="4" w:space="0" w:color="auto"/>
              <w:bottom w:val="single" w:sz="4" w:space="0" w:color="auto"/>
              <w:right w:val="single" w:sz="4" w:space="0" w:color="auto"/>
            </w:tcBorders>
            <w:vAlign w:val="center"/>
          </w:tcPr>
          <w:p w14:paraId="5414C6EB" w14:textId="55E73289"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5</w:t>
            </w:r>
          </w:p>
        </w:tc>
        <w:tc>
          <w:tcPr>
            <w:tcW w:w="985" w:type="dxa"/>
            <w:tcBorders>
              <w:top w:val="single" w:sz="4" w:space="0" w:color="auto"/>
              <w:left w:val="single" w:sz="4" w:space="0" w:color="auto"/>
              <w:bottom w:val="single" w:sz="4" w:space="0" w:color="auto"/>
              <w:right w:val="single" w:sz="4" w:space="0" w:color="auto"/>
            </w:tcBorders>
            <w:vAlign w:val="center"/>
          </w:tcPr>
          <w:p w14:paraId="3C1FFADD" w14:textId="7D7941F3"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noProof/>
                <w:sz w:val="20"/>
              </w:rPr>
              <w:t>－</w:t>
            </w:r>
          </w:p>
        </w:tc>
        <w:tc>
          <w:tcPr>
            <w:tcW w:w="925" w:type="dxa"/>
            <w:tcBorders>
              <w:top w:val="single" w:sz="4" w:space="0" w:color="auto"/>
              <w:left w:val="single" w:sz="4" w:space="0" w:color="auto"/>
              <w:bottom w:val="single" w:sz="4" w:space="0" w:color="auto"/>
              <w:right w:val="single" w:sz="4" w:space="0" w:color="auto"/>
            </w:tcBorders>
            <w:vAlign w:val="center"/>
          </w:tcPr>
          <w:p w14:paraId="31E7D3CB" w14:textId="5A2AE990" w:rsidR="008E3FF0" w:rsidRPr="00DA0BFA" w:rsidRDefault="008E3FF0" w:rsidP="001A67F7">
            <w:pPr>
              <w:overflowPunct w:val="0"/>
              <w:adjustRightInd w:val="0"/>
              <w:snapToGrid w:val="0"/>
              <w:spacing w:beforeLines="10" w:before="36" w:line="240" w:lineRule="exact"/>
              <w:ind w:right="17"/>
              <w:jc w:val="right"/>
              <w:rPr>
                <w:rFonts w:ascii="標楷體" w:hAnsi="標楷體"/>
                <w:noProof/>
                <w:sz w:val="20"/>
              </w:rPr>
            </w:pPr>
            <w:r w:rsidRPr="00DA0BFA">
              <w:rPr>
                <w:rFonts w:ascii="標楷體" w:hAnsi="標楷體" w:hint="eastAsia"/>
                <w:noProof/>
                <w:sz w:val="20"/>
              </w:rPr>
              <w:t>－</w:t>
            </w:r>
          </w:p>
        </w:tc>
        <w:tc>
          <w:tcPr>
            <w:tcW w:w="1045" w:type="dxa"/>
            <w:tcBorders>
              <w:top w:val="single" w:sz="4" w:space="0" w:color="auto"/>
              <w:left w:val="single" w:sz="4" w:space="0" w:color="auto"/>
              <w:bottom w:val="single" w:sz="4" w:space="0" w:color="auto"/>
              <w:right w:val="single" w:sz="4" w:space="0" w:color="auto"/>
            </w:tcBorders>
            <w:vAlign w:val="center"/>
          </w:tcPr>
          <w:p w14:paraId="25B4CE9E" w14:textId="71940755"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5</w:t>
            </w:r>
          </w:p>
        </w:tc>
      </w:tr>
      <w:tr w:rsidR="008E3FF0" w:rsidRPr="00DA77BA" w14:paraId="051B273D" w14:textId="77777777" w:rsidTr="002F6E09">
        <w:trPr>
          <w:cantSplit/>
          <w:trHeight w:val="550"/>
          <w:tblHeader/>
        </w:trPr>
        <w:tc>
          <w:tcPr>
            <w:tcW w:w="1955" w:type="dxa"/>
            <w:tcBorders>
              <w:top w:val="single" w:sz="4" w:space="0" w:color="auto"/>
              <w:right w:val="single" w:sz="4" w:space="0" w:color="auto"/>
            </w:tcBorders>
            <w:vAlign w:val="center"/>
          </w:tcPr>
          <w:p w14:paraId="27719862" w14:textId="77777777" w:rsidR="008E3FF0" w:rsidRPr="00546341" w:rsidRDefault="008E3FF0" w:rsidP="008E3FF0">
            <w:pPr>
              <w:overflowPunct w:val="0"/>
              <w:adjustRightInd w:val="0"/>
              <w:snapToGrid w:val="0"/>
              <w:spacing w:beforeLines="10" w:before="36" w:line="240" w:lineRule="exact"/>
              <w:ind w:rightChars="19" w:right="46"/>
              <w:jc w:val="distribute"/>
              <w:rPr>
                <w:rFonts w:ascii="標楷體" w:hAnsi="標楷體"/>
                <w:noProof/>
                <w:spacing w:val="-26"/>
                <w:sz w:val="20"/>
              </w:rPr>
            </w:pPr>
            <w:r w:rsidRPr="00546341">
              <w:rPr>
                <w:rFonts w:ascii="標楷體" w:hAnsi="標楷體" w:hint="eastAsia"/>
                <w:noProof/>
                <w:spacing w:val="-26"/>
                <w:sz w:val="20"/>
              </w:rPr>
              <w:t>財政部主管</w:t>
            </w:r>
          </w:p>
        </w:tc>
        <w:tc>
          <w:tcPr>
            <w:tcW w:w="800" w:type="dxa"/>
            <w:tcBorders>
              <w:top w:val="single" w:sz="4" w:space="0" w:color="auto"/>
              <w:left w:val="single" w:sz="4" w:space="0" w:color="auto"/>
              <w:bottom w:val="single" w:sz="4" w:space="0" w:color="auto"/>
              <w:right w:val="single" w:sz="4" w:space="0" w:color="auto"/>
            </w:tcBorders>
            <w:vAlign w:val="center"/>
          </w:tcPr>
          <w:p w14:paraId="4BEFB96C" w14:textId="70727246"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22</w:t>
            </w:r>
          </w:p>
        </w:tc>
        <w:tc>
          <w:tcPr>
            <w:tcW w:w="616" w:type="dxa"/>
            <w:tcBorders>
              <w:top w:val="single" w:sz="4" w:space="0" w:color="auto"/>
              <w:left w:val="single" w:sz="4" w:space="0" w:color="auto"/>
              <w:bottom w:val="single" w:sz="4" w:space="0" w:color="auto"/>
              <w:right w:val="single" w:sz="4" w:space="0" w:color="auto"/>
            </w:tcBorders>
            <w:vAlign w:val="center"/>
          </w:tcPr>
          <w:p w14:paraId="46A94B8F" w14:textId="42C5C041"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2</w:t>
            </w:r>
          </w:p>
        </w:tc>
        <w:tc>
          <w:tcPr>
            <w:tcW w:w="616" w:type="dxa"/>
            <w:tcBorders>
              <w:top w:val="single" w:sz="4" w:space="0" w:color="auto"/>
              <w:left w:val="single" w:sz="4" w:space="0" w:color="auto"/>
              <w:bottom w:val="single" w:sz="4" w:space="0" w:color="auto"/>
              <w:right w:val="single" w:sz="4" w:space="0" w:color="auto"/>
            </w:tcBorders>
            <w:vAlign w:val="center"/>
          </w:tcPr>
          <w:p w14:paraId="67C4994B" w14:textId="794AC89A"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3</w:t>
            </w:r>
          </w:p>
        </w:tc>
        <w:tc>
          <w:tcPr>
            <w:tcW w:w="616" w:type="dxa"/>
            <w:tcBorders>
              <w:top w:val="single" w:sz="4" w:space="0" w:color="auto"/>
              <w:left w:val="single" w:sz="4" w:space="0" w:color="auto"/>
              <w:bottom w:val="single" w:sz="4" w:space="0" w:color="auto"/>
              <w:right w:val="single" w:sz="4" w:space="0" w:color="auto"/>
            </w:tcBorders>
            <w:vAlign w:val="center"/>
          </w:tcPr>
          <w:p w14:paraId="7C39C51C" w14:textId="7A8D9AAC"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1</w:t>
            </w:r>
          </w:p>
        </w:tc>
        <w:tc>
          <w:tcPr>
            <w:tcW w:w="616" w:type="dxa"/>
            <w:tcBorders>
              <w:top w:val="single" w:sz="4" w:space="0" w:color="auto"/>
              <w:left w:val="single" w:sz="4" w:space="0" w:color="auto"/>
              <w:bottom w:val="single" w:sz="4" w:space="0" w:color="auto"/>
              <w:right w:val="single" w:sz="4" w:space="0" w:color="auto"/>
            </w:tcBorders>
            <w:vAlign w:val="center"/>
          </w:tcPr>
          <w:p w14:paraId="4F4BAE78" w14:textId="601A10CB"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13</w:t>
            </w:r>
          </w:p>
        </w:tc>
        <w:tc>
          <w:tcPr>
            <w:tcW w:w="616" w:type="dxa"/>
            <w:tcBorders>
              <w:top w:val="single" w:sz="4" w:space="0" w:color="auto"/>
              <w:left w:val="single" w:sz="4" w:space="0" w:color="auto"/>
              <w:bottom w:val="single" w:sz="4" w:space="0" w:color="auto"/>
              <w:right w:val="single" w:sz="4" w:space="0" w:color="auto"/>
            </w:tcBorders>
            <w:vAlign w:val="center"/>
          </w:tcPr>
          <w:p w14:paraId="25710FA1" w14:textId="0B76699A"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1</w:t>
            </w:r>
          </w:p>
        </w:tc>
        <w:tc>
          <w:tcPr>
            <w:tcW w:w="616" w:type="dxa"/>
            <w:tcBorders>
              <w:top w:val="single" w:sz="4" w:space="0" w:color="auto"/>
              <w:left w:val="single" w:sz="4" w:space="0" w:color="auto"/>
              <w:bottom w:val="single" w:sz="4" w:space="0" w:color="auto"/>
              <w:right w:val="single" w:sz="4" w:space="0" w:color="auto"/>
            </w:tcBorders>
            <w:vAlign w:val="center"/>
          </w:tcPr>
          <w:p w14:paraId="7D716BC0" w14:textId="0BB5FF4B"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2</w:t>
            </w:r>
          </w:p>
        </w:tc>
        <w:tc>
          <w:tcPr>
            <w:tcW w:w="800" w:type="dxa"/>
            <w:tcBorders>
              <w:top w:val="single" w:sz="4" w:space="0" w:color="auto"/>
              <w:left w:val="single" w:sz="4" w:space="0" w:color="auto"/>
              <w:bottom w:val="single" w:sz="4" w:space="0" w:color="auto"/>
              <w:right w:val="single" w:sz="4" w:space="0" w:color="auto"/>
            </w:tcBorders>
            <w:vAlign w:val="center"/>
          </w:tcPr>
          <w:p w14:paraId="033FA3E8" w14:textId="52DEF824"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22</w:t>
            </w:r>
          </w:p>
        </w:tc>
        <w:tc>
          <w:tcPr>
            <w:tcW w:w="985" w:type="dxa"/>
            <w:tcBorders>
              <w:top w:val="single" w:sz="4" w:space="0" w:color="auto"/>
              <w:left w:val="single" w:sz="4" w:space="0" w:color="auto"/>
              <w:bottom w:val="single" w:sz="4" w:space="0" w:color="auto"/>
              <w:right w:val="single" w:sz="4" w:space="0" w:color="auto"/>
            </w:tcBorders>
            <w:vAlign w:val="center"/>
          </w:tcPr>
          <w:p w14:paraId="3B7FB833" w14:textId="5FB0FE90"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4</w:t>
            </w:r>
          </w:p>
        </w:tc>
        <w:tc>
          <w:tcPr>
            <w:tcW w:w="925" w:type="dxa"/>
            <w:tcBorders>
              <w:top w:val="single" w:sz="4" w:space="0" w:color="auto"/>
              <w:left w:val="single" w:sz="4" w:space="0" w:color="auto"/>
              <w:bottom w:val="single" w:sz="4" w:space="0" w:color="auto"/>
              <w:right w:val="single" w:sz="4" w:space="0" w:color="auto"/>
            </w:tcBorders>
            <w:vAlign w:val="center"/>
          </w:tcPr>
          <w:p w14:paraId="2DCA49DB" w14:textId="1E3B14F8" w:rsidR="008E3FF0" w:rsidRPr="00DA0BFA" w:rsidRDefault="008E3FF0" w:rsidP="001A67F7">
            <w:pPr>
              <w:overflowPunct w:val="0"/>
              <w:adjustRightInd w:val="0"/>
              <w:snapToGrid w:val="0"/>
              <w:spacing w:beforeLines="10" w:before="36" w:line="240" w:lineRule="exact"/>
              <w:ind w:right="17"/>
              <w:jc w:val="right"/>
              <w:rPr>
                <w:rFonts w:ascii="標楷體" w:hAnsi="標楷體"/>
              </w:rPr>
            </w:pPr>
            <w:r w:rsidRPr="00DA0BFA">
              <w:rPr>
                <w:rFonts w:ascii="標楷體" w:hAnsi="標楷體" w:hint="eastAsia"/>
                <w:noProof/>
                <w:sz w:val="20"/>
              </w:rPr>
              <w:t>－</w:t>
            </w:r>
          </w:p>
        </w:tc>
        <w:tc>
          <w:tcPr>
            <w:tcW w:w="1045" w:type="dxa"/>
            <w:tcBorders>
              <w:top w:val="single" w:sz="4" w:space="0" w:color="auto"/>
              <w:left w:val="single" w:sz="4" w:space="0" w:color="auto"/>
              <w:bottom w:val="single" w:sz="4" w:space="0" w:color="auto"/>
              <w:right w:val="single" w:sz="4" w:space="0" w:color="auto"/>
            </w:tcBorders>
            <w:vAlign w:val="center"/>
          </w:tcPr>
          <w:p w14:paraId="4480326C" w14:textId="607CCE47"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18</w:t>
            </w:r>
          </w:p>
        </w:tc>
      </w:tr>
      <w:tr w:rsidR="008E3FF0" w:rsidRPr="00DA77BA" w14:paraId="45CDD83E" w14:textId="77777777" w:rsidTr="002F6E09">
        <w:trPr>
          <w:cantSplit/>
          <w:trHeight w:val="550"/>
          <w:tblHeader/>
        </w:trPr>
        <w:tc>
          <w:tcPr>
            <w:tcW w:w="1955" w:type="dxa"/>
            <w:tcBorders>
              <w:top w:val="single" w:sz="4" w:space="0" w:color="auto"/>
              <w:right w:val="single" w:sz="4" w:space="0" w:color="auto"/>
            </w:tcBorders>
            <w:vAlign w:val="center"/>
          </w:tcPr>
          <w:p w14:paraId="7DBD0601" w14:textId="77777777" w:rsidR="008E3FF0" w:rsidRPr="00546341" w:rsidRDefault="008E3FF0" w:rsidP="008E3FF0">
            <w:pPr>
              <w:overflowPunct w:val="0"/>
              <w:adjustRightInd w:val="0"/>
              <w:snapToGrid w:val="0"/>
              <w:spacing w:beforeLines="10" w:before="36" w:line="240" w:lineRule="exact"/>
              <w:ind w:rightChars="19" w:right="46"/>
              <w:jc w:val="distribute"/>
              <w:rPr>
                <w:rFonts w:ascii="標楷體" w:hAnsi="標楷體"/>
                <w:noProof/>
                <w:spacing w:val="-26"/>
                <w:sz w:val="20"/>
              </w:rPr>
            </w:pPr>
            <w:r w:rsidRPr="00546341">
              <w:rPr>
                <w:rFonts w:ascii="標楷體" w:hAnsi="標楷體" w:hint="eastAsia"/>
                <w:noProof/>
                <w:spacing w:val="-26"/>
                <w:sz w:val="20"/>
              </w:rPr>
              <w:t>經濟部主管</w:t>
            </w:r>
          </w:p>
        </w:tc>
        <w:tc>
          <w:tcPr>
            <w:tcW w:w="800" w:type="dxa"/>
            <w:tcBorders>
              <w:top w:val="single" w:sz="4" w:space="0" w:color="auto"/>
              <w:left w:val="single" w:sz="4" w:space="0" w:color="auto"/>
              <w:bottom w:val="single" w:sz="4" w:space="0" w:color="auto"/>
              <w:right w:val="single" w:sz="4" w:space="0" w:color="auto"/>
            </w:tcBorders>
            <w:vAlign w:val="center"/>
          </w:tcPr>
          <w:p w14:paraId="579C5311" w14:textId="09FE409E"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sz w:val="20"/>
                <w:szCs w:val="20"/>
              </w:rPr>
              <w:t>51</w:t>
            </w:r>
          </w:p>
        </w:tc>
        <w:tc>
          <w:tcPr>
            <w:tcW w:w="616" w:type="dxa"/>
            <w:tcBorders>
              <w:top w:val="single" w:sz="4" w:space="0" w:color="auto"/>
              <w:left w:val="single" w:sz="4" w:space="0" w:color="auto"/>
              <w:bottom w:val="single" w:sz="4" w:space="0" w:color="auto"/>
              <w:right w:val="single" w:sz="4" w:space="0" w:color="auto"/>
            </w:tcBorders>
            <w:vAlign w:val="center"/>
          </w:tcPr>
          <w:p w14:paraId="232B9303" w14:textId="2B279936"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noProof/>
                <w:sz w:val="20"/>
              </w:rPr>
              <w:t>－</w:t>
            </w:r>
          </w:p>
        </w:tc>
        <w:tc>
          <w:tcPr>
            <w:tcW w:w="616" w:type="dxa"/>
            <w:tcBorders>
              <w:top w:val="single" w:sz="4" w:space="0" w:color="auto"/>
              <w:left w:val="single" w:sz="4" w:space="0" w:color="auto"/>
              <w:bottom w:val="single" w:sz="4" w:space="0" w:color="auto"/>
              <w:right w:val="single" w:sz="4" w:space="0" w:color="auto"/>
            </w:tcBorders>
            <w:vAlign w:val="center"/>
          </w:tcPr>
          <w:p w14:paraId="59B399C7" w14:textId="2985B07E"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sz w:val="20"/>
                <w:szCs w:val="20"/>
              </w:rPr>
              <w:t>26</w:t>
            </w:r>
          </w:p>
        </w:tc>
        <w:tc>
          <w:tcPr>
            <w:tcW w:w="616" w:type="dxa"/>
            <w:tcBorders>
              <w:top w:val="single" w:sz="4" w:space="0" w:color="auto"/>
              <w:left w:val="single" w:sz="4" w:space="0" w:color="auto"/>
              <w:bottom w:val="single" w:sz="4" w:space="0" w:color="auto"/>
              <w:right w:val="single" w:sz="4" w:space="0" w:color="auto"/>
            </w:tcBorders>
            <w:vAlign w:val="center"/>
          </w:tcPr>
          <w:p w14:paraId="5A1F5044" w14:textId="46DEC885"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sz w:val="20"/>
                <w:szCs w:val="20"/>
              </w:rPr>
              <w:t>7</w:t>
            </w:r>
          </w:p>
        </w:tc>
        <w:tc>
          <w:tcPr>
            <w:tcW w:w="616" w:type="dxa"/>
            <w:tcBorders>
              <w:top w:val="single" w:sz="4" w:space="0" w:color="auto"/>
              <w:left w:val="single" w:sz="4" w:space="0" w:color="auto"/>
              <w:bottom w:val="single" w:sz="4" w:space="0" w:color="auto"/>
              <w:right w:val="single" w:sz="4" w:space="0" w:color="auto"/>
            </w:tcBorders>
            <w:vAlign w:val="center"/>
          </w:tcPr>
          <w:p w14:paraId="7E572CE5" w14:textId="29F9834F"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sz w:val="20"/>
                <w:szCs w:val="20"/>
              </w:rPr>
              <w:t>6</w:t>
            </w:r>
          </w:p>
        </w:tc>
        <w:tc>
          <w:tcPr>
            <w:tcW w:w="616" w:type="dxa"/>
            <w:tcBorders>
              <w:top w:val="single" w:sz="4" w:space="0" w:color="auto"/>
              <w:left w:val="single" w:sz="4" w:space="0" w:color="auto"/>
              <w:bottom w:val="single" w:sz="4" w:space="0" w:color="auto"/>
              <w:right w:val="single" w:sz="4" w:space="0" w:color="auto"/>
            </w:tcBorders>
            <w:vAlign w:val="center"/>
          </w:tcPr>
          <w:p w14:paraId="7162587B" w14:textId="025FE743"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sz w:val="20"/>
                <w:szCs w:val="20"/>
              </w:rPr>
              <w:t>2</w:t>
            </w:r>
          </w:p>
        </w:tc>
        <w:tc>
          <w:tcPr>
            <w:tcW w:w="616" w:type="dxa"/>
            <w:tcBorders>
              <w:top w:val="single" w:sz="4" w:space="0" w:color="auto"/>
              <w:left w:val="single" w:sz="4" w:space="0" w:color="auto"/>
              <w:bottom w:val="single" w:sz="4" w:space="0" w:color="auto"/>
              <w:right w:val="single" w:sz="4" w:space="0" w:color="auto"/>
            </w:tcBorders>
            <w:vAlign w:val="center"/>
          </w:tcPr>
          <w:p w14:paraId="64E95A4C" w14:textId="542684B0"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sz w:val="20"/>
                <w:szCs w:val="20"/>
              </w:rPr>
              <w:t>10</w:t>
            </w:r>
          </w:p>
        </w:tc>
        <w:tc>
          <w:tcPr>
            <w:tcW w:w="800" w:type="dxa"/>
            <w:tcBorders>
              <w:top w:val="single" w:sz="4" w:space="0" w:color="auto"/>
              <w:left w:val="single" w:sz="4" w:space="0" w:color="auto"/>
              <w:bottom w:val="single" w:sz="4" w:space="0" w:color="auto"/>
              <w:right w:val="single" w:sz="4" w:space="0" w:color="auto"/>
            </w:tcBorders>
            <w:vAlign w:val="center"/>
          </w:tcPr>
          <w:p w14:paraId="6739F9F0" w14:textId="4B0780A4"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sz w:val="20"/>
                <w:szCs w:val="20"/>
              </w:rPr>
              <w:t>51</w:t>
            </w:r>
          </w:p>
        </w:tc>
        <w:tc>
          <w:tcPr>
            <w:tcW w:w="985" w:type="dxa"/>
            <w:tcBorders>
              <w:top w:val="single" w:sz="4" w:space="0" w:color="auto"/>
              <w:left w:val="single" w:sz="4" w:space="0" w:color="auto"/>
              <w:bottom w:val="single" w:sz="4" w:space="0" w:color="auto"/>
              <w:right w:val="single" w:sz="4" w:space="0" w:color="auto"/>
            </w:tcBorders>
            <w:vAlign w:val="center"/>
          </w:tcPr>
          <w:p w14:paraId="36364E58" w14:textId="7AF034E4"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sz w:val="20"/>
                <w:szCs w:val="20"/>
              </w:rPr>
              <w:t>23</w:t>
            </w:r>
          </w:p>
        </w:tc>
        <w:tc>
          <w:tcPr>
            <w:tcW w:w="925" w:type="dxa"/>
            <w:tcBorders>
              <w:top w:val="single" w:sz="4" w:space="0" w:color="auto"/>
              <w:left w:val="single" w:sz="4" w:space="0" w:color="auto"/>
              <w:bottom w:val="single" w:sz="4" w:space="0" w:color="auto"/>
              <w:right w:val="single" w:sz="4" w:space="0" w:color="auto"/>
            </w:tcBorders>
            <w:vAlign w:val="center"/>
          </w:tcPr>
          <w:p w14:paraId="5C685DDC" w14:textId="2BF7CFE6" w:rsidR="008E3FF0" w:rsidRPr="00DA0BFA" w:rsidRDefault="008E3FF0" w:rsidP="001A67F7">
            <w:pPr>
              <w:overflowPunct w:val="0"/>
              <w:adjustRightInd w:val="0"/>
              <w:snapToGrid w:val="0"/>
              <w:spacing w:beforeLines="10" w:before="36" w:line="240" w:lineRule="exact"/>
              <w:ind w:right="17"/>
              <w:jc w:val="right"/>
              <w:rPr>
                <w:rFonts w:ascii="標楷體" w:hAnsi="標楷體"/>
              </w:rPr>
            </w:pPr>
            <w:r w:rsidRPr="00DA0BFA">
              <w:rPr>
                <w:rFonts w:ascii="標楷體" w:hAnsi="標楷體" w:hint="eastAsia"/>
                <w:noProof/>
                <w:sz w:val="20"/>
              </w:rPr>
              <w:t>－</w:t>
            </w:r>
          </w:p>
        </w:tc>
        <w:tc>
          <w:tcPr>
            <w:tcW w:w="1045" w:type="dxa"/>
            <w:tcBorders>
              <w:top w:val="single" w:sz="4" w:space="0" w:color="auto"/>
              <w:left w:val="single" w:sz="4" w:space="0" w:color="auto"/>
              <w:bottom w:val="single" w:sz="4" w:space="0" w:color="auto"/>
              <w:right w:val="single" w:sz="4" w:space="0" w:color="auto"/>
            </w:tcBorders>
            <w:vAlign w:val="center"/>
          </w:tcPr>
          <w:p w14:paraId="2AE59D3C" w14:textId="6913DFDA"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sz w:val="20"/>
                <w:szCs w:val="20"/>
              </w:rPr>
              <w:t>28</w:t>
            </w:r>
          </w:p>
        </w:tc>
      </w:tr>
      <w:tr w:rsidR="008E3FF0" w:rsidRPr="00DA77BA" w14:paraId="44296CD0" w14:textId="77777777" w:rsidTr="002F6E09">
        <w:trPr>
          <w:cantSplit/>
          <w:trHeight w:val="550"/>
          <w:tblHeader/>
        </w:trPr>
        <w:tc>
          <w:tcPr>
            <w:tcW w:w="1955" w:type="dxa"/>
            <w:tcBorders>
              <w:top w:val="single" w:sz="4" w:space="0" w:color="auto"/>
              <w:right w:val="single" w:sz="4" w:space="0" w:color="auto"/>
            </w:tcBorders>
            <w:vAlign w:val="center"/>
          </w:tcPr>
          <w:p w14:paraId="04EDAD60" w14:textId="77777777" w:rsidR="008E3FF0" w:rsidRPr="00546341" w:rsidRDefault="008E3FF0" w:rsidP="008E3FF0">
            <w:pPr>
              <w:overflowPunct w:val="0"/>
              <w:adjustRightInd w:val="0"/>
              <w:snapToGrid w:val="0"/>
              <w:spacing w:beforeLines="10" w:before="36" w:line="240" w:lineRule="exact"/>
              <w:ind w:rightChars="19" w:right="46"/>
              <w:jc w:val="distribute"/>
              <w:rPr>
                <w:rFonts w:ascii="標楷體" w:hAnsi="標楷體"/>
                <w:noProof/>
                <w:spacing w:val="-26"/>
                <w:sz w:val="20"/>
              </w:rPr>
            </w:pPr>
            <w:r w:rsidRPr="00546341">
              <w:rPr>
                <w:rFonts w:ascii="標楷體" w:hAnsi="標楷體" w:hint="eastAsia"/>
                <w:noProof/>
                <w:spacing w:val="-26"/>
                <w:sz w:val="20"/>
              </w:rPr>
              <w:t>交通部主管</w:t>
            </w:r>
          </w:p>
        </w:tc>
        <w:tc>
          <w:tcPr>
            <w:tcW w:w="800" w:type="dxa"/>
            <w:tcBorders>
              <w:top w:val="single" w:sz="4" w:space="0" w:color="auto"/>
              <w:left w:val="single" w:sz="4" w:space="0" w:color="auto"/>
              <w:bottom w:val="single" w:sz="4" w:space="0" w:color="auto"/>
              <w:right w:val="single" w:sz="4" w:space="0" w:color="auto"/>
            </w:tcBorders>
            <w:vAlign w:val="center"/>
          </w:tcPr>
          <w:p w14:paraId="2D20F01A" w14:textId="46482C93" w:rsidR="008E3FF0" w:rsidRPr="00DA0BFA" w:rsidRDefault="00CF7A48" w:rsidP="001A67F7">
            <w:pPr>
              <w:overflowPunct w:val="0"/>
              <w:adjustRightInd w:val="0"/>
              <w:snapToGrid w:val="0"/>
              <w:spacing w:beforeLines="10" w:before="36" w:line="240" w:lineRule="exact"/>
              <w:ind w:rightChars="17" w:right="41"/>
              <w:jc w:val="right"/>
              <w:rPr>
                <w:rFonts w:ascii="標楷體" w:hAnsi="標楷體"/>
                <w:noProof/>
                <w:sz w:val="20"/>
              </w:rPr>
            </w:pPr>
            <w:r>
              <w:rPr>
                <w:rFonts w:ascii="標楷體" w:hAnsi="標楷體"/>
                <w:sz w:val="20"/>
                <w:szCs w:val="20"/>
              </w:rPr>
              <w:t>29</w:t>
            </w:r>
          </w:p>
        </w:tc>
        <w:tc>
          <w:tcPr>
            <w:tcW w:w="616" w:type="dxa"/>
            <w:tcBorders>
              <w:top w:val="single" w:sz="4" w:space="0" w:color="auto"/>
              <w:left w:val="single" w:sz="4" w:space="0" w:color="auto"/>
              <w:bottom w:val="single" w:sz="4" w:space="0" w:color="auto"/>
              <w:right w:val="single" w:sz="4" w:space="0" w:color="auto"/>
            </w:tcBorders>
            <w:vAlign w:val="center"/>
          </w:tcPr>
          <w:p w14:paraId="63A7E012" w14:textId="52D6C4D0"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noProof/>
                <w:sz w:val="20"/>
              </w:rPr>
              <w:t>－</w:t>
            </w:r>
          </w:p>
        </w:tc>
        <w:tc>
          <w:tcPr>
            <w:tcW w:w="616" w:type="dxa"/>
            <w:tcBorders>
              <w:top w:val="single" w:sz="4" w:space="0" w:color="auto"/>
              <w:left w:val="single" w:sz="4" w:space="0" w:color="auto"/>
              <w:bottom w:val="single" w:sz="4" w:space="0" w:color="auto"/>
              <w:right w:val="single" w:sz="4" w:space="0" w:color="auto"/>
            </w:tcBorders>
            <w:vAlign w:val="center"/>
          </w:tcPr>
          <w:p w14:paraId="3A4C0F72" w14:textId="70496334"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sz w:val="20"/>
                <w:szCs w:val="20"/>
              </w:rPr>
              <w:t>9</w:t>
            </w:r>
          </w:p>
        </w:tc>
        <w:tc>
          <w:tcPr>
            <w:tcW w:w="616" w:type="dxa"/>
            <w:tcBorders>
              <w:top w:val="single" w:sz="4" w:space="0" w:color="auto"/>
              <w:left w:val="single" w:sz="4" w:space="0" w:color="auto"/>
              <w:bottom w:val="single" w:sz="4" w:space="0" w:color="auto"/>
              <w:right w:val="single" w:sz="4" w:space="0" w:color="auto"/>
            </w:tcBorders>
            <w:vAlign w:val="center"/>
          </w:tcPr>
          <w:p w14:paraId="12F95A64" w14:textId="3D13FD6E"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sz w:val="20"/>
                <w:szCs w:val="20"/>
              </w:rPr>
              <w:t>6</w:t>
            </w:r>
          </w:p>
        </w:tc>
        <w:tc>
          <w:tcPr>
            <w:tcW w:w="616" w:type="dxa"/>
            <w:tcBorders>
              <w:top w:val="single" w:sz="4" w:space="0" w:color="auto"/>
              <w:left w:val="single" w:sz="4" w:space="0" w:color="auto"/>
              <w:bottom w:val="single" w:sz="4" w:space="0" w:color="auto"/>
              <w:right w:val="single" w:sz="4" w:space="0" w:color="auto"/>
            </w:tcBorders>
            <w:vAlign w:val="center"/>
          </w:tcPr>
          <w:p w14:paraId="030D56DE" w14:textId="45B8D501"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sz w:val="20"/>
                <w:szCs w:val="20"/>
              </w:rPr>
              <w:t>7</w:t>
            </w:r>
          </w:p>
        </w:tc>
        <w:tc>
          <w:tcPr>
            <w:tcW w:w="616" w:type="dxa"/>
            <w:tcBorders>
              <w:top w:val="single" w:sz="4" w:space="0" w:color="auto"/>
              <w:left w:val="single" w:sz="4" w:space="0" w:color="auto"/>
              <w:bottom w:val="single" w:sz="4" w:space="0" w:color="auto"/>
              <w:right w:val="single" w:sz="4" w:space="0" w:color="auto"/>
            </w:tcBorders>
            <w:vAlign w:val="center"/>
          </w:tcPr>
          <w:p w14:paraId="31CA4064" w14:textId="1757735F" w:rsidR="008E3FF0" w:rsidRPr="00DA0BFA" w:rsidRDefault="0087088B"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noProof/>
                <w:sz w:val="20"/>
              </w:rPr>
              <w:t>－</w:t>
            </w:r>
          </w:p>
        </w:tc>
        <w:tc>
          <w:tcPr>
            <w:tcW w:w="616" w:type="dxa"/>
            <w:tcBorders>
              <w:top w:val="single" w:sz="4" w:space="0" w:color="auto"/>
              <w:left w:val="single" w:sz="4" w:space="0" w:color="auto"/>
              <w:bottom w:val="single" w:sz="4" w:space="0" w:color="auto"/>
              <w:right w:val="single" w:sz="4" w:space="0" w:color="auto"/>
            </w:tcBorders>
            <w:vAlign w:val="center"/>
          </w:tcPr>
          <w:p w14:paraId="37150995" w14:textId="6C88289A"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sz w:val="20"/>
                <w:szCs w:val="20"/>
              </w:rPr>
              <w:t>7</w:t>
            </w:r>
          </w:p>
        </w:tc>
        <w:tc>
          <w:tcPr>
            <w:tcW w:w="800" w:type="dxa"/>
            <w:tcBorders>
              <w:top w:val="single" w:sz="4" w:space="0" w:color="auto"/>
              <w:left w:val="single" w:sz="4" w:space="0" w:color="auto"/>
              <w:bottom w:val="single" w:sz="4" w:space="0" w:color="auto"/>
              <w:right w:val="single" w:sz="4" w:space="0" w:color="auto"/>
            </w:tcBorders>
            <w:vAlign w:val="center"/>
          </w:tcPr>
          <w:p w14:paraId="3D1D6E06" w14:textId="6475E811"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sz w:val="20"/>
                <w:szCs w:val="20"/>
              </w:rPr>
              <w:t>31</w:t>
            </w:r>
          </w:p>
        </w:tc>
        <w:tc>
          <w:tcPr>
            <w:tcW w:w="985" w:type="dxa"/>
            <w:tcBorders>
              <w:top w:val="single" w:sz="4" w:space="0" w:color="auto"/>
              <w:left w:val="single" w:sz="4" w:space="0" w:color="auto"/>
              <w:bottom w:val="single" w:sz="4" w:space="0" w:color="auto"/>
              <w:right w:val="single" w:sz="4" w:space="0" w:color="auto"/>
            </w:tcBorders>
            <w:vAlign w:val="center"/>
          </w:tcPr>
          <w:p w14:paraId="2D12AE4D" w14:textId="416795CD"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sz w:val="20"/>
                <w:szCs w:val="20"/>
              </w:rPr>
              <w:t>6</w:t>
            </w:r>
          </w:p>
        </w:tc>
        <w:tc>
          <w:tcPr>
            <w:tcW w:w="925" w:type="dxa"/>
            <w:tcBorders>
              <w:top w:val="single" w:sz="4" w:space="0" w:color="auto"/>
              <w:left w:val="single" w:sz="4" w:space="0" w:color="auto"/>
              <w:bottom w:val="single" w:sz="4" w:space="0" w:color="auto"/>
              <w:right w:val="single" w:sz="4" w:space="0" w:color="auto"/>
            </w:tcBorders>
            <w:vAlign w:val="center"/>
          </w:tcPr>
          <w:p w14:paraId="40B59CCF" w14:textId="0205ECED" w:rsidR="008E3FF0" w:rsidRPr="00DA0BFA" w:rsidRDefault="00C54804" w:rsidP="001A67F7">
            <w:pPr>
              <w:overflowPunct w:val="0"/>
              <w:adjustRightInd w:val="0"/>
              <w:snapToGrid w:val="0"/>
              <w:spacing w:beforeLines="10" w:before="36" w:line="240" w:lineRule="exact"/>
              <w:ind w:right="17"/>
              <w:jc w:val="right"/>
              <w:rPr>
                <w:rFonts w:ascii="標楷體" w:hAnsi="標楷體"/>
              </w:rPr>
            </w:pPr>
            <w:r>
              <w:rPr>
                <w:rFonts w:ascii="標楷體" w:hAnsi="標楷體"/>
                <w:sz w:val="20"/>
                <w:szCs w:val="20"/>
              </w:rPr>
              <w:t>2</w:t>
            </w:r>
          </w:p>
        </w:tc>
        <w:tc>
          <w:tcPr>
            <w:tcW w:w="1045" w:type="dxa"/>
            <w:tcBorders>
              <w:top w:val="single" w:sz="4" w:space="0" w:color="auto"/>
              <w:left w:val="single" w:sz="4" w:space="0" w:color="auto"/>
              <w:bottom w:val="single" w:sz="4" w:space="0" w:color="auto"/>
              <w:right w:val="single" w:sz="4" w:space="0" w:color="auto"/>
            </w:tcBorders>
            <w:vAlign w:val="center"/>
          </w:tcPr>
          <w:p w14:paraId="124D8D10" w14:textId="2DA7A098"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sz w:val="20"/>
                <w:szCs w:val="20"/>
              </w:rPr>
              <w:t>2</w:t>
            </w:r>
            <w:r w:rsidR="00C54804">
              <w:rPr>
                <w:rFonts w:ascii="標楷體" w:hAnsi="標楷體"/>
                <w:sz w:val="20"/>
                <w:szCs w:val="20"/>
              </w:rPr>
              <w:t>3</w:t>
            </w:r>
          </w:p>
        </w:tc>
      </w:tr>
      <w:tr w:rsidR="008E3FF0" w:rsidRPr="00DA77BA" w14:paraId="492F5483" w14:textId="77777777" w:rsidTr="002F6E09">
        <w:trPr>
          <w:cantSplit/>
          <w:trHeight w:val="550"/>
          <w:tblHeader/>
        </w:trPr>
        <w:tc>
          <w:tcPr>
            <w:tcW w:w="1955" w:type="dxa"/>
            <w:tcBorders>
              <w:top w:val="single" w:sz="4" w:space="0" w:color="auto"/>
              <w:bottom w:val="single" w:sz="4" w:space="0" w:color="auto"/>
              <w:right w:val="single" w:sz="4" w:space="0" w:color="auto"/>
            </w:tcBorders>
            <w:vAlign w:val="center"/>
          </w:tcPr>
          <w:p w14:paraId="044044C7" w14:textId="77777777" w:rsidR="008E3FF0" w:rsidRPr="00546341" w:rsidRDefault="008E3FF0" w:rsidP="008E3FF0">
            <w:pPr>
              <w:overflowPunct w:val="0"/>
              <w:adjustRightInd w:val="0"/>
              <w:snapToGrid w:val="0"/>
              <w:spacing w:beforeLines="10" w:before="36" w:line="240" w:lineRule="exact"/>
              <w:ind w:rightChars="19" w:right="46"/>
              <w:jc w:val="distribute"/>
              <w:rPr>
                <w:rFonts w:ascii="標楷體" w:hAnsi="標楷體"/>
                <w:noProof/>
                <w:spacing w:val="-26"/>
                <w:sz w:val="20"/>
              </w:rPr>
            </w:pPr>
            <w:r w:rsidRPr="00546341">
              <w:rPr>
                <w:rFonts w:ascii="標楷體" w:hAnsi="標楷體" w:hint="eastAsia"/>
                <w:noProof/>
                <w:spacing w:val="-26"/>
                <w:sz w:val="20"/>
              </w:rPr>
              <w:t>金融監督管理委員會主管</w:t>
            </w:r>
          </w:p>
        </w:tc>
        <w:tc>
          <w:tcPr>
            <w:tcW w:w="800" w:type="dxa"/>
            <w:tcBorders>
              <w:top w:val="single" w:sz="4" w:space="0" w:color="auto"/>
              <w:left w:val="single" w:sz="4" w:space="0" w:color="auto"/>
              <w:bottom w:val="single" w:sz="4" w:space="0" w:color="auto"/>
              <w:right w:val="single" w:sz="4" w:space="0" w:color="auto"/>
            </w:tcBorders>
            <w:vAlign w:val="center"/>
          </w:tcPr>
          <w:p w14:paraId="309B3845" w14:textId="60A5D84B"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sz w:val="20"/>
                <w:szCs w:val="20"/>
              </w:rPr>
              <w:t>2</w:t>
            </w:r>
          </w:p>
        </w:tc>
        <w:tc>
          <w:tcPr>
            <w:tcW w:w="616" w:type="dxa"/>
            <w:tcBorders>
              <w:top w:val="single" w:sz="4" w:space="0" w:color="auto"/>
              <w:left w:val="single" w:sz="4" w:space="0" w:color="auto"/>
              <w:bottom w:val="single" w:sz="4" w:space="0" w:color="auto"/>
              <w:right w:val="single" w:sz="4" w:space="0" w:color="auto"/>
            </w:tcBorders>
            <w:vAlign w:val="center"/>
          </w:tcPr>
          <w:p w14:paraId="4DCA8ED3" w14:textId="594B6928"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noProof/>
                <w:sz w:val="20"/>
              </w:rPr>
              <w:t>－</w:t>
            </w:r>
          </w:p>
        </w:tc>
        <w:tc>
          <w:tcPr>
            <w:tcW w:w="616" w:type="dxa"/>
            <w:tcBorders>
              <w:top w:val="single" w:sz="4" w:space="0" w:color="auto"/>
              <w:left w:val="single" w:sz="4" w:space="0" w:color="auto"/>
              <w:bottom w:val="single" w:sz="4" w:space="0" w:color="auto"/>
              <w:right w:val="single" w:sz="4" w:space="0" w:color="auto"/>
            </w:tcBorders>
            <w:vAlign w:val="center"/>
          </w:tcPr>
          <w:p w14:paraId="6ED613BC" w14:textId="5B663E59"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sz w:val="20"/>
                <w:szCs w:val="20"/>
              </w:rPr>
              <w:t>1</w:t>
            </w:r>
          </w:p>
        </w:tc>
        <w:tc>
          <w:tcPr>
            <w:tcW w:w="616" w:type="dxa"/>
            <w:tcBorders>
              <w:top w:val="single" w:sz="4" w:space="0" w:color="auto"/>
              <w:left w:val="single" w:sz="4" w:space="0" w:color="auto"/>
              <w:bottom w:val="single" w:sz="4" w:space="0" w:color="auto"/>
              <w:right w:val="single" w:sz="4" w:space="0" w:color="auto"/>
            </w:tcBorders>
            <w:vAlign w:val="center"/>
          </w:tcPr>
          <w:p w14:paraId="25C00065" w14:textId="47377906"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noProof/>
                <w:sz w:val="20"/>
              </w:rPr>
              <w:t>－</w:t>
            </w:r>
          </w:p>
        </w:tc>
        <w:tc>
          <w:tcPr>
            <w:tcW w:w="616" w:type="dxa"/>
            <w:tcBorders>
              <w:top w:val="single" w:sz="4" w:space="0" w:color="auto"/>
              <w:left w:val="single" w:sz="4" w:space="0" w:color="auto"/>
              <w:bottom w:val="single" w:sz="4" w:space="0" w:color="auto"/>
              <w:right w:val="single" w:sz="4" w:space="0" w:color="auto"/>
            </w:tcBorders>
            <w:vAlign w:val="center"/>
          </w:tcPr>
          <w:p w14:paraId="51DBE826" w14:textId="0E25909F"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sz w:val="20"/>
                <w:szCs w:val="20"/>
              </w:rPr>
              <w:t>1</w:t>
            </w:r>
          </w:p>
        </w:tc>
        <w:tc>
          <w:tcPr>
            <w:tcW w:w="616" w:type="dxa"/>
            <w:tcBorders>
              <w:top w:val="single" w:sz="4" w:space="0" w:color="auto"/>
              <w:left w:val="single" w:sz="4" w:space="0" w:color="auto"/>
              <w:bottom w:val="single" w:sz="4" w:space="0" w:color="auto"/>
              <w:right w:val="single" w:sz="4" w:space="0" w:color="auto"/>
            </w:tcBorders>
            <w:vAlign w:val="center"/>
          </w:tcPr>
          <w:p w14:paraId="7C65E240" w14:textId="7715BE4D"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noProof/>
                <w:sz w:val="20"/>
              </w:rPr>
              <w:t>－</w:t>
            </w:r>
          </w:p>
        </w:tc>
        <w:tc>
          <w:tcPr>
            <w:tcW w:w="616" w:type="dxa"/>
            <w:tcBorders>
              <w:top w:val="single" w:sz="4" w:space="0" w:color="auto"/>
              <w:left w:val="single" w:sz="4" w:space="0" w:color="auto"/>
              <w:bottom w:val="single" w:sz="4" w:space="0" w:color="auto"/>
              <w:right w:val="single" w:sz="4" w:space="0" w:color="auto"/>
            </w:tcBorders>
            <w:vAlign w:val="center"/>
          </w:tcPr>
          <w:p w14:paraId="6BA5B964" w14:textId="62FACC52"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noProof/>
                <w:sz w:val="20"/>
              </w:rPr>
              <w:t>－</w:t>
            </w:r>
          </w:p>
        </w:tc>
        <w:tc>
          <w:tcPr>
            <w:tcW w:w="800" w:type="dxa"/>
            <w:tcBorders>
              <w:top w:val="single" w:sz="4" w:space="0" w:color="auto"/>
              <w:left w:val="single" w:sz="4" w:space="0" w:color="auto"/>
              <w:bottom w:val="single" w:sz="4" w:space="0" w:color="auto"/>
              <w:right w:val="single" w:sz="4" w:space="0" w:color="auto"/>
            </w:tcBorders>
            <w:vAlign w:val="center"/>
          </w:tcPr>
          <w:p w14:paraId="4FC6332E" w14:textId="4641C4A7"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sz w:val="20"/>
                <w:szCs w:val="20"/>
              </w:rPr>
              <w:t>3</w:t>
            </w:r>
          </w:p>
        </w:tc>
        <w:tc>
          <w:tcPr>
            <w:tcW w:w="985" w:type="dxa"/>
            <w:tcBorders>
              <w:top w:val="single" w:sz="4" w:space="0" w:color="auto"/>
              <w:left w:val="single" w:sz="4" w:space="0" w:color="auto"/>
              <w:bottom w:val="single" w:sz="4" w:space="0" w:color="auto"/>
              <w:right w:val="single" w:sz="4" w:space="0" w:color="auto"/>
            </w:tcBorders>
            <w:vAlign w:val="center"/>
          </w:tcPr>
          <w:p w14:paraId="01A63D50" w14:textId="0A40137D"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sz w:val="20"/>
                <w:szCs w:val="20"/>
              </w:rPr>
              <w:t>2</w:t>
            </w:r>
          </w:p>
        </w:tc>
        <w:tc>
          <w:tcPr>
            <w:tcW w:w="925" w:type="dxa"/>
            <w:tcBorders>
              <w:top w:val="single" w:sz="4" w:space="0" w:color="auto"/>
              <w:left w:val="single" w:sz="4" w:space="0" w:color="auto"/>
              <w:bottom w:val="single" w:sz="4" w:space="0" w:color="auto"/>
              <w:right w:val="single" w:sz="4" w:space="0" w:color="auto"/>
            </w:tcBorders>
            <w:vAlign w:val="center"/>
          </w:tcPr>
          <w:p w14:paraId="618AD21E" w14:textId="69330554" w:rsidR="008E3FF0" w:rsidRPr="00DA0BFA" w:rsidRDefault="008E3FF0" w:rsidP="001A67F7">
            <w:pPr>
              <w:overflowPunct w:val="0"/>
              <w:adjustRightInd w:val="0"/>
              <w:snapToGrid w:val="0"/>
              <w:spacing w:beforeLines="10" w:before="36" w:line="240" w:lineRule="exact"/>
              <w:ind w:right="17"/>
              <w:jc w:val="right"/>
              <w:rPr>
                <w:rFonts w:ascii="標楷體" w:hAnsi="標楷體"/>
                <w:noProof/>
                <w:sz w:val="20"/>
              </w:rPr>
            </w:pPr>
            <w:r w:rsidRPr="00DA0BFA">
              <w:rPr>
                <w:rFonts w:ascii="標楷體" w:hAnsi="標楷體" w:hint="eastAsia"/>
                <w:noProof/>
                <w:sz w:val="20"/>
              </w:rPr>
              <w:t>－</w:t>
            </w:r>
          </w:p>
        </w:tc>
        <w:tc>
          <w:tcPr>
            <w:tcW w:w="1045" w:type="dxa"/>
            <w:tcBorders>
              <w:top w:val="single" w:sz="4" w:space="0" w:color="auto"/>
              <w:left w:val="single" w:sz="4" w:space="0" w:color="auto"/>
              <w:bottom w:val="single" w:sz="4" w:space="0" w:color="auto"/>
              <w:right w:val="single" w:sz="4" w:space="0" w:color="auto"/>
            </w:tcBorders>
            <w:vAlign w:val="center"/>
          </w:tcPr>
          <w:p w14:paraId="25ABC19C" w14:textId="62572F3A" w:rsidR="008E3FF0" w:rsidRPr="00DA0BFA" w:rsidRDefault="008E3FF0"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sz w:val="20"/>
                <w:szCs w:val="20"/>
              </w:rPr>
              <w:t>1</w:t>
            </w:r>
          </w:p>
        </w:tc>
      </w:tr>
      <w:tr w:rsidR="005702B9" w:rsidRPr="00DA77BA" w14:paraId="09E6B3E9" w14:textId="77777777" w:rsidTr="002F6E09">
        <w:trPr>
          <w:cantSplit/>
          <w:trHeight w:val="550"/>
          <w:tblHeader/>
        </w:trPr>
        <w:tc>
          <w:tcPr>
            <w:tcW w:w="1955" w:type="dxa"/>
            <w:tcBorders>
              <w:top w:val="single" w:sz="4" w:space="0" w:color="auto"/>
              <w:bottom w:val="single" w:sz="4" w:space="0" w:color="auto"/>
              <w:right w:val="single" w:sz="4" w:space="0" w:color="auto"/>
            </w:tcBorders>
            <w:vAlign w:val="center"/>
          </w:tcPr>
          <w:p w14:paraId="37CA136F" w14:textId="77777777" w:rsidR="005702B9" w:rsidRPr="00546341" w:rsidRDefault="005702B9" w:rsidP="005702B9">
            <w:pPr>
              <w:overflowPunct w:val="0"/>
              <w:adjustRightInd w:val="0"/>
              <w:snapToGrid w:val="0"/>
              <w:spacing w:beforeLines="10" w:before="36" w:line="240" w:lineRule="exact"/>
              <w:ind w:leftChars="57" w:left="137" w:rightChars="77" w:right="185"/>
              <w:jc w:val="distribute"/>
              <w:rPr>
                <w:rFonts w:ascii="標楷體" w:hAnsi="標楷體"/>
                <w:b/>
                <w:noProof/>
                <w:spacing w:val="-26"/>
                <w:sz w:val="20"/>
              </w:rPr>
            </w:pPr>
            <w:r w:rsidRPr="00546341">
              <w:rPr>
                <w:rFonts w:ascii="標楷體" w:hAnsi="標楷體" w:hint="eastAsia"/>
                <w:b/>
                <w:noProof/>
                <w:spacing w:val="-26"/>
                <w:sz w:val="20"/>
              </w:rPr>
              <w:t>小計</w:t>
            </w:r>
          </w:p>
        </w:tc>
        <w:tc>
          <w:tcPr>
            <w:tcW w:w="800" w:type="dxa"/>
            <w:tcBorders>
              <w:top w:val="single" w:sz="4" w:space="0" w:color="auto"/>
              <w:left w:val="single" w:sz="4" w:space="0" w:color="auto"/>
              <w:bottom w:val="single" w:sz="4" w:space="0" w:color="auto"/>
              <w:right w:val="single" w:sz="4" w:space="0" w:color="auto"/>
            </w:tcBorders>
            <w:vAlign w:val="center"/>
          </w:tcPr>
          <w:p w14:paraId="5E586E1A" w14:textId="4AD6779C"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b/>
                <w:noProof/>
                <w:sz w:val="20"/>
              </w:rPr>
            </w:pPr>
            <w:r w:rsidRPr="00DA0BFA">
              <w:rPr>
                <w:rFonts w:ascii="標楷體" w:hAnsi="標楷體" w:hint="eastAsia"/>
                <w:b/>
                <w:bCs/>
                <w:color w:val="000000"/>
                <w:sz w:val="20"/>
                <w:szCs w:val="20"/>
              </w:rPr>
              <w:t>39</w:t>
            </w:r>
          </w:p>
        </w:tc>
        <w:tc>
          <w:tcPr>
            <w:tcW w:w="616" w:type="dxa"/>
            <w:tcBorders>
              <w:top w:val="single" w:sz="4" w:space="0" w:color="auto"/>
              <w:left w:val="single" w:sz="4" w:space="0" w:color="auto"/>
              <w:bottom w:val="single" w:sz="4" w:space="0" w:color="auto"/>
              <w:right w:val="single" w:sz="4" w:space="0" w:color="auto"/>
            </w:tcBorders>
            <w:vAlign w:val="center"/>
          </w:tcPr>
          <w:p w14:paraId="0184C10D" w14:textId="36D98EA5"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b/>
                <w:noProof/>
                <w:sz w:val="20"/>
              </w:rPr>
            </w:pPr>
            <w:r w:rsidRPr="00DA0BFA">
              <w:rPr>
                <w:rFonts w:ascii="標楷體" w:hAnsi="標楷體" w:hint="eastAsia"/>
                <w:b/>
                <w:bCs/>
                <w:color w:val="000000"/>
                <w:sz w:val="20"/>
                <w:szCs w:val="20"/>
              </w:rPr>
              <w:t>3</w:t>
            </w:r>
          </w:p>
        </w:tc>
        <w:tc>
          <w:tcPr>
            <w:tcW w:w="616" w:type="dxa"/>
            <w:tcBorders>
              <w:top w:val="single" w:sz="4" w:space="0" w:color="auto"/>
              <w:left w:val="single" w:sz="4" w:space="0" w:color="auto"/>
              <w:bottom w:val="single" w:sz="4" w:space="0" w:color="auto"/>
              <w:right w:val="single" w:sz="4" w:space="0" w:color="auto"/>
            </w:tcBorders>
            <w:vAlign w:val="center"/>
          </w:tcPr>
          <w:p w14:paraId="5CEECEE3" w14:textId="2BB9F5CC"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b/>
                <w:noProof/>
                <w:sz w:val="20"/>
              </w:rPr>
            </w:pPr>
            <w:r w:rsidRPr="00DA0BFA">
              <w:rPr>
                <w:rFonts w:ascii="標楷體" w:hAnsi="標楷體" w:hint="eastAsia"/>
                <w:b/>
                <w:bCs/>
                <w:color w:val="000000"/>
                <w:sz w:val="20"/>
                <w:szCs w:val="20"/>
              </w:rPr>
              <w:t>14</w:t>
            </w:r>
          </w:p>
        </w:tc>
        <w:tc>
          <w:tcPr>
            <w:tcW w:w="616" w:type="dxa"/>
            <w:tcBorders>
              <w:top w:val="single" w:sz="4" w:space="0" w:color="auto"/>
              <w:left w:val="single" w:sz="4" w:space="0" w:color="auto"/>
              <w:bottom w:val="single" w:sz="4" w:space="0" w:color="auto"/>
              <w:right w:val="single" w:sz="4" w:space="0" w:color="auto"/>
            </w:tcBorders>
            <w:vAlign w:val="center"/>
          </w:tcPr>
          <w:p w14:paraId="5083B906" w14:textId="520CA25E"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b/>
                <w:noProof/>
                <w:sz w:val="20"/>
              </w:rPr>
            </w:pPr>
            <w:r w:rsidRPr="00DA0BFA">
              <w:rPr>
                <w:rFonts w:ascii="標楷體" w:hAnsi="標楷體" w:hint="eastAsia"/>
                <w:b/>
                <w:bCs/>
                <w:color w:val="000000"/>
                <w:sz w:val="20"/>
                <w:szCs w:val="20"/>
              </w:rPr>
              <w:t>9</w:t>
            </w:r>
          </w:p>
        </w:tc>
        <w:tc>
          <w:tcPr>
            <w:tcW w:w="616" w:type="dxa"/>
            <w:tcBorders>
              <w:top w:val="single" w:sz="4" w:space="0" w:color="auto"/>
              <w:left w:val="single" w:sz="4" w:space="0" w:color="auto"/>
              <w:bottom w:val="single" w:sz="4" w:space="0" w:color="auto"/>
              <w:right w:val="single" w:sz="4" w:space="0" w:color="auto"/>
            </w:tcBorders>
            <w:vAlign w:val="center"/>
          </w:tcPr>
          <w:p w14:paraId="685E0952" w14:textId="124271D8"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b/>
                <w:noProof/>
                <w:sz w:val="20"/>
              </w:rPr>
            </w:pPr>
            <w:r w:rsidRPr="00DA0BFA">
              <w:rPr>
                <w:rFonts w:ascii="標楷體" w:hAnsi="標楷體" w:hint="eastAsia"/>
                <w:b/>
                <w:bCs/>
                <w:color w:val="000000"/>
                <w:sz w:val="20"/>
                <w:szCs w:val="20"/>
              </w:rPr>
              <w:t>1</w:t>
            </w:r>
          </w:p>
        </w:tc>
        <w:tc>
          <w:tcPr>
            <w:tcW w:w="616" w:type="dxa"/>
            <w:tcBorders>
              <w:top w:val="single" w:sz="4" w:space="0" w:color="auto"/>
              <w:left w:val="single" w:sz="4" w:space="0" w:color="auto"/>
              <w:bottom w:val="single" w:sz="4" w:space="0" w:color="auto"/>
              <w:right w:val="single" w:sz="4" w:space="0" w:color="auto"/>
            </w:tcBorders>
            <w:vAlign w:val="center"/>
          </w:tcPr>
          <w:p w14:paraId="7A988F70" w14:textId="5C328CA8"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b/>
                <w:noProof/>
                <w:sz w:val="20"/>
              </w:rPr>
            </w:pPr>
            <w:r w:rsidRPr="00DA0BFA">
              <w:rPr>
                <w:rFonts w:ascii="標楷體" w:hAnsi="標楷體" w:hint="eastAsia"/>
                <w:b/>
                <w:bCs/>
                <w:color w:val="000000"/>
                <w:sz w:val="20"/>
                <w:szCs w:val="20"/>
              </w:rPr>
              <w:t>5</w:t>
            </w:r>
          </w:p>
        </w:tc>
        <w:tc>
          <w:tcPr>
            <w:tcW w:w="616" w:type="dxa"/>
            <w:tcBorders>
              <w:top w:val="single" w:sz="4" w:space="0" w:color="auto"/>
              <w:left w:val="single" w:sz="4" w:space="0" w:color="auto"/>
              <w:bottom w:val="single" w:sz="4" w:space="0" w:color="auto"/>
              <w:right w:val="single" w:sz="4" w:space="0" w:color="auto"/>
            </w:tcBorders>
            <w:vAlign w:val="center"/>
          </w:tcPr>
          <w:p w14:paraId="49C3B72B" w14:textId="46E58B90"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b/>
                <w:noProof/>
                <w:sz w:val="20"/>
              </w:rPr>
            </w:pPr>
            <w:r w:rsidRPr="00DA0BFA">
              <w:rPr>
                <w:rFonts w:ascii="標楷體" w:hAnsi="標楷體" w:hint="eastAsia"/>
                <w:b/>
                <w:bCs/>
                <w:color w:val="000000"/>
                <w:sz w:val="20"/>
                <w:szCs w:val="20"/>
              </w:rPr>
              <w:t>7</w:t>
            </w:r>
          </w:p>
        </w:tc>
        <w:tc>
          <w:tcPr>
            <w:tcW w:w="800" w:type="dxa"/>
            <w:tcBorders>
              <w:top w:val="single" w:sz="4" w:space="0" w:color="auto"/>
              <w:left w:val="single" w:sz="4" w:space="0" w:color="auto"/>
              <w:bottom w:val="single" w:sz="4" w:space="0" w:color="auto"/>
              <w:right w:val="single" w:sz="4" w:space="0" w:color="auto"/>
            </w:tcBorders>
            <w:vAlign w:val="center"/>
          </w:tcPr>
          <w:p w14:paraId="7456D3A5" w14:textId="6851D364" w:rsidR="005702B9" w:rsidRPr="00DA0BFA" w:rsidRDefault="005702B9" w:rsidP="001A67F7">
            <w:pPr>
              <w:overflowPunct w:val="0"/>
              <w:adjustRightInd w:val="0"/>
              <w:snapToGrid w:val="0"/>
              <w:spacing w:beforeLines="10" w:before="36" w:line="240" w:lineRule="exact"/>
              <w:ind w:right="17"/>
              <w:jc w:val="right"/>
              <w:rPr>
                <w:rFonts w:ascii="標楷體" w:hAnsi="標楷體"/>
                <w:b/>
                <w:noProof/>
                <w:sz w:val="20"/>
              </w:rPr>
            </w:pPr>
            <w:r w:rsidRPr="00DA0BFA">
              <w:rPr>
                <w:rFonts w:ascii="標楷體" w:hAnsi="標楷體" w:hint="eastAsia"/>
                <w:b/>
                <w:bCs/>
                <w:color w:val="000000"/>
                <w:sz w:val="20"/>
                <w:szCs w:val="20"/>
              </w:rPr>
              <w:t>40</w:t>
            </w:r>
          </w:p>
        </w:tc>
        <w:tc>
          <w:tcPr>
            <w:tcW w:w="985" w:type="dxa"/>
            <w:tcBorders>
              <w:top w:val="single" w:sz="4" w:space="0" w:color="auto"/>
              <w:left w:val="single" w:sz="4" w:space="0" w:color="auto"/>
              <w:bottom w:val="single" w:sz="4" w:space="0" w:color="auto"/>
              <w:right w:val="single" w:sz="4" w:space="0" w:color="auto"/>
            </w:tcBorders>
            <w:vAlign w:val="center"/>
          </w:tcPr>
          <w:p w14:paraId="420257C7" w14:textId="583DFB26"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b/>
                <w:noProof/>
                <w:sz w:val="20"/>
              </w:rPr>
            </w:pPr>
            <w:r w:rsidRPr="00DA0BFA">
              <w:rPr>
                <w:rFonts w:ascii="標楷體" w:hAnsi="標楷體" w:hint="eastAsia"/>
                <w:b/>
                <w:bCs/>
                <w:color w:val="000000"/>
                <w:sz w:val="20"/>
                <w:szCs w:val="20"/>
              </w:rPr>
              <w:t>13</w:t>
            </w:r>
          </w:p>
        </w:tc>
        <w:tc>
          <w:tcPr>
            <w:tcW w:w="925" w:type="dxa"/>
            <w:tcBorders>
              <w:top w:val="single" w:sz="4" w:space="0" w:color="auto"/>
              <w:left w:val="single" w:sz="4" w:space="0" w:color="auto"/>
              <w:bottom w:val="single" w:sz="4" w:space="0" w:color="auto"/>
              <w:right w:val="single" w:sz="4" w:space="0" w:color="auto"/>
            </w:tcBorders>
            <w:vAlign w:val="center"/>
          </w:tcPr>
          <w:p w14:paraId="6EEE4A6D" w14:textId="2A9B714F" w:rsidR="005702B9" w:rsidRPr="00DA0BFA" w:rsidRDefault="005702B9" w:rsidP="001A67F7">
            <w:pPr>
              <w:overflowPunct w:val="0"/>
              <w:adjustRightInd w:val="0"/>
              <w:snapToGrid w:val="0"/>
              <w:spacing w:beforeLines="10" w:before="36" w:line="240" w:lineRule="exact"/>
              <w:ind w:right="17"/>
              <w:jc w:val="right"/>
              <w:rPr>
                <w:rFonts w:ascii="標楷體" w:hAnsi="標楷體"/>
                <w:b/>
                <w:bCs/>
                <w:noProof/>
                <w:sz w:val="20"/>
              </w:rPr>
            </w:pPr>
            <w:r w:rsidRPr="00DA0BFA">
              <w:rPr>
                <w:rFonts w:ascii="標楷體" w:hAnsi="標楷體" w:hint="eastAsia"/>
                <w:noProof/>
                <w:sz w:val="20"/>
              </w:rPr>
              <w:t>－</w:t>
            </w:r>
          </w:p>
        </w:tc>
        <w:tc>
          <w:tcPr>
            <w:tcW w:w="1045" w:type="dxa"/>
            <w:tcBorders>
              <w:top w:val="single" w:sz="4" w:space="0" w:color="auto"/>
              <w:left w:val="single" w:sz="4" w:space="0" w:color="auto"/>
              <w:bottom w:val="single" w:sz="4" w:space="0" w:color="auto"/>
              <w:right w:val="single" w:sz="4" w:space="0" w:color="auto"/>
            </w:tcBorders>
            <w:vAlign w:val="center"/>
          </w:tcPr>
          <w:p w14:paraId="46AA2F55" w14:textId="1BB9A5E0"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b/>
                <w:noProof/>
                <w:sz w:val="20"/>
              </w:rPr>
            </w:pPr>
            <w:r w:rsidRPr="00DA0BFA">
              <w:rPr>
                <w:rFonts w:ascii="標楷體" w:hAnsi="標楷體" w:hint="eastAsia"/>
                <w:b/>
                <w:bCs/>
                <w:color w:val="000000"/>
                <w:sz w:val="20"/>
                <w:szCs w:val="20"/>
              </w:rPr>
              <w:t>2</w:t>
            </w:r>
            <w:r w:rsidRPr="00DA0BFA">
              <w:rPr>
                <w:rFonts w:ascii="標楷體" w:hAnsi="標楷體"/>
                <w:b/>
                <w:bCs/>
                <w:color w:val="000000"/>
                <w:sz w:val="20"/>
                <w:szCs w:val="20"/>
              </w:rPr>
              <w:t>7</w:t>
            </w:r>
          </w:p>
        </w:tc>
      </w:tr>
      <w:tr w:rsidR="005702B9" w:rsidRPr="00DA77BA" w14:paraId="6A3C7698" w14:textId="77777777" w:rsidTr="002F6E09">
        <w:trPr>
          <w:cantSplit/>
          <w:trHeight w:val="550"/>
          <w:tblHeader/>
        </w:trPr>
        <w:tc>
          <w:tcPr>
            <w:tcW w:w="1955" w:type="dxa"/>
            <w:tcBorders>
              <w:top w:val="single" w:sz="4" w:space="0" w:color="auto"/>
              <w:bottom w:val="single" w:sz="4" w:space="0" w:color="auto"/>
              <w:right w:val="single" w:sz="4" w:space="0" w:color="auto"/>
            </w:tcBorders>
            <w:vAlign w:val="center"/>
          </w:tcPr>
          <w:p w14:paraId="7290B7ED" w14:textId="77777777" w:rsidR="005702B9" w:rsidRPr="00546341" w:rsidRDefault="005702B9" w:rsidP="005702B9">
            <w:pPr>
              <w:overflowPunct w:val="0"/>
              <w:adjustRightInd w:val="0"/>
              <w:snapToGrid w:val="0"/>
              <w:spacing w:beforeLines="10" w:before="36" w:line="240" w:lineRule="exact"/>
              <w:ind w:rightChars="19" w:right="46"/>
              <w:jc w:val="distribute"/>
              <w:rPr>
                <w:rFonts w:ascii="標楷體" w:hAnsi="標楷體"/>
                <w:noProof/>
                <w:spacing w:val="-26"/>
                <w:sz w:val="20"/>
              </w:rPr>
            </w:pPr>
            <w:r w:rsidRPr="00546341">
              <w:rPr>
                <w:rFonts w:ascii="標楷體" w:hAnsi="標楷體" w:hint="eastAsia"/>
                <w:noProof/>
                <w:spacing w:val="-26"/>
                <w:sz w:val="20"/>
              </w:rPr>
              <w:t>中央政府投資民營事業</w:t>
            </w:r>
          </w:p>
        </w:tc>
        <w:tc>
          <w:tcPr>
            <w:tcW w:w="800" w:type="dxa"/>
            <w:tcBorders>
              <w:top w:val="single" w:sz="4" w:space="0" w:color="auto"/>
              <w:left w:val="single" w:sz="4" w:space="0" w:color="auto"/>
              <w:bottom w:val="single" w:sz="4" w:space="0" w:color="auto"/>
              <w:right w:val="single" w:sz="4" w:space="0" w:color="auto"/>
            </w:tcBorders>
            <w:vAlign w:val="center"/>
          </w:tcPr>
          <w:p w14:paraId="34ECE779" w14:textId="1204DE03"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6</w:t>
            </w:r>
          </w:p>
        </w:tc>
        <w:tc>
          <w:tcPr>
            <w:tcW w:w="616" w:type="dxa"/>
            <w:tcBorders>
              <w:top w:val="single" w:sz="4" w:space="0" w:color="auto"/>
              <w:left w:val="single" w:sz="4" w:space="0" w:color="auto"/>
              <w:bottom w:val="single" w:sz="4" w:space="0" w:color="auto"/>
              <w:right w:val="single" w:sz="4" w:space="0" w:color="auto"/>
            </w:tcBorders>
            <w:vAlign w:val="center"/>
          </w:tcPr>
          <w:p w14:paraId="7F78E7D7" w14:textId="304E91FB"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noProof/>
                <w:sz w:val="20"/>
              </w:rPr>
              <w:t>－</w:t>
            </w:r>
          </w:p>
        </w:tc>
        <w:tc>
          <w:tcPr>
            <w:tcW w:w="616" w:type="dxa"/>
            <w:tcBorders>
              <w:top w:val="single" w:sz="4" w:space="0" w:color="auto"/>
              <w:left w:val="single" w:sz="4" w:space="0" w:color="auto"/>
              <w:bottom w:val="single" w:sz="4" w:space="0" w:color="auto"/>
              <w:right w:val="single" w:sz="4" w:space="0" w:color="auto"/>
            </w:tcBorders>
            <w:vAlign w:val="center"/>
          </w:tcPr>
          <w:p w14:paraId="5C632FF8" w14:textId="13D5F961"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noProof/>
                <w:sz w:val="20"/>
              </w:rPr>
              <w:t>－</w:t>
            </w:r>
          </w:p>
        </w:tc>
        <w:tc>
          <w:tcPr>
            <w:tcW w:w="616" w:type="dxa"/>
            <w:tcBorders>
              <w:top w:val="single" w:sz="4" w:space="0" w:color="auto"/>
              <w:left w:val="single" w:sz="4" w:space="0" w:color="auto"/>
              <w:bottom w:val="single" w:sz="4" w:space="0" w:color="auto"/>
              <w:right w:val="single" w:sz="4" w:space="0" w:color="auto"/>
            </w:tcBorders>
            <w:vAlign w:val="center"/>
          </w:tcPr>
          <w:p w14:paraId="64342983" w14:textId="78592FC8"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5</w:t>
            </w:r>
          </w:p>
        </w:tc>
        <w:tc>
          <w:tcPr>
            <w:tcW w:w="616" w:type="dxa"/>
            <w:tcBorders>
              <w:top w:val="single" w:sz="4" w:space="0" w:color="auto"/>
              <w:left w:val="single" w:sz="4" w:space="0" w:color="auto"/>
              <w:bottom w:val="single" w:sz="4" w:space="0" w:color="auto"/>
              <w:right w:val="single" w:sz="4" w:space="0" w:color="auto"/>
            </w:tcBorders>
            <w:vAlign w:val="center"/>
          </w:tcPr>
          <w:p w14:paraId="4029806C" w14:textId="409A81EB"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noProof/>
                <w:sz w:val="20"/>
              </w:rPr>
              <w:t>－</w:t>
            </w:r>
          </w:p>
        </w:tc>
        <w:tc>
          <w:tcPr>
            <w:tcW w:w="616" w:type="dxa"/>
            <w:tcBorders>
              <w:top w:val="single" w:sz="4" w:space="0" w:color="auto"/>
              <w:left w:val="single" w:sz="4" w:space="0" w:color="auto"/>
              <w:bottom w:val="single" w:sz="4" w:space="0" w:color="auto"/>
              <w:right w:val="single" w:sz="4" w:space="0" w:color="auto"/>
            </w:tcBorders>
            <w:vAlign w:val="center"/>
          </w:tcPr>
          <w:p w14:paraId="1330966A" w14:textId="27B73E20"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noProof/>
                <w:sz w:val="20"/>
              </w:rPr>
              <w:t>－</w:t>
            </w:r>
          </w:p>
        </w:tc>
        <w:tc>
          <w:tcPr>
            <w:tcW w:w="616" w:type="dxa"/>
            <w:tcBorders>
              <w:top w:val="single" w:sz="4" w:space="0" w:color="auto"/>
              <w:left w:val="single" w:sz="4" w:space="0" w:color="auto"/>
              <w:bottom w:val="single" w:sz="4" w:space="0" w:color="auto"/>
              <w:right w:val="single" w:sz="4" w:space="0" w:color="auto"/>
            </w:tcBorders>
            <w:vAlign w:val="center"/>
          </w:tcPr>
          <w:p w14:paraId="4A07188E" w14:textId="25F000D2"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1</w:t>
            </w:r>
          </w:p>
        </w:tc>
        <w:tc>
          <w:tcPr>
            <w:tcW w:w="800" w:type="dxa"/>
            <w:tcBorders>
              <w:top w:val="single" w:sz="4" w:space="0" w:color="auto"/>
              <w:left w:val="single" w:sz="4" w:space="0" w:color="auto"/>
              <w:bottom w:val="single" w:sz="4" w:space="0" w:color="auto"/>
              <w:right w:val="single" w:sz="4" w:space="0" w:color="auto"/>
            </w:tcBorders>
            <w:vAlign w:val="center"/>
          </w:tcPr>
          <w:p w14:paraId="0D45D455" w14:textId="04F04E62" w:rsidR="005702B9" w:rsidRPr="00DA0BFA" w:rsidRDefault="005702B9" w:rsidP="001A67F7">
            <w:pPr>
              <w:overflowPunct w:val="0"/>
              <w:adjustRightInd w:val="0"/>
              <w:snapToGrid w:val="0"/>
              <w:spacing w:beforeLines="10" w:before="36" w:line="240" w:lineRule="exact"/>
              <w:ind w:right="17"/>
              <w:jc w:val="right"/>
              <w:rPr>
                <w:rFonts w:ascii="標楷體" w:hAnsi="標楷體"/>
                <w:noProof/>
                <w:sz w:val="20"/>
              </w:rPr>
            </w:pPr>
            <w:r w:rsidRPr="00DA0BFA">
              <w:rPr>
                <w:rFonts w:ascii="標楷體" w:hAnsi="標楷體" w:hint="eastAsia"/>
                <w:color w:val="000000"/>
                <w:sz w:val="20"/>
                <w:szCs w:val="20"/>
              </w:rPr>
              <w:t>6</w:t>
            </w:r>
          </w:p>
        </w:tc>
        <w:tc>
          <w:tcPr>
            <w:tcW w:w="985" w:type="dxa"/>
            <w:tcBorders>
              <w:top w:val="single" w:sz="4" w:space="0" w:color="auto"/>
              <w:left w:val="single" w:sz="4" w:space="0" w:color="auto"/>
              <w:bottom w:val="single" w:sz="4" w:space="0" w:color="auto"/>
              <w:right w:val="single" w:sz="4" w:space="0" w:color="auto"/>
            </w:tcBorders>
            <w:vAlign w:val="center"/>
          </w:tcPr>
          <w:p w14:paraId="4AEF8510" w14:textId="01EC5AF3"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4</w:t>
            </w:r>
          </w:p>
        </w:tc>
        <w:tc>
          <w:tcPr>
            <w:tcW w:w="925" w:type="dxa"/>
            <w:tcBorders>
              <w:top w:val="single" w:sz="4" w:space="0" w:color="auto"/>
              <w:left w:val="single" w:sz="4" w:space="0" w:color="auto"/>
              <w:bottom w:val="single" w:sz="4" w:space="0" w:color="auto"/>
              <w:right w:val="single" w:sz="4" w:space="0" w:color="auto"/>
            </w:tcBorders>
            <w:vAlign w:val="center"/>
          </w:tcPr>
          <w:p w14:paraId="61D09BE4" w14:textId="1EE0D4C7" w:rsidR="005702B9" w:rsidRPr="00DA0BFA" w:rsidRDefault="005702B9" w:rsidP="001A67F7">
            <w:pPr>
              <w:overflowPunct w:val="0"/>
              <w:adjustRightInd w:val="0"/>
              <w:snapToGrid w:val="0"/>
              <w:spacing w:beforeLines="10" w:before="36" w:line="240" w:lineRule="exact"/>
              <w:ind w:right="17"/>
              <w:jc w:val="right"/>
              <w:rPr>
                <w:rFonts w:ascii="標楷體" w:hAnsi="標楷體"/>
                <w:noProof/>
                <w:sz w:val="20"/>
              </w:rPr>
            </w:pPr>
            <w:r w:rsidRPr="00DA0BFA">
              <w:rPr>
                <w:rFonts w:ascii="標楷體" w:hAnsi="標楷體" w:hint="eastAsia"/>
                <w:noProof/>
                <w:sz w:val="20"/>
              </w:rPr>
              <w:t>－</w:t>
            </w:r>
          </w:p>
        </w:tc>
        <w:tc>
          <w:tcPr>
            <w:tcW w:w="1045" w:type="dxa"/>
            <w:tcBorders>
              <w:top w:val="single" w:sz="4" w:space="0" w:color="auto"/>
              <w:left w:val="single" w:sz="4" w:space="0" w:color="auto"/>
              <w:bottom w:val="single" w:sz="4" w:space="0" w:color="auto"/>
              <w:right w:val="single" w:sz="4" w:space="0" w:color="auto"/>
            </w:tcBorders>
            <w:vAlign w:val="center"/>
          </w:tcPr>
          <w:p w14:paraId="1AF954F2" w14:textId="4C4FABF0"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2</w:t>
            </w:r>
          </w:p>
        </w:tc>
      </w:tr>
      <w:tr w:rsidR="005702B9" w:rsidRPr="00DA77BA" w14:paraId="5E89DAA1" w14:textId="77777777" w:rsidTr="002F6E09">
        <w:trPr>
          <w:cantSplit/>
          <w:trHeight w:val="550"/>
          <w:tblHeader/>
        </w:trPr>
        <w:tc>
          <w:tcPr>
            <w:tcW w:w="1955" w:type="dxa"/>
            <w:tcBorders>
              <w:top w:val="single" w:sz="4" w:space="0" w:color="auto"/>
              <w:bottom w:val="single" w:sz="4" w:space="0" w:color="auto"/>
              <w:right w:val="single" w:sz="4" w:space="0" w:color="auto"/>
            </w:tcBorders>
            <w:vAlign w:val="center"/>
          </w:tcPr>
          <w:p w14:paraId="2C9E8547" w14:textId="77777777" w:rsidR="005702B9" w:rsidRPr="00546341" w:rsidRDefault="005702B9" w:rsidP="005702B9">
            <w:pPr>
              <w:overflowPunct w:val="0"/>
              <w:adjustRightInd w:val="0"/>
              <w:snapToGrid w:val="0"/>
              <w:spacing w:beforeLines="10" w:before="36" w:line="240" w:lineRule="exact"/>
              <w:ind w:rightChars="19" w:right="46"/>
              <w:jc w:val="distribute"/>
              <w:rPr>
                <w:rFonts w:ascii="標楷體" w:hAnsi="標楷體"/>
                <w:noProof/>
                <w:spacing w:val="-26"/>
                <w:sz w:val="20"/>
              </w:rPr>
            </w:pPr>
            <w:r w:rsidRPr="00546341">
              <w:rPr>
                <w:rFonts w:ascii="標楷體" w:hAnsi="標楷體" w:hint="eastAsia"/>
                <w:noProof/>
                <w:spacing w:val="-26"/>
                <w:sz w:val="20"/>
              </w:rPr>
              <w:t>政府捐助財團法人</w:t>
            </w:r>
          </w:p>
        </w:tc>
        <w:tc>
          <w:tcPr>
            <w:tcW w:w="800" w:type="dxa"/>
            <w:tcBorders>
              <w:top w:val="single" w:sz="4" w:space="0" w:color="auto"/>
              <w:left w:val="single" w:sz="4" w:space="0" w:color="auto"/>
              <w:bottom w:val="single" w:sz="4" w:space="0" w:color="auto"/>
              <w:right w:val="single" w:sz="4" w:space="0" w:color="auto"/>
            </w:tcBorders>
            <w:vAlign w:val="center"/>
          </w:tcPr>
          <w:p w14:paraId="586BC963" w14:textId="0EB28AA7"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10</w:t>
            </w:r>
          </w:p>
        </w:tc>
        <w:tc>
          <w:tcPr>
            <w:tcW w:w="616" w:type="dxa"/>
            <w:tcBorders>
              <w:top w:val="single" w:sz="4" w:space="0" w:color="auto"/>
              <w:left w:val="single" w:sz="4" w:space="0" w:color="auto"/>
              <w:bottom w:val="single" w:sz="4" w:space="0" w:color="auto"/>
              <w:right w:val="single" w:sz="4" w:space="0" w:color="auto"/>
            </w:tcBorders>
            <w:vAlign w:val="center"/>
          </w:tcPr>
          <w:p w14:paraId="3A19B794" w14:textId="50A55858"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noProof/>
                <w:sz w:val="20"/>
              </w:rPr>
              <w:t>－</w:t>
            </w:r>
          </w:p>
        </w:tc>
        <w:tc>
          <w:tcPr>
            <w:tcW w:w="616" w:type="dxa"/>
            <w:tcBorders>
              <w:top w:val="single" w:sz="4" w:space="0" w:color="auto"/>
              <w:left w:val="single" w:sz="4" w:space="0" w:color="auto"/>
              <w:bottom w:val="single" w:sz="4" w:space="0" w:color="auto"/>
              <w:right w:val="single" w:sz="4" w:space="0" w:color="auto"/>
            </w:tcBorders>
            <w:vAlign w:val="center"/>
          </w:tcPr>
          <w:p w14:paraId="07A46FBA" w14:textId="08650EA1"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3</w:t>
            </w:r>
          </w:p>
        </w:tc>
        <w:tc>
          <w:tcPr>
            <w:tcW w:w="616" w:type="dxa"/>
            <w:tcBorders>
              <w:top w:val="single" w:sz="4" w:space="0" w:color="auto"/>
              <w:left w:val="single" w:sz="4" w:space="0" w:color="auto"/>
              <w:bottom w:val="single" w:sz="4" w:space="0" w:color="auto"/>
              <w:right w:val="single" w:sz="4" w:space="0" w:color="auto"/>
            </w:tcBorders>
            <w:vAlign w:val="center"/>
          </w:tcPr>
          <w:p w14:paraId="4A5EE692" w14:textId="1678190A"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2</w:t>
            </w:r>
          </w:p>
        </w:tc>
        <w:tc>
          <w:tcPr>
            <w:tcW w:w="616" w:type="dxa"/>
            <w:tcBorders>
              <w:top w:val="single" w:sz="4" w:space="0" w:color="auto"/>
              <w:left w:val="single" w:sz="4" w:space="0" w:color="auto"/>
              <w:bottom w:val="single" w:sz="4" w:space="0" w:color="auto"/>
              <w:right w:val="single" w:sz="4" w:space="0" w:color="auto"/>
            </w:tcBorders>
            <w:vAlign w:val="center"/>
          </w:tcPr>
          <w:p w14:paraId="35C04B20" w14:textId="021E99BE"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1</w:t>
            </w:r>
          </w:p>
        </w:tc>
        <w:tc>
          <w:tcPr>
            <w:tcW w:w="616" w:type="dxa"/>
            <w:tcBorders>
              <w:top w:val="single" w:sz="4" w:space="0" w:color="auto"/>
              <w:left w:val="single" w:sz="4" w:space="0" w:color="auto"/>
              <w:bottom w:val="single" w:sz="4" w:space="0" w:color="auto"/>
              <w:right w:val="single" w:sz="4" w:space="0" w:color="auto"/>
            </w:tcBorders>
            <w:vAlign w:val="center"/>
          </w:tcPr>
          <w:p w14:paraId="2D0EED88" w14:textId="48CAFB7C"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noProof/>
                <w:sz w:val="20"/>
              </w:rPr>
              <w:t>－</w:t>
            </w:r>
          </w:p>
        </w:tc>
        <w:tc>
          <w:tcPr>
            <w:tcW w:w="616" w:type="dxa"/>
            <w:tcBorders>
              <w:top w:val="single" w:sz="4" w:space="0" w:color="auto"/>
              <w:left w:val="single" w:sz="4" w:space="0" w:color="auto"/>
              <w:bottom w:val="single" w:sz="4" w:space="0" w:color="auto"/>
              <w:right w:val="single" w:sz="4" w:space="0" w:color="auto"/>
            </w:tcBorders>
            <w:vAlign w:val="center"/>
          </w:tcPr>
          <w:p w14:paraId="30BB4B41" w14:textId="0E7E3613"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4</w:t>
            </w:r>
          </w:p>
        </w:tc>
        <w:tc>
          <w:tcPr>
            <w:tcW w:w="800" w:type="dxa"/>
            <w:tcBorders>
              <w:top w:val="single" w:sz="4" w:space="0" w:color="auto"/>
              <w:left w:val="single" w:sz="4" w:space="0" w:color="auto"/>
              <w:bottom w:val="single" w:sz="4" w:space="0" w:color="auto"/>
              <w:right w:val="single" w:sz="4" w:space="0" w:color="auto"/>
            </w:tcBorders>
            <w:vAlign w:val="center"/>
          </w:tcPr>
          <w:p w14:paraId="1C42D615" w14:textId="18293548" w:rsidR="005702B9" w:rsidRPr="00DA0BFA" w:rsidRDefault="005702B9" w:rsidP="001A67F7">
            <w:pPr>
              <w:overflowPunct w:val="0"/>
              <w:adjustRightInd w:val="0"/>
              <w:snapToGrid w:val="0"/>
              <w:spacing w:beforeLines="10" w:before="36" w:line="240" w:lineRule="exact"/>
              <w:ind w:right="17"/>
              <w:jc w:val="right"/>
              <w:rPr>
                <w:rFonts w:ascii="標楷體" w:hAnsi="標楷體"/>
                <w:noProof/>
                <w:sz w:val="20"/>
              </w:rPr>
            </w:pPr>
            <w:r w:rsidRPr="00DA0BFA">
              <w:rPr>
                <w:rFonts w:ascii="標楷體" w:hAnsi="標楷體" w:hint="eastAsia"/>
                <w:color w:val="000000"/>
                <w:sz w:val="20"/>
                <w:szCs w:val="20"/>
              </w:rPr>
              <w:t>9</w:t>
            </w:r>
          </w:p>
        </w:tc>
        <w:tc>
          <w:tcPr>
            <w:tcW w:w="985" w:type="dxa"/>
            <w:tcBorders>
              <w:top w:val="single" w:sz="4" w:space="0" w:color="auto"/>
              <w:left w:val="single" w:sz="4" w:space="0" w:color="auto"/>
              <w:bottom w:val="single" w:sz="4" w:space="0" w:color="auto"/>
              <w:right w:val="single" w:sz="4" w:space="0" w:color="auto"/>
            </w:tcBorders>
            <w:vAlign w:val="center"/>
          </w:tcPr>
          <w:p w14:paraId="4B1B9275" w14:textId="62745375"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5</w:t>
            </w:r>
          </w:p>
        </w:tc>
        <w:tc>
          <w:tcPr>
            <w:tcW w:w="925" w:type="dxa"/>
            <w:tcBorders>
              <w:top w:val="single" w:sz="4" w:space="0" w:color="auto"/>
              <w:left w:val="single" w:sz="4" w:space="0" w:color="auto"/>
              <w:bottom w:val="single" w:sz="4" w:space="0" w:color="auto"/>
              <w:right w:val="single" w:sz="4" w:space="0" w:color="auto"/>
            </w:tcBorders>
            <w:vAlign w:val="center"/>
          </w:tcPr>
          <w:p w14:paraId="7BCE807F" w14:textId="33563A5B" w:rsidR="005702B9" w:rsidRPr="00DA0BFA" w:rsidRDefault="005702B9" w:rsidP="001A67F7">
            <w:pPr>
              <w:overflowPunct w:val="0"/>
              <w:adjustRightInd w:val="0"/>
              <w:snapToGrid w:val="0"/>
              <w:spacing w:beforeLines="10" w:before="36" w:line="240" w:lineRule="exact"/>
              <w:ind w:right="17"/>
              <w:jc w:val="right"/>
              <w:rPr>
                <w:rFonts w:ascii="標楷體" w:hAnsi="標楷體"/>
                <w:noProof/>
                <w:sz w:val="20"/>
              </w:rPr>
            </w:pPr>
            <w:r w:rsidRPr="00DA0BFA">
              <w:rPr>
                <w:rFonts w:ascii="標楷體" w:hAnsi="標楷體" w:hint="eastAsia"/>
                <w:noProof/>
                <w:sz w:val="20"/>
              </w:rPr>
              <w:t>－</w:t>
            </w:r>
          </w:p>
        </w:tc>
        <w:tc>
          <w:tcPr>
            <w:tcW w:w="1045" w:type="dxa"/>
            <w:tcBorders>
              <w:top w:val="single" w:sz="4" w:space="0" w:color="auto"/>
              <w:left w:val="single" w:sz="4" w:space="0" w:color="auto"/>
              <w:bottom w:val="single" w:sz="4" w:space="0" w:color="auto"/>
              <w:right w:val="single" w:sz="4" w:space="0" w:color="auto"/>
            </w:tcBorders>
            <w:vAlign w:val="center"/>
          </w:tcPr>
          <w:p w14:paraId="3C247ADA" w14:textId="48E1C107"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4</w:t>
            </w:r>
          </w:p>
        </w:tc>
      </w:tr>
      <w:tr w:rsidR="005702B9" w:rsidRPr="00DA77BA" w14:paraId="446A66E3" w14:textId="77777777" w:rsidTr="002F6E09">
        <w:trPr>
          <w:cantSplit/>
          <w:trHeight w:val="550"/>
          <w:tblHeader/>
        </w:trPr>
        <w:tc>
          <w:tcPr>
            <w:tcW w:w="1955" w:type="dxa"/>
            <w:tcBorders>
              <w:top w:val="single" w:sz="4" w:space="0" w:color="auto"/>
              <w:bottom w:val="single" w:sz="4" w:space="0" w:color="auto"/>
              <w:right w:val="single" w:sz="4" w:space="0" w:color="auto"/>
            </w:tcBorders>
            <w:vAlign w:val="center"/>
          </w:tcPr>
          <w:p w14:paraId="69953FBB" w14:textId="77777777" w:rsidR="005702B9" w:rsidRPr="00546341" w:rsidRDefault="005702B9" w:rsidP="005702B9">
            <w:pPr>
              <w:overflowPunct w:val="0"/>
              <w:adjustRightInd w:val="0"/>
              <w:snapToGrid w:val="0"/>
              <w:spacing w:beforeLines="10" w:before="36" w:line="240" w:lineRule="exact"/>
              <w:ind w:rightChars="19" w:right="46"/>
              <w:jc w:val="distribute"/>
              <w:rPr>
                <w:rFonts w:ascii="標楷體" w:hAnsi="標楷體"/>
                <w:noProof/>
                <w:spacing w:val="-26"/>
                <w:sz w:val="20"/>
              </w:rPr>
            </w:pPr>
            <w:r w:rsidRPr="00546341">
              <w:rPr>
                <w:rFonts w:ascii="標楷體" w:hAnsi="標楷體" w:hint="eastAsia"/>
                <w:noProof/>
                <w:spacing w:val="-26"/>
                <w:sz w:val="20"/>
              </w:rPr>
              <w:t>行政法人</w:t>
            </w:r>
          </w:p>
        </w:tc>
        <w:tc>
          <w:tcPr>
            <w:tcW w:w="800" w:type="dxa"/>
            <w:tcBorders>
              <w:top w:val="single" w:sz="4" w:space="0" w:color="auto"/>
              <w:left w:val="single" w:sz="4" w:space="0" w:color="auto"/>
              <w:bottom w:val="single" w:sz="4" w:space="0" w:color="auto"/>
              <w:right w:val="single" w:sz="4" w:space="0" w:color="auto"/>
            </w:tcBorders>
            <w:vAlign w:val="center"/>
          </w:tcPr>
          <w:p w14:paraId="1DBAE2B2" w14:textId="650F00FE"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23</w:t>
            </w:r>
          </w:p>
        </w:tc>
        <w:tc>
          <w:tcPr>
            <w:tcW w:w="616" w:type="dxa"/>
            <w:tcBorders>
              <w:top w:val="single" w:sz="4" w:space="0" w:color="auto"/>
              <w:left w:val="single" w:sz="4" w:space="0" w:color="auto"/>
              <w:bottom w:val="single" w:sz="4" w:space="0" w:color="auto"/>
              <w:right w:val="single" w:sz="4" w:space="0" w:color="auto"/>
            </w:tcBorders>
            <w:vAlign w:val="center"/>
          </w:tcPr>
          <w:p w14:paraId="25978083" w14:textId="7AD34102"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3</w:t>
            </w:r>
          </w:p>
        </w:tc>
        <w:tc>
          <w:tcPr>
            <w:tcW w:w="616" w:type="dxa"/>
            <w:tcBorders>
              <w:top w:val="single" w:sz="4" w:space="0" w:color="auto"/>
              <w:left w:val="single" w:sz="4" w:space="0" w:color="auto"/>
              <w:bottom w:val="single" w:sz="4" w:space="0" w:color="auto"/>
              <w:right w:val="single" w:sz="4" w:space="0" w:color="auto"/>
            </w:tcBorders>
            <w:vAlign w:val="center"/>
          </w:tcPr>
          <w:p w14:paraId="4029DDC2" w14:textId="4EC919F7"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11</w:t>
            </w:r>
          </w:p>
        </w:tc>
        <w:tc>
          <w:tcPr>
            <w:tcW w:w="616" w:type="dxa"/>
            <w:tcBorders>
              <w:top w:val="single" w:sz="4" w:space="0" w:color="auto"/>
              <w:left w:val="single" w:sz="4" w:space="0" w:color="auto"/>
              <w:bottom w:val="single" w:sz="4" w:space="0" w:color="auto"/>
              <w:right w:val="single" w:sz="4" w:space="0" w:color="auto"/>
            </w:tcBorders>
            <w:vAlign w:val="center"/>
          </w:tcPr>
          <w:p w14:paraId="212D2FD9" w14:textId="5E4AB27E"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2</w:t>
            </w:r>
          </w:p>
        </w:tc>
        <w:tc>
          <w:tcPr>
            <w:tcW w:w="616" w:type="dxa"/>
            <w:tcBorders>
              <w:top w:val="single" w:sz="4" w:space="0" w:color="auto"/>
              <w:left w:val="single" w:sz="4" w:space="0" w:color="auto"/>
              <w:bottom w:val="single" w:sz="4" w:space="0" w:color="auto"/>
              <w:right w:val="single" w:sz="4" w:space="0" w:color="auto"/>
            </w:tcBorders>
            <w:vAlign w:val="center"/>
          </w:tcPr>
          <w:p w14:paraId="5D915F89" w14:textId="5E2826E3"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noProof/>
                <w:sz w:val="20"/>
              </w:rPr>
              <w:t>－</w:t>
            </w:r>
          </w:p>
        </w:tc>
        <w:tc>
          <w:tcPr>
            <w:tcW w:w="616" w:type="dxa"/>
            <w:tcBorders>
              <w:top w:val="single" w:sz="4" w:space="0" w:color="auto"/>
              <w:left w:val="single" w:sz="4" w:space="0" w:color="auto"/>
              <w:bottom w:val="single" w:sz="4" w:space="0" w:color="auto"/>
              <w:right w:val="single" w:sz="4" w:space="0" w:color="auto"/>
            </w:tcBorders>
            <w:vAlign w:val="center"/>
          </w:tcPr>
          <w:p w14:paraId="2D0B0474" w14:textId="3EFE43A6"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5</w:t>
            </w:r>
          </w:p>
        </w:tc>
        <w:tc>
          <w:tcPr>
            <w:tcW w:w="616" w:type="dxa"/>
            <w:tcBorders>
              <w:top w:val="single" w:sz="4" w:space="0" w:color="auto"/>
              <w:left w:val="single" w:sz="4" w:space="0" w:color="auto"/>
              <w:bottom w:val="single" w:sz="4" w:space="0" w:color="auto"/>
              <w:right w:val="single" w:sz="4" w:space="0" w:color="auto"/>
            </w:tcBorders>
            <w:vAlign w:val="center"/>
          </w:tcPr>
          <w:p w14:paraId="1AB6AF62" w14:textId="3B1ACE83"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2</w:t>
            </w:r>
          </w:p>
        </w:tc>
        <w:tc>
          <w:tcPr>
            <w:tcW w:w="800" w:type="dxa"/>
            <w:tcBorders>
              <w:top w:val="single" w:sz="4" w:space="0" w:color="auto"/>
              <w:left w:val="single" w:sz="4" w:space="0" w:color="auto"/>
              <w:bottom w:val="single" w:sz="4" w:space="0" w:color="auto"/>
              <w:right w:val="single" w:sz="4" w:space="0" w:color="auto"/>
            </w:tcBorders>
            <w:vAlign w:val="center"/>
          </w:tcPr>
          <w:p w14:paraId="6D7302E3" w14:textId="2A3CD26E" w:rsidR="005702B9" w:rsidRPr="00DA0BFA" w:rsidRDefault="005702B9" w:rsidP="001A67F7">
            <w:pPr>
              <w:overflowPunct w:val="0"/>
              <w:adjustRightInd w:val="0"/>
              <w:snapToGrid w:val="0"/>
              <w:spacing w:beforeLines="10" w:before="36" w:line="240" w:lineRule="exact"/>
              <w:ind w:right="17"/>
              <w:jc w:val="right"/>
              <w:rPr>
                <w:rFonts w:ascii="標楷體" w:hAnsi="標楷體"/>
                <w:noProof/>
                <w:sz w:val="20"/>
              </w:rPr>
            </w:pPr>
            <w:r w:rsidRPr="00DA0BFA">
              <w:rPr>
                <w:rFonts w:ascii="標楷體" w:hAnsi="標楷體" w:hint="eastAsia"/>
                <w:color w:val="000000"/>
                <w:sz w:val="20"/>
                <w:szCs w:val="20"/>
              </w:rPr>
              <w:t>25</w:t>
            </w:r>
          </w:p>
        </w:tc>
        <w:tc>
          <w:tcPr>
            <w:tcW w:w="985" w:type="dxa"/>
            <w:tcBorders>
              <w:top w:val="single" w:sz="4" w:space="0" w:color="auto"/>
              <w:left w:val="single" w:sz="4" w:space="0" w:color="auto"/>
              <w:bottom w:val="single" w:sz="4" w:space="0" w:color="auto"/>
              <w:right w:val="single" w:sz="4" w:space="0" w:color="auto"/>
            </w:tcBorders>
            <w:vAlign w:val="center"/>
          </w:tcPr>
          <w:p w14:paraId="7042B8D2" w14:textId="0CD21D71"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4</w:t>
            </w:r>
          </w:p>
        </w:tc>
        <w:tc>
          <w:tcPr>
            <w:tcW w:w="925" w:type="dxa"/>
            <w:tcBorders>
              <w:top w:val="single" w:sz="4" w:space="0" w:color="auto"/>
              <w:left w:val="single" w:sz="4" w:space="0" w:color="auto"/>
              <w:bottom w:val="single" w:sz="4" w:space="0" w:color="auto"/>
              <w:right w:val="single" w:sz="4" w:space="0" w:color="auto"/>
            </w:tcBorders>
            <w:vAlign w:val="center"/>
          </w:tcPr>
          <w:p w14:paraId="4AB941F4" w14:textId="1ED5E993" w:rsidR="005702B9" w:rsidRPr="00DA0BFA" w:rsidRDefault="005702B9" w:rsidP="001A67F7">
            <w:pPr>
              <w:overflowPunct w:val="0"/>
              <w:adjustRightInd w:val="0"/>
              <w:snapToGrid w:val="0"/>
              <w:spacing w:beforeLines="10" w:before="36" w:line="240" w:lineRule="exact"/>
              <w:ind w:right="17"/>
              <w:jc w:val="right"/>
              <w:rPr>
                <w:rFonts w:ascii="標楷體" w:hAnsi="標楷體"/>
                <w:noProof/>
                <w:sz w:val="20"/>
              </w:rPr>
            </w:pPr>
            <w:r w:rsidRPr="00DA0BFA">
              <w:rPr>
                <w:rFonts w:ascii="標楷體" w:hAnsi="標楷體" w:hint="eastAsia"/>
                <w:noProof/>
                <w:sz w:val="20"/>
              </w:rPr>
              <w:t>－</w:t>
            </w:r>
          </w:p>
        </w:tc>
        <w:tc>
          <w:tcPr>
            <w:tcW w:w="1045" w:type="dxa"/>
            <w:tcBorders>
              <w:top w:val="single" w:sz="4" w:space="0" w:color="auto"/>
              <w:left w:val="single" w:sz="4" w:space="0" w:color="auto"/>
              <w:bottom w:val="single" w:sz="4" w:space="0" w:color="auto"/>
              <w:right w:val="single" w:sz="4" w:space="0" w:color="auto"/>
            </w:tcBorders>
            <w:vAlign w:val="center"/>
          </w:tcPr>
          <w:p w14:paraId="40241C9C" w14:textId="47853F6B" w:rsidR="005702B9" w:rsidRPr="00DA0BFA" w:rsidRDefault="005702B9" w:rsidP="001A67F7">
            <w:pPr>
              <w:overflowPunct w:val="0"/>
              <w:adjustRightInd w:val="0"/>
              <w:snapToGrid w:val="0"/>
              <w:spacing w:beforeLines="10" w:before="36" w:line="240" w:lineRule="exact"/>
              <w:ind w:rightChars="17" w:right="41"/>
              <w:jc w:val="right"/>
              <w:rPr>
                <w:rFonts w:ascii="標楷體" w:hAnsi="標楷體"/>
                <w:noProof/>
                <w:sz w:val="20"/>
              </w:rPr>
            </w:pPr>
            <w:r w:rsidRPr="00DA0BFA">
              <w:rPr>
                <w:rFonts w:ascii="標楷體" w:hAnsi="標楷體" w:hint="eastAsia"/>
                <w:color w:val="000000"/>
                <w:sz w:val="20"/>
                <w:szCs w:val="20"/>
              </w:rPr>
              <w:t>2</w:t>
            </w:r>
            <w:r w:rsidRPr="00DA0BFA">
              <w:rPr>
                <w:rFonts w:ascii="標楷體" w:hAnsi="標楷體"/>
                <w:color w:val="000000"/>
                <w:sz w:val="20"/>
                <w:szCs w:val="20"/>
              </w:rPr>
              <w:t>1</w:t>
            </w:r>
          </w:p>
        </w:tc>
      </w:tr>
      <w:tr w:rsidR="00684FEA" w:rsidRPr="00DA77BA" w14:paraId="312E5ED1" w14:textId="77777777" w:rsidTr="002F6E09">
        <w:trPr>
          <w:cantSplit/>
          <w:trHeight w:val="1247"/>
          <w:tblHeader/>
        </w:trPr>
        <w:tc>
          <w:tcPr>
            <w:tcW w:w="10206" w:type="dxa"/>
            <w:gridSpan w:val="12"/>
            <w:tcBorders>
              <w:top w:val="single" w:sz="4" w:space="0" w:color="auto"/>
              <w:left w:val="nil"/>
              <w:bottom w:val="nil"/>
              <w:right w:val="nil"/>
            </w:tcBorders>
            <w:vAlign w:val="center"/>
          </w:tcPr>
          <w:p w14:paraId="40F9E09E" w14:textId="77777777" w:rsidR="00684FEA" w:rsidRPr="00546341" w:rsidRDefault="00684FEA" w:rsidP="000B46F8">
            <w:pPr>
              <w:overflowPunct w:val="0"/>
              <w:adjustRightInd w:val="0"/>
              <w:snapToGrid w:val="0"/>
              <w:spacing w:beforeLines="10" w:before="36" w:line="220" w:lineRule="exact"/>
              <w:ind w:left="554" w:right="11" w:hangingChars="308" w:hanging="554"/>
              <w:jc w:val="both"/>
              <w:rPr>
                <w:rFonts w:ascii="標楷體" w:hAnsi="標楷體"/>
                <w:sz w:val="18"/>
                <w:szCs w:val="18"/>
              </w:rPr>
            </w:pPr>
            <w:r w:rsidRPr="00546341">
              <w:rPr>
                <w:rFonts w:ascii="標楷體" w:hAnsi="標楷體" w:hint="eastAsia"/>
                <w:sz w:val="18"/>
                <w:szCs w:val="18"/>
              </w:rPr>
              <w:t>註：1.分類：（1）對於內部稽（審）核之實施提出意見者；（2）對於計畫之實施及預算之執行提出意見者；（3）對於財務（物）之管理、運用提出意見者；（4）對於產銷營運管理提出意見者；（5）對於採購作業提出意見者；（6）對於事務管理及其他事項提出意見者。</w:t>
            </w:r>
          </w:p>
          <w:p w14:paraId="4D2AD22F" w14:textId="77777777" w:rsidR="00684FEA" w:rsidRPr="00546341" w:rsidRDefault="00684FEA" w:rsidP="000B46F8">
            <w:pPr>
              <w:overflowPunct w:val="0"/>
              <w:adjustRightInd w:val="0"/>
              <w:snapToGrid w:val="0"/>
              <w:spacing w:beforeLines="10" w:before="36" w:line="220" w:lineRule="exact"/>
              <w:ind w:leftChars="148" w:left="549" w:right="11" w:hangingChars="108" w:hanging="194"/>
              <w:jc w:val="both"/>
              <w:rPr>
                <w:rFonts w:ascii="標楷體" w:hAnsi="標楷體"/>
                <w:sz w:val="18"/>
                <w:szCs w:val="18"/>
              </w:rPr>
            </w:pPr>
            <w:r w:rsidRPr="00546341">
              <w:rPr>
                <w:rFonts w:ascii="標楷體" w:hAnsi="標楷體" w:hint="eastAsia"/>
                <w:sz w:val="18"/>
                <w:szCs w:val="18"/>
              </w:rPr>
              <w:t>2.係機關已研謀改善或依改善措施持續辦理。</w:t>
            </w:r>
          </w:p>
          <w:p w14:paraId="4574E97E" w14:textId="67FA3DB1" w:rsidR="00684FEA" w:rsidRPr="00546341" w:rsidRDefault="00684FEA" w:rsidP="00E155A8">
            <w:pPr>
              <w:overflowPunct w:val="0"/>
              <w:adjustRightInd w:val="0"/>
              <w:snapToGrid w:val="0"/>
              <w:spacing w:beforeLines="10" w:before="36" w:line="220" w:lineRule="exact"/>
              <w:ind w:leftChars="148" w:left="549" w:right="11" w:hangingChars="108" w:hanging="194"/>
              <w:jc w:val="both"/>
              <w:rPr>
                <w:rFonts w:ascii="標楷體" w:hAnsi="標楷體"/>
                <w:sz w:val="18"/>
                <w:szCs w:val="18"/>
              </w:rPr>
            </w:pPr>
            <w:r w:rsidRPr="00546341">
              <w:rPr>
                <w:rFonts w:ascii="標楷體" w:hAnsi="標楷體" w:hint="eastAsia"/>
                <w:sz w:val="18"/>
                <w:szCs w:val="18"/>
              </w:rPr>
              <w:t>3.國營事業整體性建議意見，係於「甲、陸、決算審核綜合成果」揭露。</w:t>
            </w:r>
          </w:p>
        </w:tc>
      </w:tr>
    </w:tbl>
    <w:p w14:paraId="782692BB" w14:textId="6B5583A7" w:rsidR="0016264F" w:rsidRDefault="0016264F" w:rsidP="008F2392">
      <w:pPr>
        <w:widowControl/>
        <w:overflowPunct w:val="0"/>
        <w:spacing w:line="20" w:lineRule="exact"/>
        <w:rPr>
          <w:rFonts w:ascii="標楷體" w:hAnsi="標楷體"/>
          <w:b/>
          <w:color w:val="000000" w:themeColor="text1"/>
          <w:sz w:val="40"/>
          <w:szCs w:val="40"/>
        </w:rPr>
      </w:pPr>
    </w:p>
    <w:p w14:paraId="4AA89388" w14:textId="4030979B" w:rsidR="007D2667" w:rsidRDefault="007D2667" w:rsidP="008F2392">
      <w:pPr>
        <w:widowControl/>
        <w:overflowPunct w:val="0"/>
        <w:spacing w:line="20" w:lineRule="exact"/>
        <w:rPr>
          <w:rFonts w:ascii="標楷體" w:hAnsi="標楷體"/>
          <w:b/>
          <w:color w:val="000000" w:themeColor="text1"/>
          <w:sz w:val="40"/>
          <w:szCs w:val="40"/>
        </w:rPr>
      </w:pPr>
    </w:p>
    <w:p w14:paraId="2334EEED" w14:textId="77777777" w:rsidR="007D2667" w:rsidRPr="005B7044" w:rsidRDefault="007D2667" w:rsidP="008F2392">
      <w:pPr>
        <w:widowControl/>
        <w:overflowPunct w:val="0"/>
        <w:spacing w:line="20" w:lineRule="exact"/>
        <w:rPr>
          <w:rFonts w:ascii="標楷體" w:hAnsi="標楷體"/>
          <w:b/>
          <w:color w:val="000000" w:themeColor="text1"/>
          <w:sz w:val="40"/>
          <w:szCs w:val="40"/>
        </w:rPr>
      </w:pPr>
    </w:p>
    <w:sectPr w:rsidR="007D2667" w:rsidRPr="005B7044" w:rsidSect="00517C0F">
      <w:footerReference w:type="default" r:id="rId15"/>
      <w:pgSz w:w="11906" w:h="16838" w:code="9"/>
      <w:pgMar w:top="1418" w:right="851" w:bottom="1418" w:left="851" w:header="1021" w:footer="737" w:gutter="0"/>
      <w:pgNumType w:start="1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E7DE6" w14:textId="77777777" w:rsidR="007733E0" w:rsidRDefault="007733E0" w:rsidP="00087D33">
      <w:r>
        <w:separator/>
      </w:r>
    </w:p>
  </w:endnote>
  <w:endnote w:type="continuationSeparator" w:id="0">
    <w:p w14:paraId="73505198" w14:textId="77777777" w:rsidR="007733E0" w:rsidRDefault="007733E0" w:rsidP="00087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稈...">
    <w:altName w:val="新細明體"/>
    <w:panose1 w:val="00000000000000000000"/>
    <w:charset w:val="88"/>
    <w:family w:val="roman"/>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1523483"/>
      <w:docPartObj>
        <w:docPartGallery w:val="Page Numbers (Bottom of Page)"/>
        <w:docPartUnique/>
      </w:docPartObj>
    </w:sdtPr>
    <w:sdtEndPr>
      <w:rPr>
        <w:rFonts w:ascii="標楷體" w:hAnsi="標楷體"/>
      </w:rPr>
    </w:sdtEndPr>
    <w:sdtContent>
      <w:p w14:paraId="6866D753" w14:textId="77777777" w:rsidR="00CD7119" w:rsidRPr="00FC75AC" w:rsidRDefault="00CD7119" w:rsidP="00FC75AC">
        <w:pPr>
          <w:pStyle w:val="a7"/>
          <w:jc w:val="center"/>
          <w:rPr>
            <w:rFonts w:ascii="標楷體" w:hAnsi="標楷體"/>
          </w:rPr>
        </w:pPr>
        <w:r w:rsidRPr="00FC75AC">
          <w:rPr>
            <w:rFonts w:ascii="標楷體" w:hAnsi="標楷體" w:hint="eastAsia"/>
          </w:rPr>
          <w:t>甲</w:t>
        </w:r>
        <w:r w:rsidRPr="003910CD">
          <w:rPr>
            <w:rFonts w:ascii="標楷體" w:hAnsi="標楷體" w:hint="eastAsia"/>
            <w:bCs/>
          </w:rPr>
          <w:t>－</w:t>
        </w:r>
        <w:r w:rsidRPr="00FC75AC">
          <w:rPr>
            <w:rFonts w:ascii="標楷體" w:hAnsi="標楷體"/>
          </w:rPr>
          <w:fldChar w:fldCharType="begin"/>
        </w:r>
        <w:r w:rsidRPr="00FC75AC">
          <w:rPr>
            <w:rFonts w:ascii="標楷體" w:hAnsi="標楷體"/>
          </w:rPr>
          <w:instrText xml:space="preserve"> PAGE  \* Arabic  \* MERGEFORMAT </w:instrText>
        </w:r>
        <w:r w:rsidRPr="00FC75AC">
          <w:rPr>
            <w:rFonts w:ascii="標楷體" w:hAnsi="標楷體"/>
          </w:rPr>
          <w:fldChar w:fldCharType="separate"/>
        </w:r>
        <w:r>
          <w:rPr>
            <w:rFonts w:ascii="標楷體" w:hAnsi="標楷體"/>
            <w:noProof/>
          </w:rPr>
          <w:t>18</w:t>
        </w:r>
        <w:r w:rsidRPr="00FC75AC">
          <w:rPr>
            <w:rFonts w:ascii="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67FFA" w14:textId="77777777" w:rsidR="007733E0" w:rsidRDefault="007733E0" w:rsidP="00087D33">
      <w:r>
        <w:separator/>
      </w:r>
    </w:p>
  </w:footnote>
  <w:footnote w:type="continuationSeparator" w:id="0">
    <w:p w14:paraId="071973F1" w14:textId="77777777" w:rsidR="007733E0" w:rsidRDefault="007733E0" w:rsidP="00087D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72F5B"/>
    <w:multiLevelType w:val="hybridMultilevel"/>
    <w:tmpl w:val="4BDC9EBC"/>
    <w:lvl w:ilvl="0" w:tplc="0D1EA388">
      <w:start w:val="4"/>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7E45E14"/>
    <w:multiLevelType w:val="hybridMultilevel"/>
    <w:tmpl w:val="EBA81DCA"/>
    <w:lvl w:ilvl="0" w:tplc="E92AB67C">
      <w:start w:val="1"/>
      <w:numFmt w:val="ideographTraditional"/>
      <w:suff w:val="nothing"/>
      <w:lvlText w:val="%1、"/>
      <w:lvlJc w:val="left"/>
      <w:pPr>
        <w:ind w:left="480" w:hanging="480"/>
      </w:pPr>
      <w:rPr>
        <w:rFonts w:hint="default"/>
      </w:rPr>
    </w:lvl>
    <w:lvl w:ilvl="1" w:tplc="01AEE050">
      <w:start w:val="1"/>
      <w:numFmt w:val="ideographLegalTraditional"/>
      <w:suff w:val="nothing"/>
      <w:lvlText w:val="%2、"/>
      <w:lvlJc w:val="left"/>
      <w:pPr>
        <w:ind w:left="1200" w:hanging="720"/>
      </w:pPr>
      <w:rPr>
        <w:rFonts w:hint="default"/>
      </w:rPr>
    </w:lvl>
    <w:lvl w:ilvl="2" w:tplc="4E2C3D48">
      <w:start w:val="4"/>
      <w:numFmt w:val="ideographTraditional"/>
      <w:lvlText w:val="%3、"/>
      <w:lvlJc w:val="left"/>
      <w:pPr>
        <w:ind w:left="1680" w:hanging="72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A645118"/>
    <w:multiLevelType w:val="hybridMultilevel"/>
    <w:tmpl w:val="FE8491BA"/>
    <w:lvl w:ilvl="0" w:tplc="2F50855A">
      <w:start w:val="1"/>
      <w:numFmt w:val="taiwaneseCountingThousand"/>
      <w:lvlText w:val="%1、"/>
      <w:lvlJc w:val="left"/>
      <w:pPr>
        <w:ind w:left="1361" w:hanging="720"/>
      </w:pPr>
      <w:rPr>
        <w:rFonts w:hint="default"/>
        <w:b/>
        <w:sz w:val="32"/>
        <w:szCs w:val="32"/>
      </w:rPr>
    </w:lvl>
    <w:lvl w:ilvl="1" w:tplc="3C248C34">
      <w:start w:val="1"/>
      <w:numFmt w:val="taiwaneseCountingThousand"/>
      <w:lvlText w:val="(%2)"/>
      <w:lvlJc w:val="left"/>
      <w:pPr>
        <w:ind w:left="1841" w:hanging="720"/>
      </w:pPr>
      <w:rPr>
        <w:rFonts w:hint="default"/>
        <w:b/>
        <w:sz w:val="32"/>
        <w:szCs w:val="32"/>
      </w:r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 w15:restartNumberingAfterBreak="0">
    <w:nsid w:val="0AA46F07"/>
    <w:multiLevelType w:val="hybridMultilevel"/>
    <w:tmpl w:val="1C762E6C"/>
    <w:lvl w:ilvl="0" w:tplc="79B0B5EE">
      <w:start w:val="1"/>
      <w:numFmt w:val="ideographTraditional"/>
      <w:lvlText w:val="%1、"/>
      <w:lvlJc w:val="left"/>
      <w:pPr>
        <w:tabs>
          <w:tab w:val="num" w:pos="810"/>
        </w:tabs>
        <w:ind w:left="810" w:hanging="810"/>
      </w:pPr>
      <w:rPr>
        <w:sz w:val="40"/>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4" w15:restartNumberingAfterBreak="0">
    <w:nsid w:val="0F642216"/>
    <w:multiLevelType w:val="hybridMultilevel"/>
    <w:tmpl w:val="07968530"/>
    <w:lvl w:ilvl="0" w:tplc="01AEE050">
      <w:start w:val="1"/>
      <w:numFmt w:val="ideographLegalTraditional"/>
      <w:lvlText w:val="%1、"/>
      <w:lvlJc w:val="left"/>
      <w:pPr>
        <w:ind w:left="480" w:hanging="480"/>
      </w:pPr>
      <w:rPr>
        <w:rFonts w:hint="default"/>
      </w:rPr>
    </w:lvl>
    <w:lvl w:ilvl="1" w:tplc="267A9C0C">
      <w:start w:val="1"/>
      <w:numFmt w:val="ideographLegalTraditional"/>
      <w:suff w:val="nothing"/>
      <w:lvlText w:val="%2、"/>
      <w:lvlJc w:val="left"/>
      <w:pPr>
        <w:ind w:left="960" w:hanging="480"/>
      </w:pPr>
      <w:rPr>
        <w:rFonts w:hint="default"/>
        <w:b/>
        <w:color w:val="auto"/>
        <w:sz w:val="32"/>
        <w:szCs w:val="32"/>
      </w:rPr>
    </w:lvl>
    <w:lvl w:ilvl="2" w:tplc="01E401B6">
      <w:start w:val="1"/>
      <w:numFmt w:val="taiwaneseCountingThousand"/>
      <w:suff w:val="nothing"/>
      <w:lvlText w:val="（%3）"/>
      <w:lvlJc w:val="left"/>
      <w:pPr>
        <w:ind w:left="2040" w:hanging="10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B45FB7"/>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327DB7"/>
    <w:multiLevelType w:val="hybridMultilevel"/>
    <w:tmpl w:val="6302BBEE"/>
    <w:lvl w:ilvl="0" w:tplc="38BA9BC0">
      <w:start w:val="1"/>
      <w:numFmt w:val="taiwaneseCountingThousand"/>
      <w:lvlText w:val="%1、"/>
      <w:lvlJc w:val="left"/>
      <w:pPr>
        <w:ind w:left="1466" w:hanging="756"/>
      </w:pPr>
      <w:rPr>
        <w:rFonts w:hint="default"/>
        <w:b/>
        <w:color w:val="auto"/>
      </w:rPr>
    </w:lvl>
    <w:lvl w:ilvl="1" w:tplc="04090019" w:tentative="1">
      <w:start w:val="1"/>
      <w:numFmt w:val="ideographTraditional"/>
      <w:lvlText w:val="%2、"/>
      <w:lvlJc w:val="left"/>
      <w:pPr>
        <w:ind w:left="1670" w:hanging="480"/>
      </w:pPr>
    </w:lvl>
    <w:lvl w:ilvl="2" w:tplc="0409001B" w:tentative="1">
      <w:start w:val="1"/>
      <w:numFmt w:val="lowerRoman"/>
      <w:lvlText w:val="%3."/>
      <w:lvlJc w:val="right"/>
      <w:pPr>
        <w:ind w:left="2150" w:hanging="480"/>
      </w:p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abstractNum w:abstractNumId="7" w15:restartNumberingAfterBreak="0">
    <w:nsid w:val="200E6519"/>
    <w:multiLevelType w:val="hybridMultilevel"/>
    <w:tmpl w:val="3FC86546"/>
    <w:lvl w:ilvl="0" w:tplc="9F3AE5D0">
      <w:start w:val="1"/>
      <w:numFmt w:val="taiwaneseCountingThousand"/>
      <w:lvlText w:val="（%1）"/>
      <w:lvlJc w:val="left"/>
      <w:pPr>
        <w:ind w:left="1453" w:hanging="840"/>
      </w:pPr>
      <w:rPr>
        <w:rFonts w:ascii="標楷體" w:eastAsia="標楷體" w:hAnsi="標楷體" w:cstheme="minorBidi"/>
      </w:rPr>
    </w:lvl>
    <w:lvl w:ilvl="1" w:tplc="04090019" w:tentative="1">
      <w:start w:val="1"/>
      <w:numFmt w:val="ideographTraditional"/>
      <w:lvlText w:val="%2、"/>
      <w:lvlJc w:val="left"/>
      <w:pPr>
        <w:ind w:left="1573" w:hanging="480"/>
      </w:pPr>
    </w:lvl>
    <w:lvl w:ilvl="2" w:tplc="0409001B" w:tentative="1">
      <w:start w:val="1"/>
      <w:numFmt w:val="lowerRoman"/>
      <w:lvlText w:val="%3."/>
      <w:lvlJc w:val="right"/>
      <w:pPr>
        <w:ind w:left="2053" w:hanging="480"/>
      </w:pPr>
    </w:lvl>
    <w:lvl w:ilvl="3" w:tplc="0409000F" w:tentative="1">
      <w:start w:val="1"/>
      <w:numFmt w:val="decimal"/>
      <w:lvlText w:val="%4."/>
      <w:lvlJc w:val="left"/>
      <w:pPr>
        <w:ind w:left="2533" w:hanging="480"/>
      </w:pPr>
    </w:lvl>
    <w:lvl w:ilvl="4" w:tplc="04090019" w:tentative="1">
      <w:start w:val="1"/>
      <w:numFmt w:val="ideographTraditional"/>
      <w:lvlText w:val="%5、"/>
      <w:lvlJc w:val="left"/>
      <w:pPr>
        <w:ind w:left="3013" w:hanging="480"/>
      </w:pPr>
    </w:lvl>
    <w:lvl w:ilvl="5" w:tplc="0409001B" w:tentative="1">
      <w:start w:val="1"/>
      <w:numFmt w:val="lowerRoman"/>
      <w:lvlText w:val="%6."/>
      <w:lvlJc w:val="right"/>
      <w:pPr>
        <w:ind w:left="3493" w:hanging="480"/>
      </w:pPr>
    </w:lvl>
    <w:lvl w:ilvl="6" w:tplc="0409000F" w:tentative="1">
      <w:start w:val="1"/>
      <w:numFmt w:val="decimal"/>
      <w:lvlText w:val="%7."/>
      <w:lvlJc w:val="left"/>
      <w:pPr>
        <w:ind w:left="3973" w:hanging="480"/>
      </w:pPr>
    </w:lvl>
    <w:lvl w:ilvl="7" w:tplc="04090019" w:tentative="1">
      <w:start w:val="1"/>
      <w:numFmt w:val="ideographTraditional"/>
      <w:lvlText w:val="%8、"/>
      <w:lvlJc w:val="left"/>
      <w:pPr>
        <w:ind w:left="4453" w:hanging="480"/>
      </w:pPr>
    </w:lvl>
    <w:lvl w:ilvl="8" w:tplc="0409001B" w:tentative="1">
      <w:start w:val="1"/>
      <w:numFmt w:val="lowerRoman"/>
      <w:lvlText w:val="%9."/>
      <w:lvlJc w:val="right"/>
      <w:pPr>
        <w:ind w:left="4933" w:hanging="480"/>
      </w:pPr>
    </w:lvl>
  </w:abstractNum>
  <w:abstractNum w:abstractNumId="8" w15:restartNumberingAfterBreak="0">
    <w:nsid w:val="202D1E5A"/>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203F39A2"/>
    <w:multiLevelType w:val="hybridMultilevel"/>
    <w:tmpl w:val="228CAC4C"/>
    <w:lvl w:ilvl="0" w:tplc="7D580580">
      <w:start w:val="1"/>
      <w:numFmt w:val="ideographTraditional"/>
      <w:suff w:val="nothing"/>
      <w:lvlText w:val="%1、"/>
      <w:lvlJc w:val="left"/>
      <w:pPr>
        <w:ind w:left="480" w:hanging="480"/>
      </w:pPr>
      <w:rPr>
        <w:rFonts w:ascii="標楷體" w:eastAsia="標楷體" w:hAnsi="標楷體" w:cstheme="minorBidi"/>
        <w:lang w:val="en-US"/>
      </w:rPr>
    </w:lvl>
    <w:lvl w:ilvl="1" w:tplc="01AEE050">
      <w:start w:val="1"/>
      <w:numFmt w:val="ideographLegalTraditional"/>
      <w:suff w:val="nothing"/>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3A116F2"/>
    <w:multiLevelType w:val="hybridMultilevel"/>
    <w:tmpl w:val="FC725352"/>
    <w:lvl w:ilvl="0" w:tplc="5FCCAA7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6733CB2"/>
    <w:multiLevelType w:val="hybridMultilevel"/>
    <w:tmpl w:val="603064A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9EC042A"/>
    <w:multiLevelType w:val="hybridMultilevel"/>
    <w:tmpl w:val="C5DC245C"/>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FC263E2"/>
    <w:multiLevelType w:val="hybridMultilevel"/>
    <w:tmpl w:val="6DD05208"/>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2F773D1"/>
    <w:multiLevelType w:val="hybridMultilevel"/>
    <w:tmpl w:val="E25C9E40"/>
    <w:lvl w:ilvl="0" w:tplc="EB92CA7E">
      <w:start w:val="1"/>
      <w:numFmt w:val="ideographTraditional"/>
      <w:suff w:val="nothing"/>
      <w:lvlText w:val="%1、"/>
      <w:lvlJc w:val="left"/>
      <w:pPr>
        <w:ind w:left="480" w:hanging="480"/>
      </w:pPr>
      <w:rPr>
        <w:rFonts w:hint="default"/>
        <w:lang w:val="en-US"/>
      </w:rPr>
    </w:lvl>
    <w:lvl w:ilvl="1" w:tplc="937EB9A2">
      <w:start w:val="1"/>
      <w:numFmt w:val="ideographLegalTraditional"/>
      <w:suff w:val="nothing"/>
      <w:lvlText w:val="%2、"/>
      <w:lvlJc w:val="left"/>
      <w:pPr>
        <w:ind w:left="1200" w:hanging="720"/>
      </w:pPr>
      <w:rPr>
        <w:rFonts w:hint="default"/>
        <w:color w:val="FF0000"/>
        <w:u w:val="singl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436292C"/>
    <w:multiLevelType w:val="hybridMultilevel"/>
    <w:tmpl w:val="7456A658"/>
    <w:lvl w:ilvl="0" w:tplc="00A6176A">
      <w:start w:val="1"/>
      <w:numFmt w:val="ideographLegalTraditional"/>
      <w:suff w:val="nothing"/>
      <w:lvlText w:val="%1、"/>
      <w:lvlJc w:val="left"/>
      <w:pPr>
        <w:ind w:left="120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8543B4D"/>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8F37D25"/>
    <w:multiLevelType w:val="hybridMultilevel"/>
    <w:tmpl w:val="3154A872"/>
    <w:lvl w:ilvl="0" w:tplc="0BA07238">
      <w:start w:val="1"/>
      <w:numFmt w:val="decimal"/>
      <w:lvlText w:val="(%1)"/>
      <w:lvlJc w:val="left"/>
      <w:pPr>
        <w:ind w:left="1649" w:hanging="360"/>
      </w:pPr>
      <w:rPr>
        <w:rFonts w:ascii="標楷體" w:hAnsi="標楷體" w:hint="default"/>
      </w:rPr>
    </w:lvl>
    <w:lvl w:ilvl="1" w:tplc="04090019" w:tentative="1">
      <w:start w:val="1"/>
      <w:numFmt w:val="ideographTraditional"/>
      <w:lvlText w:val="%2、"/>
      <w:lvlJc w:val="left"/>
      <w:pPr>
        <w:ind w:left="2249" w:hanging="480"/>
      </w:pPr>
    </w:lvl>
    <w:lvl w:ilvl="2" w:tplc="0409001B" w:tentative="1">
      <w:start w:val="1"/>
      <w:numFmt w:val="lowerRoman"/>
      <w:lvlText w:val="%3."/>
      <w:lvlJc w:val="right"/>
      <w:pPr>
        <w:ind w:left="2729" w:hanging="480"/>
      </w:pPr>
    </w:lvl>
    <w:lvl w:ilvl="3" w:tplc="0409000F" w:tentative="1">
      <w:start w:val="1"/>
      <w:numFmt w:val="decimal"/>
      <w:lvlText w:val="%4."/>
      <w:lvlJc w:val="left"/>
      <w:pPr>
        <w:ind w:left="3209" w:hanging="480"/>
      </w:pPr>
    </w:lvl>
    <w:lvl w:ilvl="4" w:tplc="04090019" w:tentative="1">
      <w:start w:val="1"/>
      <w:numFmt w:val="ideographTraditional"/>
      <w:lvlText w:val="%5、"/>
      <w:lvlJc w:val="left"/>
      <w:pPr>
        <w:ind w:left="3689" w:hanging="480"/>
      </w:pPr>
    </w:lvl>
    <w:lvl w:ilvl="5" w:tplc="0409001B" w:tentative="1">
      <w:start w:val="1"/>
      <w:numFmt w:val="lowerRoman"/>
      <w:lvlText w:val="%6."/>
      <w:lvlJc w:val="right"/>
      <w:pPr>
        <w:ind w:left="4169" w:hanging="480"/>
      </w:pPr>
    </w:lvl>
    <w:lvl w:ilvl="6" w:tplc="0409000F" w:tentative="1">
      <w:start w:val="1"/>
      <w:numFmt w:val="decimal"/>
      <w:lvlText w:val="%7."/>
      <w:lvlJc w:val="left"/>
      <w:pPr>
        <w:ind w:left="4649" w:hanging="480"/>
      </w:pPr>
    </w:lvl>
    <w:lvl w:ilvl="7" w:tplc="04090019" w:tentative="1">
      <w:start w:val="1"/>
      <w:numFmt w:val="ideographTraditional"/>
      <w:lvlText w:val="%8、"/>
      <w:lvlJc w:val="left"/>
      <w:pPr>
        <w:ind w:left="5129" w:hanging="480"/>
      </w:pPr>
    </w:lvl>
    <w:lvl w:ilvl="8" w:tplc="0409001B" w:tentative="1">
      <w:start w:val="1"/>
      <w:numFmt w:val="lowerRoman"/>
      <w:lvlText w:val="%9."/>
      <w:lvlJc w:val="right"/>
      <w:pPr>
        <w:ind w:left="5609" w:hanging="480"/>
      </w:pPr>
    </w:lvl>
  </w:abstractNum>
  <w:abstractNum w:abstractNumId="18" w15:restartNumberingAfterBreak="0">
    <w:nsid w:val="399E2D25"/>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9A24CB8"/>
    <w:multiLevelType w:val="hybridMultilevel"/>
    <w:tmpl w:val="A6AA4CFE"/>
    <w:lvl w:ilvl="0" w:tplc="3312CB00">
      <w:start w:val="1"/>
      <w:numFmt w:val="ideographLegalTraditional"/>
      <w:suff w:val="nothing"/>
      <w:lvlText w:val="%1、"/>
      <w:lvlJc w:val="left"/>
      <w:pPr>
        <w:ind w:left="1200" w:hanging="720"/>
      </w:pPr>
      <w:rPr>
        <w:rFonts w:hint="default"/>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8C345B"/>
    <w:multiLevelType w:val="hybridMultilevel"/>
    <w:tmpl w:val="3850AE1C"/>
    <w:lvl w:ilvl="0" w:tplc="0744FB4E">
      <w:start w:val="1"/>
      <w:numFmt w:val="taiwaneseCountingThousand"/>
      <w:lvlText w:val="%1、"/>
      <w:lvlJc w:val="left"/>
      <w:pPr>
        <w:ind w:left="1318" w:hanging="720"/>
      </w:pPr>
      <w:rPr>
        <w:rFonts w:hint="default"/>
        <w:lang w:val="en-US"/>
      </w:rPr>
    </w:lvl>
    <w:lvl w:ilvl="1" w:tplc="04090019" w:tentative="1">
      <w:start w:val="1"/>
      <w:numFmt w:val="ideographTraditional"/>
      <w:lvlText w:val="%2、"/>
      <w:lvlJc w:val="left"/>
      <w:pPr>
        <w:ind w:left="1558" w:hanging="480"/>
      </w:pPr>
    </w:lvl>
    <w:lvl w:ilvl="2" w:tplc="0409001B" w:tentative="1">
      <w:start w:val="1"/>
      <w:numFmt w:val="lowerRoman"/>
      <w:lvlText w:val="%3."/>
      <w:lvlJc w:val="right"/>
      <w:pPr>
        <w:ind w:left="2038" w:hanging="480"/>
      </w:pPr>
    </w:lvl>
    <w:lvl w:ilvl="3" w:tplc="0409000F" w:tentative="1">
      <w:start w:val="1"/>
      <w:numFmt w:val="decimal"/>
      <w:lvlText w:val="%4."/>
      <w:lvlJc w:val="left"/>
      <w:pPr>
        <w:ind w:left="2518" w:hanging="480"/>
      </w:pPr>
    </w:lvl>
    <w:lvl w:ilvl="4" w:tplc="04090019" w:tentative="1">
      <w:start w:val="1"/>
      <w:numFmt w:val="ideographTraditional"/>
      <w:lvlText w:val="%5、"/>
      <w:lvlJc w:val="left"/>
      <w:pPr>
        <w:ind w:left="2998" w:hanging="480"/>
      </w:pPr>
    </w:lvl>
    <w:lvl w:ilvl="5" w:tplc="0409001B" w:tentative="1">
      <w:start w:val="1"/>
      <w:numFmt w:val="lowerRoman"/>
      <w:lvlText w:val="%6."/>
      <w:lvlJc w:val="right"/>
      <w:pPr>
        <w:ind w:left="3478" w:hanging="480"/>
      </w:pPr>
    </w:lvl>
    <w:lvl w:ilvl="6" w:tplc="0409000F" w:tentative="1">
      <w:start w:val="1"/>
      <w:numFmt w:val="decimal"/>
      <w:lvlText w:val="%7."/>
      <w:lvlJc w:val="left"/>
      <w:pPr>
        <w:ind w:left="3958" w:hanging="480"/>
      </w:pPr>
    </w:lvl>
    <w:lvl w:ilvl="7" w:tplc="04090019" w:tentative="1">
      <w:start w:val="1"/>
      <w:numFmt w:val="ideographTraditional"/>
      <w:lvlText w:val="%8、"/>
      <w:lvlJc w:val="left"/>
      <w:pPr>
        <w:ind w:left="4438" w:hanging="480"/>
      </w:pPr>
    </w:lvl>
    <w:lvl w:ilvl="8" w:tplc="0409001B" w:tentative="1">
      <w:start w:val="1"/>
      <w:numFmt w:val="lowerRoman"/>
      <w:lvlText w:val="%9."/>
      <w:lvlJc w:val="right"/>
      <w:pPr>
        <w:ind w:left="4918" w:hanging="480"/>
      </w:pPr>
    </w:lvl>
  </w:abstractNum>
  <w:abstractNum w:abstractNumId="21" w15:restartNumberingAfterBreak="0">
    <w:nsid w:val="3BA9760F"/>
    <w:multiLevelType w:val="hybridMultilevel"/>
    <w:tmpl w:val="3880D5A0"/>
    <w:lvl w:ilvl="0" w:tplc="698EDC5E">
      <w:start w:val="1"/>
      <w:numFmt w:val="taiwaneseCountingThousand"/>
      <w:lvlText w:val="%1、"/>
      <w:lvlJc w:val="left"/>
      <w:pPr>
        <w:ind w:left="1358" w:hanging="720"/>
      </w:pPr>
      <w:rPr>
        <w:rFonts w:cs="Times New Roman" w:hint="default"/>
      </w:rPr>
    </w:lvl>
    <w:lvl w:ilvl="1" w:tplc="04090019" w:tentative="1">
      <w:start w:val="1"/>
      <w:numFmt w:val="ideographTraditional"/>
      <w:lvlText w:val="%2、"/>
      <w:lvlJc w:val="left"/>
      <w:pPr>
        <w:ind w:left="1598" w:hanging="480"/>
      </w:pPr>
    </w:lvl>
    <w:lvl w:ilvl="2" w:tplc="0409001B" w:tentative="1">
      <w:start w:val="1"/>
      <w:numFmt w:val="lowerRoman"/>
      <w:lvlText w:val="%3."/>
      <w:lvlJc w:val="right"/>
      <w:pPr>
        <w:ind w:left="2078" w:hanging="480"/>
      </w:pPr>
    </w:lvl>
    <w:lvl w:ilvl="3" w:tplc="0409000F" w:tentative="1">
      <w:start w:val="1"/>
      <w:numFmt w:val="decimal"/>
      <w:lvlText w:val="%4."/>
      <w:lvlJc w:val="left"/>
      <w:pPr>
        <w:ind w:left="2558" w:hanging="480"/>
      </w:pPr>
    </w:lvl>
    <w:lvl w:ilvl="4" w:tplc="04090019" w:tentative="1">
      <w:start w:val="1"/>
      <w:numFmt w:val="ideographTraditional"/>
      <w:lvlText w:val="%5、"/>
      <w:lvlJc w:val="left"/>
      <w:pPr>
        <w:ind w:left="3038" w:hanging="480"/>
      </w:pPr>
    </w:lvl>
    <w:lvl w:ilvl="5" w:tplc="0409001B" w:tentative="1">
      <w:start w:val="1"/>
      <w:numFmt w:val="lowerRoman"/>
      <w:lvlText w:val="%6."/>
      <w:lvlJc w:val="right"/>
      <w:pPr>
        <w:ind w:left="3518" w:hanging="480"/>
      </w:pPr>
    </w:lvl>
    <w:lvl w:ilvl="6" w:tplc="0409000F" w:tentative="1">
      <w:start w:val="1"/>
      <w:numFmt w:val="decimal"/>
      <w:lvlText w:val="%7."/>
      <w:lvlJc w:val="left"/>
      <w:pPr>
        <w:ind w:left="3998" w:hanging="480"/>
      </w:pPr>
    </w:lvl>
    <w:lvl w:ilvl="7" w:tplc="04090019" w:tentative="1">
      <w:start w:val="1"/>
      <w:numFmt w:val="ideographTraditional"/>
      <w:lvlText w:val="%8、"/>
      <w:lvlJc w:val="left"/>
      <w:pPr>
        <w:ind w:left="4478" w:hanging="480"/>
      </w:pPr>
    </w:lvl>
    <w:lvl w:ilvl="8" w:tplc="0409001B" w:tentative="1">
      <w:start w:val="1"/>
      <w:numFmt w:val="lowerRoman"/>
      <w:lvlText w:val="%9."/>
      <w:lvlJc w:val="right"/>
      <w:pPr>
        <w:ind w:left="4958" w:hanging="480"/>
      </w:pPr>
    </w:lvl>
  </w:abstractNum>
  <w:abstractNum w:abstractNumId="22" w15:restartNumberingAfterBreak="0">
    <w:nsid w:val="3D7F6E5A"/>
    <w:multiLevelType w:val="hybridMultilevel"/>
    <w:tmpl w:val="51DA814E"/>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F83E45"/>
    <w:multiLevelType w:val="hybridMultilevel"/>
    <w:tmpl w:val="19DA0A90"/>
    <w:lvl w:ilvl="0" w:tplc="58B813EA">
      <w:start w:val="1"/>
      <w:numFmt w:val="taiwaneseCountingThousand"/>
      <w:lvlText w:val="（%1）"/>
      <w:lvlJc w:val="left"/>
      <w:pPr>
        <w:ind w:left="120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45157072"/>
    <w:multiLevelType w:val="hybridMultilevel"/>
    <w:tmpl w:val="4D74BCC8"/>
    <w:lvl w:ilvl="0" w:tplc="32BEF414">
      <w:start w:val="1"/>
      <w:numFmt w:val="taiwaneseCountingThousand"/>
      <w:lvlText w:val="（%1）"/>
      <w:lvlJc w:val="left"/>
      <w:pPr>
        <w:ind w:left="1788" w:hanging="850"/>
      </w:pPr>
      <w:rPr>
        <w:rFonts w:hint="default"/>
        <w:b/>
      </w:rPr>
    </w:lvl>
    <w:lvl w:ilvl="1" w:tplc="04090019" w:tentative="1">
      <w:start w:val="1"/>
      <w:numFmt w:val="ideographTraditional"/>
      <w:lvlText w:val="%2、"/>
      <w:lvlJc w:val="left"/>
      <w:pPr>
        <w:ind w:left="1898" w:hanging="480"/>
      </w:pPr>
    </w:lvl>
    <w:lvl w:ilvl="2" w:tplc="0409001B" w:tentative="1">
      <w:start w:val="1"/>
      <w:numFmt w:val="lowerRoman"/>
      <w:lvlText w:val="%3."/>
      <w:lvlJc w:val="right"/>
      <w:pPr>
        <w:ind w:left="2378" w:hanging="480"/>
      </w:pPr>
    </w:lvl>
    <w:lvl w:ilvl="3" w:tplc="0409000F" w:tentative="1">
      <w:start w:val="1"/>
      <w:numFmt w:val="decimal"/>
      <w:lvlText w:val="%4."/>
      <w:lvlJc w:val="left"/>
      <w:pPr>
        <w:ind w:left="2858" w:hanging="480"/>
      </w:pPr>
    </w:lvl>
    <w:lvl w:ilvl="4" w:tplc="04090019" w:tentative="1">
      <w:start w:val="1"/>
      <w:numFmt w:val="ideographTraditional"/>
      <w:lvlText w:val="%5、"/>
      <w:lvlJc w:val="left"/>
      <w:pPr>
        <w:ind w:left="3338" w:hanging="480"/>
      </w:pPr>
    </w:lvl>
    <w:lvl w:ilvl="5" w:tplc="0409001B" w:tentative="1">
      <w:start w:val="1"/>
      <w:numFmt w:val="lowerRoman"/>
      <w:lvlText w:val="%6."/>
      <w:lvlJc w:val="right"/>
      <w:pPr>
        <w:ind w:left="3818" w:hanging="480"/>
      </w:pPr>
    </w:lvl>
    <w:lvl w:ilvl="6" w:tplc="0409000F" w:tentative="1">
      <w:start w:val="1"/>
      <w:numFmt w:val="decimal"/>
      <w:lvlText w:val="%7."/>
      <w:lvlJc w:val="left"/>
      <w:pPr>
        <w:ind w:left="4298" w:hanging="480"/>
      </w:pPr>
    </w:lvl>
    <w:lvl w:ilvl="7" w:tplc="04090019" w:tentative="1">
      <w:start w:val="1"/>
      <w:numFmt w:val="ideographTraditional"/>
      <w:lvlText w:val="%8、"/>
      <w:lvlJc w:val="left"/>
      <w:pPr>
        <w:ind w:left="4778" w:hanging="480"/>
      </w:pPr>
    </w:lvl>
    <w:lvl w:ilvl="8" w:tplc="0409001B" w:tentative="1">
      <w:start w:val="1"/>
      <w:numFmt w:val="lowerRoman"/>
      <w:lvlText w:val="%9."/>
      <w:lvlJc w:val="right"/>
      <w:pPr>
        <w:ind w:left="5258" w:hanging="480"/>
      </w:pPr>
    </w:lvl>
  </w:abstractNum>
  <w:abstractNum w:abstractNumId="25" w15:restartNumberingAfterBreak="0">
    <w:nsid w:val="4A0C6DA6"/>
    <w:multiLevelType w:val="hybridMultilevel"/>
    <w:tmpl w:val="12B6286C"/>
    <w:lvl w:ilvl="0" w:tplc="F8B4C1FA">
      <w:start w:val="1"/>
      <w:numFmt w:val="taiwaneseCountingThousand"/>
      <w:lvlText w:val="%1、"/>
      <w:lvlJc w:val="left"/>
      <w:pPr>
        <w:ind w:left="1318" w:hanging="720"/>
      </w:pPr>
    </w:lvl>
    <w:lvl w:ilvl="1" w:tplc="04090019">
      <w:start w:val="1"/>
      <w:numFmt w:val="ideographTraditional"/>
      <w:lvlText w:val="%2、"/>
      <w:lvlJc w:val="left"/>
      <w:pPr>
        <w:ind w:left="1558" w:hanging="480"/>
      </w:pPr>
    </w:lvl>
    <w:lvl w:ilvl="2" w:tplc="0409001B">
      <w:start w:val="1"/>
      <w:numFmt w:val="lowerRoman"/>
      <w:lvlText w:val="%3."/>
      <w:lvlJc w:val="right"/>
      <w:pPr>
        <w:ind w:left="2038" w:hanging="480"/>
      </w:pPr>
    </w:lvl>
    <w:lvl w:ilvl="3" w:tplc="0409000F">
      <w:start w:val="1"/>
      <w:numFmt w:val="decimal"/>
      <w:lvlText w:val="%4."/>
      <w:lvlJc w:val="left"/>
      <w:pPr>
        <w:ind w:left="2518" w:hanging="480"/>
      </w:pPr>
    </w:lvl>
    <w:lvl w:ilvl="4" w:tplc="04090019">
      <w:start w:val="1"/>
      <w:numFmt w:val="ideographTraditional"/>
      <w:lvlText w:val="%5、"/>
      <w:lvlJc w:val="left"/>
      <w:pPr>
        <w:ind w:left="2998" w:hanging="480"/>
      </w:pPr>
    </w:lvl>
    <w:lvl w:ilvl="5" w:tplc="0409001B">
      <w:start w:val="1"/>
      <w:numFmt w:val="lowerRoman"/>
      <w:lvlText w:val="%6."/>
      <w:lvlJc w:val="right"/>
      <w:pPr>
        <w:ind w:left="3478" w:hanging="480"/>
      </w:pPr>
    </w:lvl>
    <w:lvl w:ilvl="6" w:tplc="0409000F">
      <w:start w:val="1"/>
      <w:numFmt w:val="decimal"/>
      <w:lvlText w:val="%7."/>
      <w:lvlJc w:val="left"/>
      <w:pPr>
        <w:ind w:left="3958" w:hanging="480"/>
      </w:pPr>
    </w:lvl>
    <w:lvl w:ilvl="7" w:tplc="04090019">
      <w:start w:val="1"/>
      <w:numFmt w:val="ideographTraditional"/>
      <w:lvlText w:val="%8、"/>
      <w:lvlJc w:val="left"/>
      <w:pPr>
        <w:ind w:left="4438" w:hanging="480"/>
      </w:pPr>
    </w:lvl>
    <w:lvl w:ilvl="8" w:tplc="0409001B">
      <w:start w:val="1"/>
      <w:numFmt w:val="lowerRoman"/>
      <w:lvlText w:val="%9."/>
      <w:lvlJc w:val="right"/>
      <w:pPr>
        <w:ind w:left="4918" w:hanging="480"/>
      </w:pPr>
    </w:lvl>
  </w:abstractNum>
  <w:abstractNum w:abstractNumId="26" w15:restartNumberingAfterBreak="0">
    <w:nsid w:val="4BC57BEF"/>
    <w:multiLevelType w:val="hybridMultilevel"/>
    <w:tmpl w:val="F70ACB40"/>
    <w:lvl w:ilvl="0" w:tplc="C2524A32">
      <w:start w:val="1"/>
      <w:numFmt w:val="decimal"/>
      <w:lvlText w:val="(%1)"/>
      <w:lvlJc w:val="left"/>
      <w:pPr>
        <w:ind w:left="1750" w:hanging="432"/>
      </w:pPr>
      <w:rPr>
        <w:rFonts w:hint="default"/>
        <w:b w:val="0"/>
      </w:rPr>
    </w:lvl>
    <w:lvl w:ilvl="1" w:tplc="04090019" w:tentative="1">
      <w:start w:val="1"/>
      <w:numFmt w:val="ideographTraditional"/>
      <w:lvlText w:val="%2、"/>
      <w:lvlJc w:val="left"/>
      <w:pPr>
        <w:ind w:left="2278" w:hanging="480"/>
      </w:pPr>
    </w:lvl>
    <w:lvl w:ilvl="2" w:tplc="0409001B" w:tentative="1">
      <w:start w:val="1"/>
      <w:numFmt w:val="lowerRoman"/>
      <w:lvlText w:val="%3."/>
      <w:lvlJc w:val="right"/>
      <w:pPr>
        <w:ind w:left="2758" w:hanging="480"/>
      </w:pPr>
    </w:lvl>
    <w:lvl w:ilvl="3" w:tplc="0409000F" w:tentative="1">
      <w:start w:val="1"/>
      <w:numFmt w:val="decimal"/>
      <w:lvlText w:val="%4."/>
      <w:lvlJc w:val="left"/>
      <w:pPr>
        <w:ind w:left="3238" w:hanging="480"/>
      </w:pPr>
    </w:lvl>
    <w:lvl w:ilvl="4" w:tplc="04090019" w:tentative="1">
      <w:start w:val="1"/>
      <w:numFmt w:val="ideographTraditional"/>
      <w:lvlText w:val="%5、"/>
      <w:lvlJc w:val="left"/>
      <w:pPr>
        <w:ind w:left="3718" w:hanging="480"/>
      </w:pPr>
    </w:lvl>
    <w:lvl w:ilvl="5" w:tplc="0409001B" w:tentative="1">
      <w:start w:val="1"/>
      <w:numFmt w:val="lowerRoman"/>
      <w:lvlText w:val="%6."/>
      <w:lvlJc w:val="right"/>
      <w:pPr>
        <w:ind w:left="4198" w:hanging="480"/>
      </w:pPr>
    </w:lvl>
    <w:lvl w:ilvl="6" w:tplc="0409000F" w:tentative="1">
      <w:start w:val="1"/>
      <w:numFmt w:val="decimal"/>
      <w:lvlText w:val="%7."/>
      <w:lvlJc w:val="left"/>
      <w:pPr>
        <w:ind w:left="4678" w:hanging="480"/>
      </w:pPr>
    </w:lvl>
    <w:lvl w:ilvl="7" w:tplc="04090019" w:tentative="1">
      <w:start w:val="1"/>
      <w:numFmt w:val="ideographTraditional"/>
      <w:lvlText w:val="%8、"/>
      <w:lvlJc w:val="left"/>
      <w:pPr>
        <w:ind w:left="5158" w:hanging="480"/>
      </w:pPr>
    </w:lvl>
    <w:lvl w:ilvl="8" w:tplc="0409001B" w:tentative="1">
      <w:start w:val="1"/>
      <w:numFmt w:val="lowerRoman"/>
      <w:lvlText w:val="%9."/>
      <w:lvlJc w:val="right"/>
      <w:pPr>
        <w:ind w:left="5638" w:hanging="480"/>
      </w:pPr>
    </w:lvl>
  </w:abstractNum>
  <w:abstractNum w:abstractNumId="27" w15:restartNumberingAfterBreak="0">
    <w:nsid w:val="4D921A1B"/>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52166F4C"/>
    <w:multiLevelType w:val="hybridMultilevel"/>
    <w:tmpl w:val="134E12F8"/>
    <w:lvl w:ilvl="0" w:tplc="2F50855A">
      <w:start w:val="1"/>
      <w:numFmt w:val="taiwaneseCountingThousand"/>
      <w:lvlText w:val="%1、"/>
      <w:lvlJc w:val="left"/>
      <w:pPr>
        <w:ind w:left="1016" w:hanging="480"/>
      </w:pPr>
      <w:rPr>
        <w:rFonts w:hint="default"/>
        <w:b/>
        <w:sz w:val="32"/>
        <w:szCs w:val="32"/>
      </w:rPr>
    </w:lvl>
    <w:lvl w:ilvl="1" w:tplc="04090019" w:tentative="1">
      <w:start w:val="1"/>
      <w:numFmt w:val="ideographTraditional"/>
      <w:lvlText w:val="%2、"/>
      <w:lvlJc w:val="left"/>
      <w:pPr>
        <w:ind w:left="1496" w:hanging="480"/>
      </w:pPr>
    </w:lvl>
    <w:lvl w:ilvl="2" w:tplc="0409001B" w:tentative="1">
      <w:start w:val="1"/>
      <w:numFmt w:val="lowerRoman"/>
      <w:lvlText w:val="%3."/>
      <w:lvlJc w:val="right"/>
      <w:pPr>
        <w:ind w:left="1976" w:hanging="480"/>
      </w:pPr>
    </w:lvl>
    <w:lvl w:ilvl="3" w:tplc="0409000F" w:tentative="1">
      <w:start w:val="1"/>
      <w:numFmt w:val="decimal"/>
      <w:lvlText w:val="%4."/>
      <w:lvlJc w:val="left"/>
      <w:pPr>
        <w:ind w:left="2456" w:hanging="480"/>
      </w:pPr>
    </w:lvl>
    <w:lvl w:ilvl="4" w:tplc="04090019" w:tentative="1">
      <w:start w:val="1"/>
      <w:numFmt w:val="ideographTraditional"/>
      <w:lvlText w:val="%5、"/>
      <w:lvlJc w:val="left"/>
      <w:pPr>
        <w:ind w:left="2936" w:hanging="480"/>
      </w:pPr>
    </w:lvl>
    <w:lvl w:ilvl="5" w:tplc="0409001B" w:tentative="1">
      <w:start w:val="1"/>
      <w:numFmt w:val="lowerRoman"/>
      <w:lvlText w:val="%6."/>
      <w:lvlJc w:val="right"/>
      <w:pPr>
        <w:ind w:left="3416" w:hanging="480"/>
      </w:pPr>
    </w:lvl>
    <w:lvl w:ilvl="6" w:tplc="0409000F" w:tentative="1">
      <w:start w:val="1"/>
      <w:numFmt w:val="decimal"/>
      <w:lvlText w:val="%7."/>
      <w:lvlJc w:val="left"/>
      <w:pPr>
        <w:ind w:left="3896" w:hanging="480"/>
      </w:pPr>
    </w:lvl>
    <w:lvl w:ilvl="7" w:tplc="04090019" w:tentative="1">
      <w:start w:val="1"/>
      <w:numFmt w:val="ideographTraditional"/>
      <w:lvlText w:val="%8、"/>
      <w:lvlJc w:val="left"/>
      <w:pPr>
        <w:ind w:left="4376" w:hanging="480"/>
      </w:pPr>
    </w:lvl>
    <w:lvl w:ilvl="8" w:tplc="0409001B" w:tentative="1">
      <w:start w:val="1"/>
      <w:numFmt w:val="lowerRoman"/>
      <w:lvlText w:val="%9."/>
      <w:lvlJc w:val="right"/>
      <w:pPr>
        <w:ind w:left="4856" w:hanging="480"/>
      </w:pPr>
    </w:lvl>
  </w:abstractNum>
  <w:abstractNum w:abstractNumId="29" w15:restartNumberingAfterBreak="0">
    <w:nsid w:val="53005FAC"/>
    <w:multiLevelType w:val="hybridMultilevel"/>
    <w:tmpl w:val="26C499B8"/>
    <w:lvl w:ilvl="0" w:tplc="BB2C2C98">
      <w:start w:val="1"/>
      <w:numFmt w:val="decimal"/>
      <w:lvlText w:val="%1."/>
      <w:lvlJc w:val="left"/>
      <w:pPr>
        <w:ind w:left="1412" w:hanging="852"/>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0" w15:restartNumberingAfterBreak="0">
    <w:nsid w:val="54975C74"/>
    <w:multiLevelType w:val="hybridMultilevel"/>
    <w:tmpl w:val="339AFF3A"/>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78B4224"/>
    <w:multiLevelType w:val="hybridMultilevel"/>
    <w:tmpl w:val="64662300"/>
    <w:lvl w:ilvl="0" w:tplc="BF2C98DC">
      <w:start w:val="1"/>
      <w:numFmt w:val="taiwaneseCountingThousand"/>
      <w:suff w:val="nothing"/>
      <w:lvlText w:val="(%1)"/>
      <w:lvlJc w:val="left"/>
      <w:pPr>
        <w:ind w:left="1073" w:hanging="720"/>
      </w:pPr>
      <w:rPr>
        <w:rFonts w:hint="default"/>
        <w:color w:val="auto"/>
      </w:rPr>
    </w:lvl>
    <w:lvl w:ilvl="1" w:tplc="2F86AFFA">
      <w:start w:val="1"/>
      <w:numFmt w:val="ideographLegalTraditional"/>
      <w:lvlText w:val="%2、"/>
      <w:lvlJc w:val="left"/>
      <w:pPr>
        <w:ind w:left="2273" w:hanging="720"/>
      </w:pPr>
      <w:rPr>
        <w:rFonts w:hint="default"/>
      </w:r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2" w15:restartNumberingAfterBreak="0">
    <w:nsid w:val="5BEC3D4E"/>
    <w:multiLevelType w:val="hybridMultilevel"/>
    <w:tmpl w:val="011023F8"/>
    <w:lvl w:ilvl="0" w:tplc="07BE5324">
      <w:start w:val="1"/>
      <w:numFmt w:val="ideographLegalTradition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3" w15:restartNumberingAfterBreak="0">
    <w:nsid w:val="645137EA"/>
    <w:multiLevelType w:val="hybridMultilevel"/>
    <w:tmpl w:val="77789DE4"/>
    <w:lvl w:ilvl="0" w:tplc="BF2C98DC">
      <w:start w:val="1"/>
      <w:numFmt w:val="taiwaneseCountingThousand"/>
      <w:suff w:val="nothing"/>
      <w:lvlText w:val="(%1)"/>
      <w:lvlJc w:val="left"/>
      <w:pPr>
        <w:ind w:left="1073" w:hanging="72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4" w15:restartNumberingAfterBreak="0">
    <w:nsid w:val="68CA646D"/>
    <w:multiLevelType w:val="hybridMultilevel"/>
    <w:tmpl w:val="DBE8F092"/>
    <w:lvl w:ilvl="0" w:tplc="7DC2F7E0">
      <w:start w:val="1"/>
      <w:numFmt w:val="decimal"/>
      <w:lvlText w:val="%1."/>
      <w:lvlJc w:val="left"/>
      <w:pPr>
        <w:ind w:left="2669" w:hanging="1524"/>
      </w:pPr>
      <w:rPr>
        <w:rFonts w:hint="default"/>
      </w:rPr>
    </w:lvl>
    <w:lvl w:ilvl="1" w:tplc="04090019" w:tentative="1">
      <w:start w:val="1"/>
      <w:numFmt w:val="ideographTraditional"/>
      <w:lvlText w:val="%2、"/>
      <w:lvlJc w:val="left"/>
      <w:pPr>
        <w:ind w:left="2105" w:hanging="480"/>
      </w:pPr>
    </w:lvl>
    <w:lvl w:ilvl="2" w:tplc="0409001B" w:tentative="1">
      <w:start w:val="1"/>
      <w:numFmt w:val="lowerRoman"/>
      <w:lvlText w:val="%3."/>
      <w:lvlJc w:val="right"/>
      <w:pPr>
        <w:ind w:left="2585" w:hanging="480"/>
      </w:pPr>
    </w:lvl>
    <w:lvl w:ilvl="3" w:tplc="0409000F" w:tentative="1">
      <w:start w:val="1"/>
      <w:numFmt w:val="decimal"/>
      <w:lvlText w:val="%4."/>
      <w:lvlJc w:val="left"/>
      <w:pPr>
        <w:ind w:left="3065" w:hanging="480"/>
      </w:pPr>
    </w:lvl>
    <w:lvl w:ilvl="4" w:tplc="04090019" w:tentative="1">
      <w:start w:val="1"/>
      <w:numFmt w:val="ideographTraditional"/>
      <w:lvlText w:val="%5、"/>
      <w:lvlJc w:val="left"/>
      <w:pPr>
        <w:ind w:left="3545" w:hanging="480"/>
      </w:pPr>
    </w:lvl>
    <w:lvl w:ilvl="5" w:tplc="0409001B" w:tentative="1">
      <w:start w:val="1"/>
      <w:numFmt w:val="lowerRoman"/>
      <w:lvlText w:val="%6."/>
      <w:lvlJc w:val="right"/>
      <w:pPr>
        <w:ind w:left="4025" w:hanging="480"/>
      </w:pPr>
    </w:lvl>
    <w:lvl w:ilvl="6" w:tplc="0409000F" w:tentative="1">
      <w:start w:val="1"/>
      <w:numFmt w:val="decimal"/>
      <w:lvlText w:val="%7."/>
      <w:lvlJc w:val="left"/>
      <w:pPr>
        <w:ind w:left="4505" w:hanging="480"/>
      </w:pPr>
    </w:lvl>
    <w:lvl w:ilvl="7" w:tplc="04090019" w:tentative="1">
      <w:start w:val="1"/>
      <w:numFmt w:val="ideographTraditional"/>
      <w:lvlText w:val="%8、"/>
      <w:lvlJc w:val="left"/>
      <w:pPr>
        <w:ind w:left="4985" w:hanging="480"/>
      </w:pPr>
    </w:lvl>
    <w:lvl w:ilvl="8" w:tplc="0409001B" w:tentative="1">
      <w:start w:val="1"/>
      <w:numFmt w:val="lowerRoman"/>
      <w:lvlText w:val="%9."/>
      <w:lvlJc w:val="right"/>
      <w:pPr>
        <w:ind w:left="5465" w:hanging="480"/>
      </w:pPr>
    </w:lvl>
  </w:abstractNum>
  <w:abstractNum w:abstractNumId="35" w15:restartNumberingAfterBreak="0">
    <w:nsid w:val="6AC7269C"/>
    <w:multiLevelType w:val="hybridMultilevel"/>
    <w:tmpl w:val="CD20E8B8"/>
    <w:lvl w:ilvl="0" w:tplc="7B32AB0A">
      <w:start w:val="1"/>
      <w:numFmt w:val="taiwaneseCountingThousand"/>
      <w:lvlText w:val="(%1)"/>
      <w:lvlJc w:val="left"/>
      <w:pPr>
        <w:ind w:left="1841"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1372133"/>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4443750"/>
    <w:multiLevelType w:val="hybridMultilevel"/>
    <w:tmpl w:val="DA347A2C"/>
    <w:lvl w:ilvl="0" w:tplc="A76C4ABE">
      <w:start w:val="1"/>
      <w:numFmt w:val="taiwaneseCountingThousand"/>
      <w:suff w:val="nothing"/>
      <w:lvlText w:val="%1、"/>
      <w:lvlJc w:val="left"/>
      <w:pPr>
        <w:ind w:left="1073" w:hanging="720"/>
      </w:pPr>
      <w:rPr>
        <w:rFonts w:hint="default"/>
      </w:rPr>
    </w:lvl>
    <w:lvl w:ilvl="1" w:tplc="04090019" w:tentative="1">
      <w:start w:val="1"/>
      <w:numFmt w:val="ideographTraditional"/>
      <w:lvlText w:val="%2、"/>
      <w:lvlJc w:val="left"/>
      <w:pPr>
        <w:ind w:left="1534" w:hanging="480"/>
      </w:pPr>
    </w:lvl>
    <w:lvl w:ilvl="2" w:tplc="0409001B" w:tentative="1">
      <w:start w:val="1"/>
      <w:numFmt w:val="lowerRoman"/>
      <w:lvlText w:val="%3."/>
      <w:lvlJc w:val="right"/>
      <w:pPr>
        <w:ind w:left="2014" w:hanging="480"/>
      </w:pPr>
    </w:lvl>
    <w:lvl w:ilvl="3" w:tplc="0409000F" w:tentative="1">
      <w:start w:val="1"/>
      <w:numFmt w:val="decimal"/>
      <w:lvlText w:val="%4."/>
      <w:lvlJc w:val="left"/>
      <w:pPr>
        <w:ind w:left="2494" w:hanging="480"/>
      </w:pPr>
    </w:lvl>
    <w:lvl w:ilvl="4" w:tplc="04090019" w:tentative="1">
      <w:start w:val="1"/>
      <w:numFmt w:val="ideographTraditional"/>
      <w:lvlText w:val="%5、"/>
      <w:lvlJc w:val="left"/>
      <w:pPr>
        <w:ind w:left="2974" w:hanging="480"/>
      </w:pPr>
    </w:lvl>
    <w:lvl w:ilvl="5" w:tplc="0409001B" w:tentative="1">
      <w:start w:val="1"/>
      <w:numFmt w:val="lowerRoman"/>
      <w:lvlText w:val="%6."/>
      <w:lvlJc w:val="right"/>
      <w:pPr>
        <w:ind w:left="3454" w:hanging="480"/>
      </w:pPr>
    </w:lvl>
    <w:lvl w:ilvl="6" w:tplc="0409000F" w:tentative="1">
      <w:start w:val="1"/>
      <w:numFmt w:val="decimal"/>
      <w:lvlText w:val="%7."/>
      <w:lvlJc w:val="left"/>
      <w:pPr>
        <w:ind w:left="3934" w:hanging="480"/>
      </w:pPr>
    </w:lvl>
    <w:lvl w:ilvl="7" w:tplc="04090019" w:tentative="1">
      <w:start w:val="1"/>
      <w:numFmt w:val="ideographTraditional"/>
      <w:lvlText w:val="%8、"/>
      <w:lvlJc w:val="left"/>
      <w:pPr>
        <w:ind w:left="4414" w:hanging="480"/>
      </w:pPr>
    </w:lvl>
    <w:lvl w:ilvl="8" w:tplc="0409001B" w:tentative="1">
      <w:start w:val="1"/>
      <w:numFmt w:val="lowerRoman"/>
      <w:lvlText w:val="%9."/>
      <w:lvlJc w:val="right"/>
      <w:pPr>
        <w:ind w:left="4894" w:hanging="480"/>
      </w:pPr>
    </w:lvl>
  </w:abstractNum>
  <w:abstractNum w:abstractNumId="38" w15:restartNumberingAfterBreak="0">
    <w:nsid w:val="74DC7E3A"/>
    <w:multiLevelType w:val="hybridMultilevel"/>
    <w:tmpl w:val="087A7B62"/>
    <w:lvl w:ilvl="0" w:tplc="67F0D9AA">
      <w:start w:val="1"/>
      <w:numFmt w:val="taiwaneseCountingThousand"/>
      <w:lvlText w:val="（%1）"/>
      <w:lvlJc w:val="left"/>
      <w:pPr>
        <w:ind w:left="876" w:hanging="87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5075DCC"/>
    <w:multiLevelType w:val="hybridMultilevel"/>
    <w:tmpl w:val="DD908C0C"/>
    <w:lvl w:ilvl="0" w:tplc="85C44BA2">
      <w:start w:val="1"/>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6A156EA"/>
    <w:multiLevelType w:val="hybridMultilevel"/>
    <w:tmpl w:val="2FE833E8"/>
    <w:lvl w:ilvl="0" w:tplc="2C309854">
      <w:start w:val="1"/>
      <w:numFmt w:val="taiwaneseCountingThousand"/>
      <w:lvlText w:val="%1、"/>
      <w:lvlJc w:val="left"/>
      <w:pPr>
        <w:ind w:left="1073" w:hanging="720"/>
      </w:pPr>
      <w:rPr>
        <w:rFonts w:hint="default"/>
        <w:b w:val="0"/>
        <w:color w:val="auto"/>
      </w:rPr>
    </w:lvl>
    <w:lvl w:ilvl="1" w:tplc="04090019" w:tentative="1">
      <w:start w:val="1"/>
      <w:numFmt w:val="ideographTraditional"/>
      <w:lvlText w:val="%2、"/>
      <w:lvlJc w:val="left"/>
      <w:pPr>
        <w:ind w:left="1313" w:hanging="480"/>
      </w:pPr>
    </w:lvl>
    <w:lvl w:ilvl="2" w:tplc="0409001B" w:tentative="1">
      <w:start w:val="1"/>
      <w:numFmt w:val="lowerRoman"/>
      <w:lvlText w:val="%3."/>
      <w:lvlJc w:val="right"/>
      <w:pPr>
        <w:ind w:left="1793" w:hanging="480"/>
      </w:pPr>
    </w:lvl>
    <w:lvl w:ilvl="3" w:tplc="0409000F" w:tentative="1">
      <w:start w:val="1"/>
      <w:numFmt w:val="decimal"/>
      <w:lvlText w:val="%4."/>
      <w:lvlJc w:val="left"/>
      <w:pPr>
        <w:ind w:left="2273" w:hanging="480"/>
      </w:pPr>
    </w:lvl>
    <w:lvl w:ilvl="4" w:tplc="04090019" w:tentative="1">
      <w:start w:val="1"/>
      <w:numFmt w:val="ideographTraditional"/>
      <w:lvlText w:val="%5、"/>
      <w:lvlJc w:val="left"/>
      <w:pPr>
        <w:ind w:left="2753" w:hanging="480"/>
      </w:pPr>
    </w:lvl>
    <w:lvl w:ilvl="5" w:tplc="0409001B" w:tentative="1">
      <w:start w:val="1"/>
      <w:numFmt w:val="lowerRoman"/>
      <w:lvlText w:val="%6."/>
      <w:lvlJc w:val="right"/>
      <w:pPr>
        <w:ind w:left="3233" w:hanging="480"/>
      </w:pPr>
    </w:lvl>
    <w:lvl w:ilvl="6" w:tplc="0409000F" w:tentative="1">
      <w:start w:val="1"/>
      <w:numFmt w:val="decimal"/>
      <w:lvlText w:val="%7."/>
      <w:lvlJc w:val="left"/>
      <w:pPr>
        <w:ind w:left="3713" w:hanging="480"/>
      </w:pPr>
    </w:lvl>
    <w:lvl w:ilvl="7" w:tplc="04090019" w:tentative="1">
      <w:start w:val="1"/>
      <w:numFmt w:val="ideographTraditional"/>
      <w:lvlText w:val="%8、"/>
      <w:lvlJc w:val="left"/>
      <w:pPr>
        <w:ind w:left="4193" w:hanging="480"/>
      </w:pPr>
    </w:lvl>
    <w:lvl w:ilvl="8" w:tplc="0409001B" w:tentative="1">
      <w:start w:val="1"/>
      <w:numFmt w:val="lowerRoman"/>
      <w:lvlText w:val="%9."/>
      <w:lvlJc w:val="right"/>
      <w:pPr>
        <w:ind w:left="4673" w:hanging="480"/>
      </w:pPr>
    </w:lvl>
  </w:abstractNum>
  <w:abstractNum w:abstractNumId="41" w15:restartNumberingAfterBreak="0">
    <w:nsid w:val="76B26891"/>
    <w:multiLevelType w:val="hybridMultilevel"/>
    <w:tmpl w:val="EEFE14DE"/>
    <w:lvl w:ilvl="0" w:tplc="B8AE8230">
      <w:start w:val="1"/>
      <w:numFmt w:val="taiwaneseCountingThousand"/>
      <w:suff w:val="nothing"/>
      <w:lvlText w:val="(%1)"/>
      <w:lvlJc w:val="left"/>
      <w:pPr>
        <w:ind w:left="833" w:hanging="48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42" w15:restartNumberingAfterBreak="0">
    <w:nsid w:val="76DF08AF"/>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74C6BC6"/>
    <w:multiLevelType w:val="hybridMultilevel"/>
    <w:tmpl w:val="681EC1E6"/>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86C257D"/>
    <w:multiLevelType w:val="hybridMultilevel"/>
    <w:tmpl w:val="E7265798"/>
    <w:lvl w:ilvl="0" w:tplc="04090015">
      <w:start w:val="1"/>
      <w:numFmt w:val="taiwaneseCountingThousand"/>
      <w:lvlText w:val="%1、"/>
      <w:lvlJc w:val="left"/>
      <w:pPr>
        <w:ind w:left="76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15:restartNumberingAfterBreak="0">
    <w:nsid w:val="7E7C37B9"/>
    <w:multiLevelType w:val="hybridMultilevel"/>
    <w:tmpl w:val="D80C04F2"/>
    <w:lvl w:ilvl="0" w:tplc="04090015">
      <w:start w:val="1"/>
      <w:numFmt w:val="taiwaneseCountingThousand"/>
      <w:lvlText w:val="%1、"/>
      <w:lvlJc w:val="left"/>
      <w:pPr>
        <w:ind w:left="1079" w:hanging="480"/>
      </w:pPr>
      <w:rPr>
        <w:rFonts w:hint="default"/>
      </w:rPr>
    </w:lvl>
    <w:lvl w:ilvl="1" w:tplc="04090019" w:tentative="1">
      <w:start w:val="1"/>
      <w:numFmt w:val="ideographTraditional"/>
      <w:lvlText w:val="%2、"/>
      <w:lvlJc w:val="left"/>
      <w:pPr>
        <w:ind w:left="1559" w:hanging="480"/>
      </w:pPr>
    </w:lvl>
    <w:lvl w:ilvl="2" w:tplc="0409001B" w:tentative="1">
      <w:start w:val="1"/>
      <w:numFmt w:val="lowerRoman"/>
      <w:lvlText w:val="%3."/>
      <w:lvlJc w:val="right"/>
      <w:pPr>
        <w:ind w:left="2039" w:hanging="480"/>
      </w:pPr>
    </w:lvl>
    <w:lvl w:ilvl="3" w:tplc="0409000F" w:tentative="1">
      <w:start w:val="1"/>
      <w:numFmt w:val="decimal"/>
      <w:lvlText w:val="%4."/>
      <w:lvlJc w:val="left"/>
      <w:pPr>
        <w:ind w:left="2519" w:hanging="480"/>
      </w:pPr>
    </w:lvl>
    <w:lvl w:ilvl="4" w:tplc="04090019" w:tentative="1">
      <w:start w:val="1"/>
      <w:numFmt w:val="ideographTraditional"/>
      <w:lvlText w:val="%5、"/>
      <w:lvlJc w:val="left"/>
      <w:pPr>
        <w:ind w:left="2999" w:hanging="480"/>
      </w:pPr>
    </w:lvl>
    <w:lvl w:ilvl="5" w:tplc="0409001B" w:tentative="1">
      <w:start w:val="1"/>
      <w:numFmt w:val="lowerRoman"/>
      <w:lvlText w:val="%6."/>
      <w:lvlJc w:val="right"/>
      <w:pPr>
        <w:ind w:left="3479" w:hanging="480"/>
      </w:pPr>
    </w:lvl>
    <w:lvl w:ilvl="6" w:tplc="0409000F" w:tentative="1">
      <w:start w:val="1"/>
      <w:numFmt w:val="decimal"/>
      <w:lvlText w:val="%7."/>
      <w:lvlJc w:val="left"/>
      <w:pPr>
        <w:ind w:left="3959" w:hanging="480"/>
      </w:pPr>
    </w:lvl>
    <w:lvl w:ilvl="7" w:tplc="04090019" w:tentative="1">
      <w:start w:val="1"/>
      <w:numFmt w:val="ideographTraditional"/>
      <w:lvlText w:val="%8、"/>
      <w:lvlJc w:val="left"/>
      <w:pPr>
        <w:ind w:left="4439" w:hanging="480"/>
      </w:pPr>
    </w:lvl>
    <w:lvl w:ilvl="8" w:tplc="0409001B" w:tentative="1">
      <w:start w:val="1"/>
      <w:numFmt w:val="lowerRoman"/>
      <w:lvlText w:val="%9."/>
      <w:lvlJc w:val="right"/>
      <w:pPr>
        <w:ind w:left="4919" w:hanging="480"/>
      </w:pPr>
    </w:lvl>
  </w:abstractNum>
  <w:num w:numId="1" w16cid:durableId="1564486889">
    <w:abstractNumId w:val="24"/>
  </w:num>
  <w:num w:numId="2" w16cid:durableId="1495798572">
    <w:abstractNumId w:val="7"/>
  </w:num>
  <w:num w:numId="3" w16cid:durableId="193881908">
    <w:abstractNumId w:val="29"/>
  </w:num>
  <w:num w:numId="4" w16cid:durableId="978609074">
    <w:abstractNumId w:val="38"/>
  </w:num>
  <w:num w:numId="5" w16cid:durableId="368923228">
    <w:abstractNumId w:val="10"/>
  </w:num>
  <w:num w:numId="6" w16cid:durableId="1739010279">
    <w:abstractNumId w:val="26"/>
  </w:num>
  <w:num w:numId="7" w16cid:durableId="837577384">
    <w:abstractNumId w:val="17"/>
  </w:num>
  <w:num w:numId="8" w16cid:durableId="799688383">
    <w:abstractNumId w:val="34"/>
  </w:num>
  <w:num w:numId="9" w16cid:durableId="1079404382">
    <w:abstractNumId w:val="36"/>
  </w:num>
  <w:num w:numId="10" w16cid:durableId="1059354253">
    <w:abstractNumId w:val="16"/>
  </w:num>
  <w:num w:numId="11" w16cid:durableId="1547835564">
    <w:abstractNumId w:val="18"/>
  </w:num>
  <w:num w:numId="12" w16cid:durableId="688335933">
    <w:abstractNumId w:val="11"/>
  </w:num>
  <w:num w:numId="13" w16cid:durableId="1642036558">
    <w:abstractNumId w:val="21"/>
  </w:num>
  <w:num w:numId="14" w16cid:durableId="2642727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9138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251049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9155979">
    <w:abstractNumId w:val="20"/>
  </w:num>
  <w:num w:numId="18" w16cid:durableId="5934441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57998784">
    <w:abstractNumId w:val="1"/>
  </w:num>
  <w:num w:numId="20" w16cid:durableId="154420117">
    <w:abstractNumId w:val="32"/>
  </w:num>
  <w:num w:numId="21" w16cid:durableId="1253245533">
    <w:abstractNumId w:val="14"/>
  </w:num>
  <w:num w:numId="22" w16cid:durableId="1480609102">
    <w:abstractNumId w:val="5"/>
  </w:num>
  <w:num w:numId="23" w16cid:durableId="1027877650">
    <w:abstractNumId w:val="0"/>
  </w:num>
  <w:num w:numId="24" w16cid:durableId="1193573821">
    <w:abstractNumId w:val="40"/>
  </w:num>
  <w:num w:numId="25" w16cid:durableId="441002518">
    <w:abstractNumId w:val="9"/>
  </w:num>
  <w:num w:numId="26" w16cid:durableId="1547136542">
    <w:abstractNumId w:val="43"/>
  </w:num>
  <w:num w:numId="27" w16cid:durableId="431896655">
    <w:abstractNumId w:val="12"/>
  </w:num>
  <w:num w:numId="28" w16cid:durableId="2074234796">
    <w:abstractNumId w:val="30"/>
  </w:num>
  <w:num w:numId="29" w16cid:durableId="1167477055">
    <w:abstractNumId w:val="15"/>
  </w:num>
  <w:num w:numId="30" w16cid:durableId="951865824">
    <w:abstractNumId w:val="22"/>
  </w:num>
  <w:num w:numId="31" w16cid:durableId="2053916904">
    <w:abstractNumId w:val="19"/>
  </w:num>
  <w:num w:numId="32" w16cid:durableId="425657207">
    <w:abstractNumId w:val="31"/>
  </w:num>
  <w:num w:numId="33" w16cid:durableId="350957533">
    <w:abstractNumId w:val="41"/>
  </w:num>
  <w:num w:numId="34" w16cid:durableId="1615794196">
    <w:abstractNumId w:val="13"/>
  </w:num>
  <w:num w:numId="35" w16cid:durableId="1195583776">
    <w:abstractNumId w:val="42"/>
  </w:num>
  <w:num w:numId="36" w16cid:durableId="182061213">
    <w:abstractNumId w:val="33"/>
  </w:num>
  <w:num w:numId="37" w16cid:durableId="800541895">
    <w:abstractNumId w:val="39"/>
  </w:num>
  <w:num w:numId="38" w16cid:durableId="1266962040">
    <w:abstractNumId w:val="4"/>
  </w:num>
  <w:num w:numId="39" w16cid:durableId="1273783813">
    <w:abstractNumId w:val="2"/>
  </w:num>
  <w:num w:numId="40" w16cid:durableId="2034377920">
    <w:abstractNumId w:val="37"/>
  </w:num>
  <w:num w:numId="41" w16cid:durableId="10110593">
    <w:abstractNumId w:val="27"/>
  </w:num>
  <w:num w:numId="42" w16cid:durableId="514271010">
    <w:abstractNumId w:val="35"/>
  </w:num>
  <w:num w:numId="43" w16cid:durableId="1365014019">
    <w:abstractNumId w:val="45"/>
  </w:num>
  <w:num w:numId="44" w16cid:durableId="1193305290">
    <w:abstractNumId w:val="28"/>
  </w:num>
  <w:num w:numId="45" w16cid:durableId="1633442182">
    <w:abstractNumId w:val="8"/>
  </w:num>
  <w:num w:numId="46" w16cid:durableId="91405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bordersDoNotSurroundHeader/>
  <w:bordersDoNotSurroundFooter/>
  <w:hideSpellingErrors/>
  <w:defaultTabStop w:val="480"/>
  <w:drawingGridHorizontalSpacing w:val="235"/>
  <w:drawingGridVerticalSpacing w:val="547"/>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B42"/>
    <w:rsid w:val="00000F98"/>
    <w:rsid w:val="0000105C"/>
    <w:rsid w:val="00001A35"/>
    <w:rsid w:val="00002457"/>
    <w:rsid w:val="0000268E"/>
    <w:rsid w:val="00004534"/>
    <w:rsid w:val="0000562E"/>
    <w:rsid w:val="000063D6"/>
    <w:rsid w:val="00007EFA"/>
    <w:rsid w:val="0001288F"/>
    <w:rsid w:val="00013F21"/>
    <w:rsid w:val="00015D21"/>
    <w:rsid w:val="0002155F"/>
    <w:rsid w:val="00022319"/>
    <w:rsid w:val="000239FB"/>
    <w:rsid w:val="00026016"/>
    <w:rsid w:val="00026FE2"/>
    <w:rsid w:val="00027269"/>
    <w:rsid w:val="000279F4"/>
    <w:rsid w:val="00027C2B"/>
    <w:rsid w:val="00030B7A"/>
    <w:rsid w:val="00030BAB"/>
    <w:rsid w:val="00033302"/>
    <w:rsid w:val="00034A12"/>
    <w:rsid w:val="00040787"/>
    <w:rsid w:val="0004133E"/>
    <w:rsid w:val="00042245"/>
    <w:rsid w:val="00044834"/>
    <w:rsid w:val="0004588C"/>
    <w:rsid w:val="00045C20"/>
    <w:rsid w:val="00046B29"/>
    <w:rsid w:val="00046EAE"/>
    <w:rsid w:val="00047A5C"/>
    <w:rsid w:val="00050BB7"/>
    <w:rsid w:val="00051B81"/>
    <w:rsid w:val="00052622"/>
    <w:rsid w:val="00053399"/>
    <w:rsid w:val="00053430"/>
    <w:rsid w:val="00054139"/>
    <w:rsid w:val="000541E7"/>
    <w:rsid w:val="0005428E"/>
    <w:rsid w:val="00054345"/>
    <w:rsid w:val="000549B7"/>
    <w:rsid w:val="00054BFE"/>
    <w:rsid w:val="00057BAE"/>
    <w:rsid w:val="0006109D"/>
    <w:rsid w:val="000614FA"/>
    <w:rsid w:val="00061934"/>
    <w:rsid w:val="00061F49"/>
    <w:rsid w:val="00061F67"/>
    <w:rsid w:val="0006293D"/>
    <w:rsid w:val="000648C7"/>
    <w:rsid w:val="00066B2A"/>
    <w:rsid w:val="0007028A"/>
    <w:rsid w:val="00071A40"/>
    <w:rsid w:val="00072876"/>
    <w:rsid w:val="0007347E"/>
    <w:rsid w:val="00074B59"/>
    <w:rsid w:val="00074C85"/>
    <w:rsid w:val="00075317"/>
    <w:rsid w:val="00075F51"/>
    <w:rsid w:val="000762D7"/>
    <w:rsid w:val="00076795"/>
    <w:rsid w:val="00077119"/>
    <w:rsid w:val="00077746"/>
    <w:rsid w:val="000777CF"/>
    <w:rsid w:val="000777F4"/>
    <w:rsid w:val="00077F53"/>
    <w:rsid w:val="000816FB"/>
    <w:rsid w:val="00081D43"/>
    <w:rsid w:val="00086833"/>
    <w:rsid w:val="00087533"/>
    <w:rsid w:val="00087706"/>
    <w:rsid w:val="00087D33"/>
    <w:rsid w:val="0009026B"/>
    <w:rsid w:val="00090870"/>
    <w:rsid w:val="000928CF"/>
    <w:rsid w:val="00094DCA"/>
    <w:rsid w:val="00096107"/>
    <w:rsid w:val="000A133E"/>
    <w:rsid w:val="000A2427"/>
    <w:rsid w:val="000A49CF"/>
    <w:rsid w:val="000A4B95"/>
    <w:rsid w:val="000A5108"/>
    <w:rsid w:val="000A5EDC"/>
    <w:rsid w:val="000A6892"/>
    <w:rsid w:val="000B1F8C"/>
    <w:rsid w:val="000B2CF6"/>
    <w:rsid w:val="000B4349"/>
    <w:rsid w:val="000B43EF"/>
    <w:rsid w:val="000B44BE"/>
    <w:rsid w:val="000B5CCB"/>
    <w:rsid w:val="000B7745"/>
    <w:rsid w:val="000C01C5"/>
    <w:rsid w:val="000C0A0C"/>
    <w:rsid w:val="000C1DFC"/>
    <w:rsid w:val="000C36A9"/>
    <w:rsid w:val="000C5047"/>
    <w:rsid w:val="000C6BAD"/>
    <w:rsid w:val="000C6C28"/>
    <w:rsid w:val="000C7147"/>
    <w:rsid w:val="000D02AD"/>
    <w:rsid w:val="000D04A0"/>
    <w:rsid w:val="000D0A95"/>
    <w:rsid w:val="000D0D93"/>
    <w:rsid w:val="000D1121"/>
    <w:rsid w:val="000D27DE"/>
    <w:rsid w:val="000D36FE"/>
    <w:rsid w:val="000D5D28"/>
    <w:rsid w:val="000D6543"/>
    <w:rsid w:val="000D7433"/>
    <w:rsid w:val="000D7547"/>
    <w:rsid w:val="000D7A98"/>
    <w:rsid w:val="000D7B7B"/>
    <w:rsid w:val="000E1F11"/>
    <w:rsid w:val="000E2209"/>
    <w:rsid w:val="000E2820"/>
    <w:rsid w:val="000E2871"/>
    <w:rsid w:val="000E30B6"/>
    <w:rsid w:val="000E3D9E"/>
    <w:rsid w:val="000E4AF0"/>
    <w:rsid w:val="000E6794"/>
    <w:rsid w:val="000E691E"/>
    <w:rsid w:val="000E736D"/>
    <w:rsid w:val="000F061C"/>
    <w:rsid w:val="000F1ECA"/>
    <w:rsid w:val="000F2337"/>
    <w:rsid w:val="000F2D36"/>
    <w:rsid w:val="000F472C"/>
    <w:rsid w:val="000F53EC"/>
    <w:rsid w:val="000F56AC"/>
    <w:rsid w:val="000F621E"/>
    <w:rsid w:val="000F6999"/>
    <w:rsid w:val="0010086A"/>
    <w:rsid w:val="00101C4C"/>
    <w:rsid w:val="001035AE"/>
    <w:rsid w:val="0010428B"/>
    <w:rsid w:val="0010672B"/>
    <w:rsid w:val="00107D07"/>
    <w:rsid w:val="0011345F"/>
    <w:rsid w:val="00113E34"/>
    <w:rsid w:val="00114854"/>
    <w:rsid w:val="001153C6"/>
    <w:rsid w:val="00115789"/>
    <w:rsid w:val="001157DC"/>
    <w:rsid w:val="00115A0A"/>
    <w:rsid w:val="0011791F"/>
    <w:rsid w:val="00120B34"/>
    <w:rsid w:val="001226F5"/>
    <w:rsid w:val="001236DB"/>
    <w:rsid w:val="0012688D"/>
    <w:rsid w:val="00126C1B"/>
    <w:rsid w:val="0012761B"/>
    <w:rsid w:val="00131533"/>
    <w:rsid w:val="00131607"/>
    <w:rsid w:val="001329BB"/>
    <w:rsid w:val="00132AF5"/>
    <w:rsid w:val="00140A11"/>
    <w:rsid w:val="0014105C"/>
    <w:rsid w:val="001410B0"/>
    <w:rsid w:val="00142CDD"/>
    <w:rsid w:val="0014587C"/>
    <w:rsid w:val="00145882"/>
    <w:rsid w:val="0014666D"/>
    <w:rsid w:val="00147C4F"/>
    <w:rsid w:val="001502F3"/>
    <w:rsid w:val="00151810"/>
    <w:rsid w:val="00151EB2"/>
    <w:rsid w:val="00153142"/>
    <w:rsid w:val="00153268"/>
    <w:rsid w:val="00154B34"/>
    <w:rsid w:val="001554C6"/>
    <w:rsid w:val="00155C82"/>
    <w:rsid w:val="00156076"/>
    <w:rsid w:val="00156A98"/>
    <w:rsid w:val="001609D8"/>
    <w:rsid w:val="00161718"/>
    <w:rsid w:val="001623B2"/>
    <w:rsid w:val="0016264F"/>
    <w:rsid w:val="00164AE1"/>
    <w:rsid w:val="001665E9"/>
    <w:rsid w:val="00167097"/>
    <w:rsid w:val="00167A95"/>
    <w:rsid w:val="00167B8E"/>
    <w:rsid w:val="00170DD8"/>
    <w:rsid w:val="001735BA"/>
    <w:rsid w:val="0017491C"/>
    <w:rsid w:val="00175165"/>
    <w:rsid w:val="0017587D"/>
    <w:rsid w:val="00176192"/>
    <w:rsid w:val="00177E9C"/>
    <w:rsid w:val="00182F98"/>
    <w:rsid w:val="001848F7"/>
    <w:rsid w:val="001878B5"/>
    <w:rsid w:val="00187BF0"/>
    <w:rsid w:val="00187D43"/>
    <w:rsid w:val="0019096A"/>
    <w:rsid w:val="0019414A"/>
    <w:rsid w:val="00197400"/>
    <w:rsid w:val="001A055F"/>
    <w:rsid w:val="001A095C"/>
    <w:rsid w:val="001A0A39"/>
    <w:rsid w:val="001A0A9F"/>
    <w:rsid w:val="001A12BE"/>
    <w:rsid w:val="001A205F"/>
    <w:rsid w:val="001A2538"/>
    <w:rsid w:val="001A2F91"/>
    <w:rsid w:val="001A4AFC"/>
    <w:rsid w:val="001A4CF1"/>
    <w:rsid w:val="001A67F7"/>
    <w:rsid w:val="001B072B"/>
    <w:rsid w:val="001B256F"/>
    <w:rsid w:val="001B29AA"/>
    <w:rsid w:val="001B2AC4"/>
    <w:rsid w:val="001B2F58"/>
    <w:rsid w:val="001B31A3"/>
    <w:rsid w:val="001B40F4"/>
    <w:rsid w:val="001B48F8"/>
    <w:rsid w:val="001B49D8"/>
    <w:rsid w:val="001B587B"/>
    <w:rsid w:val="001C1EF1"/>
    <w:rsid w:val="001C417D"/>
    <w:rsid w:val="001C70EE"/>
    <w:rsid w:val="001C7A55"/>
    <w:rsid w:val="001D1997"/>
    <w:rsid w:val="001D23E5"/>
    <w:rsid w:val="001D256A"/>
    <w:rsid w:val="001D2FBB"/>
    <w:rsid w:val="001D3658"/>
    <w:rsid w:val="001D406F"/>
    <w:rsid w:val="001D4F2C"/>
    <w:rsid w:val="001D71AE"/>
    <w:rsid w:val="001E00EA"/>
    <w:rsid w:val="001E2D59"/>
    <w:rsid w:val="001E5F8F"/>
    <w:rsid w:val="001E618B"/>
    <w:rsid w:val="001E627D"/>
    <w:rsid w:val="001E6D4D"/>
    <w:rsid w:val="001E79F2"/>
    <w:rsid w:val="001F0F78"/>
    <w:rsid w:val="001F28EA"/>
    <w:rsid w:val="001F3D38"/>
    <w:rsid w:val="001F5247"/>
    <w:rsid w:val="001F5597"/>
    <w:rsid w:val="001F5742"/>
    <w:rsid w:val="001F6346"/>
    <w:rsid w:val="001F66E9"/>
    <w:rsid w:val="00203B45"/>
    <w:rsid w:val="0020515E"/>
    <w:rsid w:val="00206953"/>
    <w:rsid w:val="0020767D"/>
    <w:rsid w:val="00207D59"/>
    <w:rsid w:val="00212683"/>
    <w:rsid w:val="002136B3"/>
    <w:rsid w:val="00215656"/>
    <w:rsid w:val="002175D1"/>
    <w:rsid w:val="00220C2D"/>
    <w:rsid w:val="00221008"/>
    <w:rsid w:val="00221F6A"/>
    <w:rsid w:val="00223B58"/>
    <w:rsid w:val="00223E57"/>
    <w:rsid w:val="0022429E"/>
    <w:rsid w:val="00224503"/>
    <w:rsid w:val="00224E8D"/>
    <w:rsid w:val="002260C8"/>
    <w:rsid w:val="00226E79"/>
    <w:rsid w:val="002277FA"/>
    <w:rsid w:val="00230BD0"/>
    <w:rsid w:val="002312AB"/>
    <w:rsid w:val="00234447"/>
    <w:rsid w:val="00234C35"/>
    <w:rsid w:val="002361C2"/>
    <w:rsid w:val="00237218"/>
    <w:rsid w:val="00242CA5"/>
    <w:rsid w:val="00247517"/>
    <w:rsid w:val="002510DD"/>
    <w:rsid w:val="00251B5E"/>
    <w:rsid w:val="0025217C"/>
    <w:rsid w:val="0025278E"/>
    <w:rsid w:val="00252AF3"/>
    <w:rsid w:val="00253115"/>
    <w:rsid w:val="0025393B"/>
    <w:rsid w:val="00255C43"/>
    <w:rsid w:val="002562C0"/>
    <w:rsid w:val="002575C8"/>
    <w:rsid w:val="00257E15"/>
    <w:rsid w:val="0026215A"/>
    <w:rsid w:val="00263159"/>
    <w:rsid w:val="00263F02"/>
    <w:rsid w:val="00264929"/>
    <w:rsid w:val="002702CE"/>
    <w:rsid w:val="00270C49"/>
    <w:rsid w:val="00271FC2"/>
    <w:rsid w:val="002722A0"/>
    <w:rsid w:val="00272AF2"/>
    <w:rsid w:val="00273066"/>
    <w:rsid w:val="002741BF"/>
    <w:rsid w:val="00276310"/>
    <w:rsid w:val="002770A8"/>
    <w:rsid w:val="00277512"/>
    <w:rsid w:val="00280950"/>
    <w:rsid w:val="002824ED"/>
    <w:rsid w:val="0028261B"/>
    <w:rsid w:val="00283607"/>
    <w:rsid w:val="00284BBD"/>
    <w:rsid w:val="00287A79"/>
    <w:rsid w:val="00290322"/>
    <w:rsid w:val="00292A68"/>
    <w:rsid w:val="00293A74"/>
    <w:rsid w:val="00294877"/>
    <w:rsid w:val="00294CB7"/>
    <w:rsid w:val="002A0775"/>
    <w:rsid w:val="002A2573"/>
    <w:rsid w:val="002A44B3"/>
    <w:rsid w:val="002A49A7"/>
    <w:rsid w:val="002B1683"/>
    <w:rsid w:val="002B24CF"/>
    <w:rsid w:val="002B41CC"/>
    <w:rsid w:val="002B4704"/>
    <w:rsid w:val="002B6977"/>
    <w:rsid w:val="002C0F08"/>
    <w:rsid w:val="002C1AFB"/>
    <w:rsid w:val="002C2056"/>
    <w:rsid w:val="002C241D"/>
    <w:rsid w:val="002C3F3A"/>
    <w:rsid w:val="002C4176"/>
    <w:rsid w:val="002C72F6"/>
    <w:rsid w:val="002D10B8"/>
    <w:rsid w:val="002D40A4"/>
    <w:rsid w:val="002D5A4D"/>
    <w:rsid w:val="002D5A5E"/>
    <w:rsid w:val="002D6B0C"/>
    <w:rsid w:val="002D6E3D"/>
    <w:rsid w:val="002E170A"/>
    <w:rsid w:val="002E1970"/>
    <w:rsid w:val="002E597A"/>
    <w:rsid w:val="002E6E96"/>
    <w:rsid w:val="002F05BC"/>
    <w:rsid w:val="002F2AA3"/>
    <w:rsid w:val="002F3399"/>
    <w:rsid w:val="002F516B"/>
    <w:rsid w:val="002F561A"/>
    <w:rsid w:val="002F6C2C"/>
    <w:rsid w:val="002F6E09"/>
    <w:rsid w:val="002F797F"/>
    <w:rsid w:val="0030074A"/>
    <w:rsid w:val="003016CB"/>
    <w:rsid w:val="0030241E"/>
    <w:rsid w:val="00302974"/>
    <w:rsid w:val="003037A3"/>
    <w:rsid w:val="003054EC"/>
    <w:rsid w:val="0030717B"/>
    <w:rsid w:val="003078AD"/>
    <w:rsid w:val="003108D4"/>
    <w:rsid w:val="003118BA"/>
    <w:rsid w:val="00311B27"/>
    <w:rsid w:val="00311BCA"/>
    <w:rsid w:val="00312865"/>
    <w:rsid w:val="00313924"/>
    <w:rsid w:val="003145B0"/>
    <w:rsid w:val="00314A4A"/>
    <w:rsid w:val="00314C9D"/>
    <w:rsid w:val="0032075D"/>
    <w:rsid w:val="00320DB9"/>
    <w:rsid w:val="00323BEF"/>
    <w:rsid w:val="00324B1E"/>
    <w:rsid w:val="00330905"/>
    <w:rsid w:val="00331C69"/>
    <w:rsid w:val="00331CFB"/>
    <w:rsid w:val="00331F8D"/>
    <w:rsid w:val="00333219"/>
    <w:rsid w:val="00333B6F"/>
    <w:rsid w:val="003344FA"/>
    <w:rsid w:val="00334C16"/>
    <w:rsid w:val="0033660A"/>
    <w:rsid w:val="00337CB8"/>
    <w:rsid w:val="00341060"/>
    <w:rsid w:val="003437CE"/>
    <w:rsid w:val="00343921"/>
    <w:rsid w:val="00344552"/>
    <w:rsid w:val="00344AF5"/>
    <w:rsid w:val="00345F2A"/>
    <w:rsid w:val="00346843"/>
    <w:rsid w:val="00347F0A"/>
    <w:rsid w:val="00350B44"/>
    <w:rsid w:val="00350DCB"/>
    <w:rsid w:val="00351DB6"/>
    <w:rsid w:val="0035315C"/>
    <w:rsid w:val="00353953"/>
    <w:rsid w:val="003540C1"/>
    <w:rsid w:val="00354B6F"/>
    <w:rsid w:val="003559B9"/>
    <w:rsid w:val="00360209"/>
    <w:rsid w:val="0036439F"/>
    <w:rsid w:val="00364574"/>
    <w:rsid w:val="00365602"/>
    <w:rsid w:val="003677B8"/>
    <w:rsid w:val="003711CF"/>
    <w:rsid w:val="00371836"/>
    <w:rsid w:val="0037297C"/>
    <w:rsid w:val="00373519"/>
    <w:rsid w:val="00374285"/>
    <w:rsid w:val="0037535E"/>
    <w:rsid w:val="00375AF7"/>
    <w:rsid w:val="003772CC"/>
    <w:rsid w:val="00377AB9"/>
    <w:rsid w:val="00381021"/>
    <w:rsid w:val="00381FFD"/>
    <w:rsid w:val="003823B9"/>
    <w:rsid w:val="00382943"/>
    <w:rsid w:val="00382B80"/>
    <w:rsid w:val="00382D62"/>
    <w:rsid w:val="00384525"/>
    <w:rsid w:val="00384ABF"/>
    <w:rsid w:val="003875D3"/>
    <w:rsid w:val="00387C49"/>
    <w:rsid w:val="0039197C"/>
    <w:rsid w:val="003920B9"/>
    <w:rsid w:val="00395293"/>
    <w:rsid w:val="003960A5"/>
    <w:rsid w:val="00396375"/>
    <w:rsid w:val="00396FF0"/>
    <w:rsid w:val="003977D7"/>
    <w:rsid w:val="003A0158"/>
    <w:rsid w:val="003A036E"/>
    <w:rsid w:val="003A15FA"/>
    <w:rsid w:val="003A16EF"/>
    <w:rsid w:val="003A1763"/>
    <w:rsid w:val="003A1C6C"/>
    <w:rsid w:val="003A1FA3"/>
    <w:rsid w:val="003A2697"/>
    <w:rsid w:val="003A3845"/>
    <w:rsid w:val="003A4D7B"/>
    <w:rsid w:val="003A6DA6"/>
    <w:rsid w:val="003B09E8"/>
    <w:rsid w:val="003B247E"/>
    <w:rsid w:val="003B2B85"/>
    <w:rsid w:val="003B55E9"/>
    <w:rsid w:val="003B5D95"/>
    <w:rsid w:val="003B6368"/>
    <w:rsid w:val="003B6FEA"/>
    <w:rsid w:val="003B733B"/>
    <w:rsid w:val="003C0385"/>
    <w:rsid w:val="003C134F"/>
    <w:rsid w:val="003C1A5C"/>
    <w:rsid w:val="003C2671"/>
    <w:rsid w:val="003C32F0"/>
    <w:rsid w:val="003C76AE"/>
    <w:rsid w:val="003C76F0"/>
    <w:rsid w:val="003D0009"/>
    <w:rsid w:val="003D1917"/>
    <w:rsid w:val="003D19CA"/>
    <w:rsid w:val="003D2D4C"/>
    <w:rsid w:val="003D3E40"/>
    <w:rsid w:val="003D514B"/>
    <w:rsid w:val="003D58C3"/>
    <w:rsid w:val="003E050D"/>
    <w:rsid w:val="003E1BA2"/>
    <w:rsid w:val="003E2566"/>
    <w:rsid w:val="003E500D"/>
    <w:rsid w:val="003E641B"/>
    <w:rsid w:val="003E72C9"/>
    <w:rsid w:val="003F13D2"/>
    <w:rsid w:val="003F2146"/>
    <w:rsid w:val="003F419A"/>
    <w:rsid w:val="003F4A62"/>
    <w:rsid w:val="003F58DF"/>
    <w:rsid w:val="0040208D"/>
    <w:rsid w:val="00403C1B"/>
    <w:rsid w:val="004076EF"/>
    <w:rsid w:val="00410D79"/>
    <w:rsid w:val="00410DDA"/>
    <w:rsid w:val="00411189"/>
    <w:rsid w:val="0041302B"/>
    <w:rsid w:val="00413811"/>
    <w:rsid w:val="004156ED"/>
    <w:rsid w:val="00420BEC"/>
    <w:rsid w:val="004216C5"/>
    <w:rsid w:val="00421B5B"/>
    <w:rsid w:val="004227EA"/>
    <w:rsid w:val="00423341"/>
    <w:rsid w:val="004242E5"/>
    <w:rsid w:val="00424EF0"/>
    <w:rsid w:val="00426331"/>
    <w:rsid w:val="00426FEA"/>
    <w:rsid w:val="00432DBA"/>
    <w:rsid w:val="00432F90"/>
    <w:rsid w:val="0043365A"/>
    <w:rsid w:val="0043509C"/>
    <w:rsid w:val="004350A5"/>
    <w:rsid w:val="0043632A"/>
    <w:rsid w:val="00437BA9"/>
    <w:rsid w:val="00440B16"/>
    <w:rsid w:val="00440B49"/>
    <w:rsid w:val="004433B4"/>
    <w:rsid w:val="0044373A"/>
    <w:rsid w:val="00447636"/>
    <w:rsid w:val="0044791D"/>
    <w:rsid w:val="00454818"/>
    <w:rsid w:val="00455DDB"/>
    <w:rsid w:val="00457D1E"/>
    <w:rsid w:val="0046105E"/>
    <w:rsid w:val="00461294"/>
    <w:rsid w:val="00461374"/>
    <w:rsid w:val="004622F1"/>
    <w:rsid w:val="00462683"/>
    <w:rsid w:val="00462F0F"/>
    <w:rsid w:val="0046395B"/>
    <w:rsid w:val="00464501"/>
    <w:rsid w:val="004647CA"/>
    <w:rsid w:val="004657A5"/>
    <w:rsid w:val="00467B4B"/>
    <w:rsid w:val="00471CFF"/>
    <w:rsid w:val="00475D93"/>
    <w:rsid w:val="00481388"/>
    <w:rsid w:val="004817F1"/>
    <w:rsid w:val="00486286"/>
    <w:rsid w:val="004913B3"/>
    <w:rsid w:val="004920D5"/>
    <w:rsid w:val="00493873"/>
    <w:rsid w:val="0049484E"/>
    <w:rsid w:val="00496CAE"/>
    <w:rsid w:val="0049701F"/>
    <w:rsid w:val="00497825"/>
    <w:rsid w:val="004A0E9B"/>
    <w:rsid w:val="004A2689"/>
    <w:rsid w:val="004A2FD4"/>
    <w:rsid w:val="004A42A3"/>
    <w:rsid w:val="004A4BD1"/>
    <w:rsid w:val="004A6CE3"/>
    <w:rsid w:val="004A6D39"/>
    <w:rsid w:val="004A7F7E"/>
    <w:rsid w:val="004C19A4"/>
    <w:rsid w:val="004C1E40"/>
    <w:rsid w:val="004C291E"/>
    <w:rsid w:val="004C39BF"/>
    <w:rsid w:val="004C3CFA"/>
    <w:rsid w:val="004C4231"/>
    <w:rsid w:val="004C4F0C"/>
    <w:rsid w:val="004C6FA5"/>
    <w:rsid w:val="004D14AB"/>
    <w:rsid w:val="004D2CFD"/>
    <w:rsid w:val="004D358F"/>
    <w:rsid w:val="004D50B8"/>
    <w:rsid w:val="004D5856"/>
    <w:rsid w:val="004D72A1"/>
    <w:rsid w:val="004E09A3"/>
    <w:rsid w:val="004E1A84"/>
    <w:rsid w:val="004E1CBB"/>
    <w:rsid w:val="004E1D7D"/>
    <w:rsid w:val="004E393A"/>
    <w:rsid w:val="004E677A"/>
    <w:rsid w:val="004E6C6F"/>
    <w:rsid w:val="004F06A3"/>
    <w:rsid w:val="004F1FC8"/>
    <w:rsid w:val="004F2248"/>
    <w:rsid w:val="004F26ED"/>
    <w:rsid w:val="004F40DD"/>
    <w:rsid w:val="004F4239"/>
    <w:rsid w:val="004F4CEE"/>
    <w:rsid w:val="004F57ED"/>
    <w:rsid w:val="004F5A28"/>
    <w:rsid w:val="004F60E8"/>
    <w:rsid w:val="004F6FB7"/>
    <w:rsid w:val="004F6FCE"/>
    <w:rsid w:val="004F7E08"/>
    <w:rsid w:val="00501C3F"/>
    <w:rsid w:val="0050273E"/>
    <w:rsid w:val="0050375A"/>
    <w:rsid w:val="00504E47"/>
    <w:rsid w:val="00505006"/>
    <w:rsid w:val="0050634A"/>
    <w:rsid w:val="005064C7"/>
    <w:rsid w:val="00506F46"/>
    <w:rsid w:val="0050786C"/>
    <w:rsid w:val="005152A7"/>
    <w:rsid w:val="005164FB"/>
    <w:rsid w:val="00517C0F"/>
    <w:rsid w:val="00517C6C"/>
    <w:rsid w:val="0052050A"/>
    <w:rsid w:val="00520ADF"/>
    <w:rsid w:val="005212D1"/>
    <w:rsid w:val="0053024A"/>
    <w:rsid w:val="00530A53"/>
    <w:rsid w:val="005325B9"/>
    <w:rsid w:val="00532EA9"/>
    <w:rsid w:val="0053435B"/>
    <w:rsid w:val="00534560"/>
    <w:rsid w:val="005361F4"/>
    <w:rsid w:val="005406F6"/>
    <w:rsid w:val="00540A0D"/>
    <w:rsid w:val="0054202E"/>
    <w:rsid w:val="00542D98"/>
    <w:rsid w:val="00543882"/>
    <w:rsid w:val="005441A0"/>
    <w:rsid w:val="00546341"/>
    <w:rsid w:val="0055169A"/>
    <w:rsid w:val="00552B92"/>
    <w:rsid w:val="00552CC8"/>
    <w:rsid w:val="005578BF"/>
    <w:rsid w:val="00560CB5"/>
    <w:rsid w:val="00561839"/>
    <w:rsid w:val="00562871"/>
    <w:rsid w:val="00562F30"/>
    <w:rsid w:val="00563524"/>
    <w:rsid w:val="00564D9D"/>
    <w:rsid w:val="0056602F"/>
    <w:rsid w:val="005667F2"/>
    <w:rsid w:val="005702B9"/>
    <w:rsid w:val="00570539"/>
    <w:rsid w:val="00570972"/>
    <w:rsid w:val="00570D32"/>
    <w:rsid w:val="00572D74"/>
    <w:rsid w:val="00573686"/>
    <w:rsid w:val="0057432B"/>
    <w:rsid w:val="005744CD"/>
    <w:rsid w:val="00574BCC"/>
    <w:rsid w:val="00575311"/>
    <w:rsid w:val="00576727"/>
    <w:rsid w:val="00577D2B"/>
    <w:rsid w:val="00580D28"/>
    <w:rsid w:val="00584E71"/>
    <w:rsid w:val="00585E9E"/>
    <w:rsid w:val="00586018"/>
    <w:rsid w:val="00586345"/>
    <w:rsid w:val="00586D80"/>
    <w:rsid w:val="00587213"/>
    <w:rsid w:val="00590020"/>
    <w:rsid w:val="00591C3B"/>
    <w:rsid w:val="00594318"/>
    <w:rsid w:val="0059497B"/>
    <w:rsid w:val="005958DF"/>
    <w:rsid w:val="00595CB5"/>
    <w:rsid w:val="00596852"/>
    <w:rsid w:val="005A0833"/>
    <w:rsid w:val="005A2643"/>
    <w:rsid w:val="005A4F94"/>
    <w:rsid w:val="005A65AD"/>
    <w:rsid w:val="005A6AB4"/>
    <w:rsid w:val="005A7FD8"/>
    <w:rsid w:val="005B04D7"/>
    <w:rsid w:val="005B1358"/>
    <w:rsid w:val="005B1408"/>
    <w:rsid w:val="005B48FA"/>
    <w:rsid w:val="005B596F"/>
    <w:rsid w:val="005B5C20"/>
    <w:rsid w:val="005B7044"/>
    <w:rsid w:val="005C23E8"/>
    <w:rsid w:val="005C2701"/>
    <w:rsid w:val="005C2B42"/>
    <w:rsid w:val="005C37E5"/>
    <w:rsid w:val="005C58E8"/>
    <w:rsid w:val="005C6EF4"/>
    <w:rsid w:val="005C7C3A"/>
    <w:rsid w:val="005D0241"/>
    <w:rsid w:val="005D0399"/>
    <w:rsid w:val="005D0F9D"/>
    <w:rsid w:val="005D2CB5"/>
    <w:rsid w:val="005D2D03"/>
    <w:rsid w:val="005D3516"/>
    <w:rsid w:val="005D6722"/>
    <w:rsid w:val="005E1B85"/>
    <w:rsid w:val="005E269A"/>
    <w:rsid w:val="005E4486"/>
    <w:rsid w:val="005E5E59"/>
    <w:rsid w:val="005E7271"/>
    <w:rsid w:val="005E74E0"/>
    <w:rsid w:val="005E7EFA"/>
    <w:rsid w:val="005F2A3E"/>
    <w:rsid w:val="005F5931"/>
    <w:rsid w:val="005F6C70"/>
    <w:rsid w:val="00602218"/>
    <w:rsid w:val="00603CD5"/>
    <w:rsid w:val="0060457E"/>
    <w:rsid w:val="00604792"/>
    <w:rsid w:val="00605C0C"/>
    <w:rsid w:val="00607C24"/>
    <w:rsid w:val="00607F3F"/>
    <w:rsid w:val="00607FC5"/>
    <w:rsid w:val="006105C7"/>
    <w:rsid w:val="00613243"/>
    <w:rsid w:val="00613B79"/>
    <w:rsid w:val="00613C9D"/>
    <w:rsid w:val="00615013"/>
    <w:rsid w:val="00615B3A"/>
    <w:rsid w:val="006226F3"/>
    <w:rsid w:val="00622967"/>
    <w:rsid w:val="00624582"/>
    <w:rsid w:val="00626138"/>
    <w:rsid w:val="00627902"/>
    <w:rsid w:val="00631486"/>
    <w:rsid w:val="006331E9"/>
    <w:rsid w:val="0063436D"/>
    <w:rsid w:val="00635315"/>
    <w:rsid w:val="00636CF8"/>
    <w:rsid w:val="00637365"/>
    <w:rsid w:val="00641057"/>
    <w:rsid w:val="00642868"/>
    <w:rsid w:val="006429C0"/>
    <w:rsid w:val="00643EED"/>
    <w:rsid w:val="00643FBC"/>
    <w:rsid w:val="00645EE1"/>
    <w:rsid w:val="00650715"/>
    <w:rsid w:val="00651084"/>
    <w:rsid w:val="006519BD"/>
    <w:rsid w:val="006524D1"/>
    <w:rsid w:val="006562FF"/>
    <w:rsid w:val="00656A9B"/>
    <w:rsid w:val="00657021"/>
    <w:rsid w:val="006578D7"/>
    <w:rsid w:val="00657B9B"/>
    <w:rsid w:val="00657DFF"/>
    <w:rsid w:val="00661830"/>
    <w:rsid w:val="0066460A"/>
    <w:rsid w:val="00664BFA"/>
    <w:rsid w:val="00665B46"/>
    <w:rsid w:val="00665FC2"/>
    <w:rsid w:val="00667823"/>
    <w:rsid w:val="00667BEF"/>
    <w:rsid w:val="006708F1"/>
    <w:rsid w:val="00671070"/>
    <w:rsid w:val="006730BD"/>
    <w:rsid w:val="00673DE7"/>
    <w:rsid w:val="00673E5E"/>
    <w:rsid w:val="00673F01"/>
    <w:rsid w:val="0067615B"/>
    <w:rsid w:val="00676434"/>
    <w:rsid w:val="00676453"/>
    <w:rsid w:val="006771E0"/>
    <w:rsid w:val="006772E1"/>
    <w:rsid w:val="00680C35"/>
    <w:rsid w:val="006816EE"/>
    <w:rsid w:val="006825C3"/>
    <w:rsid w:val="00683CD8"/>
    <w:rsid w:val="00683E23"/>
    <w:rsid w:val="00684FEA"/>
    <w:rsid w:val="0068518E"/>
    <w:rsid w:val="00687421"/>
    <w:rsid w:val="00690175"/>
    <w:rsid w:val="00692318"/>
    <w:rsid w:val="006924C2"/>
    <w:rsid w:val="00692EF9"/>
    <w:rsid w:val="00693533"/>
    <w:rsid w:val="00693A5E"/>
    <w:rsid w:val="00693B1C"/>
    <w:rsid w:val="00693C8C"/>
    <w:rsid w:val="00696FE4"/>
    <w:rsid w:val="0069701B"/>
    <w:rsid w:val="006A0A33"/>
    <w:rsid w:val="006A0A83"/>
    <w:rsid w:val="006A0A8F"/>
    <w:rsid w:val="006A28BF"/>
    <w:rsid w:val="006A3518"/>
    <w:rsid w:val="006A3584"/>
    <w:rsid w:val="006A39D0"/>
    <w:rsid w:val="006A44EF"/>
    <w:rsid w:val="006A4991"/>
    <w:rsid w:val="006A655D"/>
    <w:rsid w:val="006A7E0E"/>
    <w:rsid w:val="006B0154"/>
    <w:rsid w:val="006B087B"/>
    <w:rsid w:val="006B0CF4"/>
    <w:rsid w:val="006B2476"/>
    <w:rsid w:val="006B27AE"/>
    <w:rsid w:val="006B7503"/>
    <w:rsid w:val="006C1A06"/>
    <w:rsid w:val="006C20F3"/>
    <w:rsid w:val="006C24A3"/>
    <w:rsid w:val="006C3B15"/>
    <w:rsid w:val="006C3B1E"/>
    <w:rsid w:val="006C3C12"/>
    <w:rsid w:val="006C4CC4"/>
    <w:rsid w:val="006C4F7B"/>
    <w:rsid w:val="006C58A0"/>
    <w:rsid w:val="006C6054"/>
    <w:rsid w:val="006C679F"/>
    <w:rsid w:val="006C761D"/>
    <w:rsid w:val="006C7961"/>
    <w:rsid w:val="006C7DE0"/>
    <w:rsid w:val="006D13FB"/>
    <w:rsid w:val="006D290D"/>
    <w:rsid w:val="006D31CA"/>
    <w:rsid w:val="006D3F50"/>
    <w:rsid w:val="006D54CD"/>
    <w:rsid w:val="006D6039"/>
    <w:rsid w:val="006E050B"/>
    <w:rsid w:val="006E1128"/>
    <w:rsid w:val="006E2F20"/>
    <w:rsid w:val="006E58A0"/>
    <w:rsid w:val="006E5BA9"/>
    <w:rsid w:val="006E639B"/>
    <w:rsid w:val="006F028C"/>
    <w:rsid w:val="006F0AD2"/>
    <w:rsid w:val="006F14A4"/>
    <w:rsid w:val="006F1ACF"/>
    <w:rsid w:val="006F1B4D"/>
    <w:rsid w:val="006F1B5E"/>
    <w:rsid w:val="006F1EF9"/>
    <w:rsid w:val="006F46AA"/>
    <w:rsid w:val="006F5477"/>
    <w:rsid w:val="006F7CC9"/>
    <w:rsid w:val="007004DC"/>
    <w:rsid w:val="00700F28"/>
    <w:rsid w:val="00701C53"/>
    <w:rsid w:val="007022E6"/>
    <w:rsid w:val="00704218"/>
    <w:rsid w:val="0070588F"/>
    <w:rsid w:val="00705C02"/>
    <w:rsid w:val="00712E8D"/>
    <w:rsid w:val="007144B6"/>
    <w:rsid w:val="00714925"/>
    <w:rsid w:val="00714A92"/>
    <w:rsid w:val="00714E16"/>
    <w:rsid w:val="0072090F"/>
    <w:rsid w:val="007213F6"/>
    <w:rsid w:val="007225E9"/>
    <w:rsid w:val="007235C1"/>
    <w:rsid w:val="00724FB0"/>
    <w:rsid w:val="00726AAE"/>
    <w:rsid w:val="00730FB0"/>
    <w:rsid w:val="00731B0A"/>
    <w:rsid w:val="007324D7"/>
    <w:rsid w:val="00736AF9"/>
    <w:rsid w:val="00742FF8"/>
    <w:rsid w:val="007437D6"/>
    <w:rsid w:val="00743F96"/>
    <w:rsid w:val="00744681"/>
    <w:rsid w:val="00744786"/>
    <w:rsid w:val="007463F5"/>
    <w:rsid w:val="00746B14"/>
    <w:rsid w:val="007471C6"/>
    <w:rsid w:val="00750DAB"/>
    <w:rsid w:val="007522F0"/>
    <w:rsid w:val="00752E49"/>
    <w:rsid w:val="00753471"/>
    <w:rsid w:val="00754708"/>
    <w:rsid w:val="00754920"/>
    <w:rsid w:val="00754A13"/>
    <w:rsid w:val="007550C2"/>
    <w:rsid w:val="007571A1"/>
    <w:rsid w:val="00757EA8"/>
    <w:rsid w:val="00761CBB"/>
    <w:rsid w:val="007626FF"/>
    <w:rsid w:val="00764A8D"/>
    <w:rsid w:val="00764D1A"/>
    <w:rsid w:val="00765A2F"/>
    <w:rsid w:val="00765CDA"/>
    <w:rsid w:val="00767D3B"/>
    <w:rsid w:val="00771B5D"/>
    <w:rsid w:val="00771FCB"/>
    <w:rsid w:val="007733E0"/>
    <w:rsid w:val="007739EB"/>
    <w:rsid w:val="007741BE"/>
    <w:rsid w:val="00777D1D"/>
    <w:rsid w:val="00780C5D"/>
    <w:rsid w:val="007818BB"/>
    <w:rsid w:val="00783FD5"/>
    <w:rsid w:val="007841DA"/>
    <w:rsid w:val="007843BA"/>
    <w:rsid w:val="007853C5"/>
    <w:rsid w:val="007856A1"/>
    <w:rsid w:val="00785F47"/>
    <w:rsid w:val="007862E5"/>
    <w:rsid w:val="0078692E"/>
    <w:rsid w:val="00787115"/>
    <w:rsid w:val="007871A8"/>
    <w:rsid w:val="00790E61"/>
    <w:rsid w:val="00793273"/>
    <w:rsid w:val="00795146"/>
    <w:rsid w:val="00797FF9"/>
    <w:rsid w:val="007A060D"/>
    <w:rsid w:val="007A40D5"/>
    <w:rsid w:val="007A5105"/>
    <w:rsid w:val="007A514D"/>
    <w:rsid w:val="007A5997"/>
    <w:rsid w:val="007A7030"/>
    <w:rsid w:val="007B21F3"/>
    <w:rsid w:val="007B384F"/>
    <w:rsid w:val="007B4610"/>
    <w:rsid w:val="007B7B86"/>
    <w:rsid w:val="007C020F"/>
    <w:rsid w:val="007C1CA0"/>
    <w:rsid w:val="007C1D23"/>
    <w:rsid w:val="007C22A7"/>
    <w:rsid w:val="007C3048"/>
    <w:rsid w:val="007C3960"/>
    <w:rsid w:val="007C47A3"/>
    <w:rsid w:val="007C6035"/>
    <w:rsid w:val="007C6262"/>
    <w:rsid w:val="007C6A27"/>
    <w:rsid w:val="007C76B8"/>
    <w:rsid w:val="007D0965"/>
    <w:rsid w:val="007D0DF8"/>
    <w:rsid w:val="007D2667"/>
    <w:rsid w:val="007D403A"/>
    <w:rsid w:val="007D5EC5"/>
    <w:rsid w:val="007D79A3"/>
    <w:rsid w:val="007E0918"/>
    <w:rsid w:val="007E2028"/>
    <w:rsid w:val="007E6033"/>
    <w:rsid w:val="007F1B30"/>
    <w:rsid w:val="007F363F"/>
    <w:rsid w:val="007F46EA"/>
    <w:rsid w:val="007F64EC"/>
    <w:rsid w:val="007F6E24"/>
    <w:rsid w:val="007F7D4C"/>
    <w:rsid w:val="008055DB"/>
    <w:rsid w:val="008063DF"/>
    <w:rsid w:val="00807713"/>
    <w:rsid w:val="008108F1"/>
    <w:rsid w:val="00814A85"/>
    <w:rsid w:val="008157D4"/>
    <w:rsid w:val="0081627C"/>
    <w:rsid w:val="0082144D"/>
    <w:rsid w:val="0082382E"/>
    <w:rsid w:val="00824535"/>
    <w:rsid w:val="008249C9"/>
    <w:rsid w:val="00824AED"/>
    <w:rsid w:val="0082520D"/>
    <w:rsid w:val="00825B74"/>
    <w:rsid w:val="008260DF"/>
    <w:rsid w:val="008262DB"/>
    <w:rsid w:val="008270A8"/>
    <w:rsid w:val="00830107"/>
    <w:rsid w:val="00831948"/>
    <w:rsid w:val="00831CD0"/>
    <w:rsid w:val="00832BAA"/>
    <w:rsid w:val="00833729"/>
    <w:rsid w:val="00833D07"/>
    <w:rsid w:val="00844376"/>
    <w:rsid w:val="008449A0"/>
    <w:rsid w:val="00845095"/>
    <w:rsid w:val="008464D1"/>
    <w:rsid w:val="00846E89"/>
    <w:rsid w:val="0084764A"/>
    <w:rsid w:val="00847B70"/>
    <w:rsid w:val="00852270"/>
    <w:rsid w:val="00853CEC"/>
    <w:rsid w:val="00855322"/>
    <w:rsid w:val="008562FC"/>
    <w:rsid w:val="008570A2"/>
    <w:rsid w:val="00857F92"/>
    <w:rsid w:val="00860DFD"/>
    <w:rsid w:val="008611ED"/>
    <w:rsid w:val="008615E6"/>
    <w:rsid w:val="00864A96"/>
    <w:rsid w:val="00864C4D"/>
    <w:rsid w:val="00864D7D"/>
    <w:rsid w:val="00865A17"/>
    <w:rsid w:val="0087088B"/>
    <w:rsid w:val="00871571"/>
    <w:rsid w:val="00871757"/>
    <w:rsid w:val="008717CD"/>
    <w:rsid w:val="00872FBB"/>
    <w:rsid w:val="0087617F"/>
    <w:rsid w:val="00876CBC"/>
    <w:rsid w:val="00883531"/>
    <w:rsid w:val="00883B3C"/>
    <w:rsid w:val="00884E9A"/>
    <w:rsid w:val="00886D18"/>
    <w:rsid w:val="0088744A"/>
    <w:rsid w:val="00890ABC"/>
    <w:rsid w:val="008917E8"/>
    <w:rsid w:val="00891DF7"/>
    <w:rsid w:val="00892881"/>
    <w:rsid w:val="00892D8A"/>
    <w:rsid w:val="00893CE3"/>
    <w:rsid w:val="00893F1B"/>
    <w:rsid w:val="008940D7"/>
    <w:rsid w:val="008966C0"/>
    <w:rsid w:val="008967E8"/>
    <w:rsid w:val="00897C0B"/>
    <w:rsid w:val="008A0ABB"/>
    <w:rsid w:val="008A1533"/>
    <w:rsid w:val="008A265E"/>
    <w:rsid w:val="008A4330"/>
    <w:rsid w:val="008A4A33"/>
    <w:rsid w:val="008A51A0"/>
    <w:rsid w:val="008A5DFB"/>
    <w:rsid w:val="008A67B1"/>
    <w:rsid w:val="008A700A"/>
    <w:rsid w:val="008B0ABD"/>
    <w:rsid w:val="008B1D97"/>
    <w:rsid w:val="008B2004"/>
    <w:rsid w:val="008B4DEE"/>
    <w:rsid w:val="008B6F50"/>
    <w:rsid w:val="008C1FA9"/>
    <w:rsid w:val="008C307C"/>
    <w:rsid w:val="008C34B4"/>
    <w:rsid w:val="008C6132"/>
    <w:rsid w:val="008C77B8"/>
    <w:rsid w:val="008D0360"/>
    <w:rsid w:val="008D0951"/>
    <w:rsid w:val="008D211B"/>
    <w:rsid w:val="008D52A3"/>
    <w:rsid w:val="008D5A9E"/>
    <w:rsid w:val="008D5FEB"/>
    <w:rsid w:val="008D7799"/>
    <w:rsid w:val="008E219A"/>
    <w:rsid w:val="008E2261"/>
    <w:rsid w:val="008E3149"/>
    <w:rsid w:val="008E3FF0"/>
    <w:rsid w:val="008E5D60"/>
    <w:rsid w:val="008F04DB"/>
    <w:rsid w:val="008F176F"/>
    <w:rsid w:val="008F2392"/>
    <w:rsid w:val="008F332A"/>
    <w:rsid w:val="008F4D2C"/>
    <w:rsid w:val="008F5993"/>
    <w:rsid w:val="008F6244"/>
    <w:rsid w:val="008F740B"/>
    <w:rsid w:val="008F7706"/>
    <w:rsid w:val="00900553"/>
    <w:rsid w:val="00900665"/>
    <w:rsid w:val="0090097A"/>
    <w:rsid w:val="00903AB2"/>
    <w:rsid w:val="0090431F"/>
    <w:rsid w:val="00904579"/>
    <w:rsid w:val="00910EF9"/>
    <w:rsid w:val="009126A8"/>
    <w:rsid w:val="0091332A"/>
    <w:rsid w:val="00913CB1"/>
    <w:rsid w:val="0091407A"/>
    <w:rsid w:val="0091510E"/>
    <w:rsid w:val="00915247"/>
    <w:rsid w:val="00915529"/>
    <w:rsid w:val="00915B24"/>
    <w:rsid w:val="0091664B"/>
    <w:rsid w:val="00916B5E"/>
    <w:rsid w:val="0091707A"/>
    <w:rsid w:val="00921AD2"/>
    <w:rsid w:val="0092398A"/>
    <w:rsid w:val="00925340"/>
    <w:rsid w:val="00932535"/>
    <w:rsid w:val="00932BCA"/>
    <w:rsid w:val="00933848"/>
    <w:rsid w:val="00934476"/>
    <w:rsid w:val="00934B56"/>
    <w:rsid w:val="00934DD2"/>
    <w:rsid w:val="00934EB8"/>
    <w:rsid w:val="0094163A"/>
    <w:rsid w:val="00941A7E"/>
    <w:rsid w:val="00941ED1"/>
    <w:rsid w:val="0094300C"/>
    <w:rsid w:val="009436F6"/>
    <w:rsid w:val="00947AB5"/>
    <w:rsid w:val="009505B4"/>
    <w:rsid w:val="00951E01"/>
    <w:rsid w:val="00953E49"/>
    <w:rsid w:val="009545C4"/>
    <w:rsid w:val="009546C0"/>
    <w:rsid w:val="00955C01"/>
    <w:rsid w:val="0096120A"/>
    <w:rsid w:val="009613A4"/>
    <w:rsid w:val="00963696"/>
    <w:rsid w:val="0096400B"/>
    <w:rsid w:val="0096439D"/>
    <w:rsid w:val="00967791"/>
    <w:rsid w:val="009708A9"/>
    <w:rsid w:val="009747C5"/>
    <w:rsid w:val="009747C9"/>
    <w:rsid w:val="009769DF"/>
    <w:rsid w:val="00976C44"/>
    <w:rsid w:val="009829F9"/>
    <w:rsid w:val="00983898"/>
    <w:rsid w:val="009847A2"/>
    <w:rsid w:val="00986735"/>
    <w:rsid w:val="00991220"/>
    <w:rsid w:val="009914E1"/>
    <w:rsid w:val="00991C96"/>
    <w:rsid w:val="00991D21"/>
    <w:rsid w:val="00992757"/>
    <w:rsid w:val="00992CFC"/>
    <w:rsid w:val="00993C6D"/>
    <w:rsid w:val="00994912"/>
    <w:rsid w:val="00994960"/>
    <w:rsid w:val="00995419"/>
    <w:rsid w:val="00996A8D"/>
    <w:rsid w:val="00996BBE"/>
    <w:rsid w:val="00996E07"/>
    <w:rsid w:val="009973CA"/>
    <w:rsid w:val="00997F10"/>
    <w:rsid w:val="009A085D"/>
    <w:rsid w:val="009A09E3"/>
    <w:rsid w:val="009A0DA6"/>
    <w:rsid w:val="009A2556"/>
    <w:rsid w:val="009A25F6"/>
    <w:rsid w:val="009A2E72"/>
    <w:rsid w:val="009A30BF"/>
    <w:rsid w:val="009A333D"/>
    <w:rsid w:val="009A5542"/>
    <w:rsid w:val="009A7DE6"/>
    <w:rsid w:val="009B0148"/>
    <w:rsid w:val="009B09A5"/>
    <w:rsid w:val="009B2703"/>
    <w:rsid w:val="009B30F9"/>
    <w:rsid w:val="009B446F"/>
    <w:rsid w:val="009B6310"/>
    <w:rsid w:val="009B7BE4"/>
    <w:rsid w:val="009C0691"/>
    <w:rsid w:val="009C1C1F"/>
    <w:rsid w:val="009C1DE1"/>
    <w:rsid w:val="009C2145"/>
    <w:rsid w:val="009C2C75"/>
    <w:rsid w:val="009C2DE9"/>
    <w:rsid w:val="009C5819"/>
    <w:rsid w:val="009C5FC5"/>
    <w:rsid w:val="009C66C3"/>
    <w:rsid w:val="009C68DC"/>
    <w:rsid w:val="009C73D7"/>
    <w:rsid w:val="009D4B05"/>
    <w:rsid w:val="009D4B5E"/>
    <w:rsid w:val="009D525D"/>
    <w:rsid w:val="009D5C16"/>
    <w:rsid w:val="009D6BB3"/>
    <w:rsid w:val="009E08B0"/>
    <w:rsid w:val="009E094B"/>
    <w:rsid w:val="009E15BB"/>
    <w:rsid w:val="009E49A4"/>
    <w:rsid w:val="009E5865"/>
    <w:rsid w:val="009E5F11"/>
    <w:rsid w:val="009E62CA"/>
    <w:rsid w:val="009E6BA5"/>
    <w:rsid w:val="009E7EAB"/>
    <w:rsid w:val="009F128D"/>
    <w:rsid w:val="009F32F5"/>
    <w:rsid w:val="009F335C"/>
    <w:rsid w:val="009F4FE2"/>
    <w:rsid w:val="009F54DF"/>
    <w:rsid w:val="009F6CA0"/>
    <w:rsid w:val="009F76A1"/>
    <w:rsid w:val="009F7E7B"/>
    <w:rsid w:val="009F7EF1"/>
    <w:rsid w:val="00A00F54"/>
    <w:rsid w:val="00A052C7"/>
    <w:rsid w:val="00A0608E"/>
    <w:rsid w:val="00A06D1C"/>
    <w:rsid w:val="00A06F79"/>
    <w:rsid w:val="00A07946"/>
    <w:rsid w:val="00A07BBD"/>
    <w:rsid w:val="00A1039A"/>
    <w:rsid w:val="00A11210"/>
    <w:rsid w:val="00A130AF"/>
    <w:rsid w:val="00A1377F"/>
    <w:rsid w:val="00A14AD9"/>
    <w:rsid w:val="00A15478"/>
    <w:rsid w:val="00A1609F"/>
    <w:rsid w:val="00A164F5"/>
    <w:rsid w:val="00A1678F"/>
    <w:rsid w:val="00A16F9B"/>
    <w:rsid w:val="00A215E4"/>
    <w:rsid w:val="00A25341"/>
    <w:rsid w:val="00A257E9"/>
    <w:rsid w:val="00A26A8C"/>
    <w:rsid w:val="00A26D4F"/>
    <w:rsid w:val="00A2791A"/>
    <w:rsid w:val="00A27BE0"/>
    <w:rsid w:val="00A33384"/>
    <w:rsid w:val="00A340C6"/>
    <w:rsid w:val="00A400BD"/>
    <w:rsid w:val="00A40425"/>
    <w:rsid w:val="00A407A1"/>
    <w:rsid w:val="00A4252B"/>
    <w:rsid w:val="00A42718"/>
    <w:rsid w:val="00A463F3"/>
    <w:rsid w:val="00A4718F"/>
    <w:rsid w:val="00A50F14"/>
    <w:rsid w:val="00A517C6"/>
    <w:rsid w:val="00A51C5C"/>
    <w:rsid w:val="00A53242"/>
    <w:rsid w:val="00A55A42"/>
    <w:rsid w:val="00A55DC4"/>
    <w:rsid w:val="00A56E23"/>
    <w:rsid w:val="00A6171E"/>
    <w:rsid w:val="00A61B29"/>
    <w:rsid w:val="00A6267C"/>
    <w:rsid w:val="00A6358B"/>
    <w:rsid w:val="00A64097"/>
    <w:rsid w:val="00A64DFC"/>
    <w:rsid w:val="00A679D5"/>
    <w:rsid w:val="00A67D31"/>
    <w:rsid w:val="00A70082"/>
    <w:rsid w:val="00A703FF"/>
    <w:rsid w:val="00A70682"/>
    <w:rsid w:val="00A73926"/>
    <w:rsid w:val="00A75FCC"/>
    <w:rsid w:val="00A77A65"/>
    <w:rsid w:val="00A802FF"/>
    <w:rsid w:val="00A81761"/>
    <w:rsid w:val="00A83854"/>
    <w:rsid w:val="00A83974"/>
    <w:rsid w:val="00A875FC"/>
    <w:rsid w:val="00A90A52"/>
    <w:rsid w:val="00A90B25"/>
    <w:rsid w:val="00A90B7D"/>
    <w:rsid w:val="00A92422"/>
    <w:rsid w:val="00A9276D"/>
    <w:rsid w:val="00A94F3B"/>
    <w:rsid w:val="00A9660F"/>
    <w:rsid w:val="00A96BEF"/>
    <w:rsid w:val="00A96CDC"/>
    <w:rsid w:val="00A97B46"/>
    <w:rsid w:val="00AA1F6A"/>
    <w:rsid w:val="00AA20B6"/>
    <w:rsid w:val="00AA2DF2"/>
    <w:rsid w:val="00AA4CD0"/>
    <w:rsid w:val="00AA5689"/>
    <w:rsid w:val="00AA6161"/>
    <w:rsid w:val="00AA797D"/>
    <w:rsid w:val="00AB0057"/>
    <w:rsid w:val="00AB0782"/>
    <w:rsid w:val="00AB46E0"/>
    <w:rsid w:val="00AB494B"/>
    <w:rsid w:val="00AB6546"/>
    <w:rsid w:val="00AB7853"/>
    <w:rsid w:val="00AB7B8A"/>
    <w:rsid w:val="00AC0F00"/>
    <w:rsid w:val="00AC1388"/>
    <w:rsid w:val="00AC2955"/>
    <w:rsid w:val="00AC721D"/>
    <w:rsid w:val="00AC7C7D"/>
    <w:rsid w:val="00AD25C4"/>
    <w:rsid w:val="00AD5112"/>
    <w:rsid w:val="00AD75D5"/>
    <w:rsid w:val="00AE034B"/>
    <w:rsid w:val="00AE0437"/>
    <w:rsid w:val="00AE069D"/>
    <w:rsid w:val="00AE0DD5"/>
    <w:rsid w:val="00AE172E"/>
    <w:rsid w:val="00AE1997"/>
    <w:rsid w:val="00AE2762"/>
    <w:rsid w:val="00AE3061"/>
    <w:rsid w:val="00AE7E6D"/>
    <w:rsid w:val="00AE7F39"/>
    <w:rsid w:val="00AF4ABC"/>
    <w:rsid w:val="00AF5AE7"/>
    <w:rsid w:val="00AF5DC6"/>
    <w:rsid w:val="00B00B46"/>
    <w:rsid w:val="00B01ABE"/>
    <w:rsid w:val="00B0243E"/>
    <w:rsid w:val="00B03117"/>
    <w:rsid w:val="00B04C43"/>
    <w:rsid w:val="00B0505C"/>
    <w:rsid w:val="00B06EEB"/>
    <w:rsid w:val="00B079CA"/>
    <w:rsid w:val="00B11E69"/>
    <w:rsid w:val="00B1216B"/>
    <w:rsid w:val="00B122F9"/>
    <w:rsid w:val="00B140EF"/>
    <w:rsid w:val="00B14138"/>
    <w:rsid w:val="00B145B3"/>
    <w:rsid w:val="00B15E01"/>
    <w:rsid w:val="00B17A32"/>
    <w:rsid w:val="00B2017D"/>
    <w:rsid w:val="00B20CD4"/>
    <w:rsid w:val="00B21315"/>
    <w:rsid w:val="00B216ED"/>
    <w:rsid w:val="00B220F3"/>
    <w:rsid w:val="00B22A11"/>
    <w:rsid w:val="00B2337B"/>
    <w:rsid w:val="00B23B40"/>
    <w:rsid w:val="00B2592F"/>
    <w:rsid w:val="00B25B9B"/>
    <w:rsid w:val="00B266E7"/>
    <w:rsid w:val="00B273F4"/>
    <w:rsid w:val="00B27D67"/>
    <w:rsid w:val="00B27ED3"/>
    <w:rsid w:val="00B31B39"/>
    <w:rsid w:val="00B33989"/>
    <w:rsid w:val="00B34694"/>
    <w:rsid w:val="00B347B8"/>
    <w:rsid w:val="00B34E18"/>
    <w:rsid w:val="00B373AA"/>
    <w:rsid w:val="00B41B91"/>
    <w:rsid w:val="00B422E7"/>
    <w:rsid w:val="00B42A3C"/>
    <w:rsid w:val="00B43F4E"/>
    <w:rsid w:val="00B442EC"/>
    <w:rsid w:val="00B45AD9"/>
    <w:rsid w:val="00B46472"/>
    <w:rsid w:val="00B475D6"/>
    <w:rsid w:val="00B52132"/>
    <w:rsid w:val="00B527F2"/>
    <w:rsid w:val="00B52EBE"/>
    <w:rsid w:val="00B541C4"/>
    <w:rsid w:val="00B553DB"/>
    <w:rsid w:val="00B576AB"/>
    <w:rsid w:val="00B62BB0"/>
    <w:rsid w:val="00B644BF"/>
    <w:rsid w:val="00B64837"/>
    <w:rsid w:val="00B65801"/>
    <w:rsid w:val="00B65A08"/>
    <w:rsid w:val="00B65EB7"/>
    <w:rsid w:val="00B661D3"/>
    <w:rsid w:val="00B671F9"/>
    <w:rsid w:val="00B67416"/>
    <w:rsid w:val="00B714E4"/>
    <w:rsid w:val="00B7174B"/>
    <w:rsid w:val="00B72A9D"/>
    <w:rsid w:val="00B72D1B"/>
    <w:rsid w:val="00B72F9B"/>
    <w:rsid w:val="00B736A1"/>
    <w:rsid w:val="00B74AD5"/>
    <w:rsid w:val="00B766C9"/>
    <w:rsid w:val="00B76BB0"/>
    <w:rsid w:val="00B83602"/>
    <w:rsid w:val="00B8663C"/>
    <w:rsid w:val="00B870F0"/>
    <w:rsid w:val="00B91B9C"/>
    <w:rsid w:val="00B93403"/>
    <w:rsid w:val="00B95EE0"/>
    <w:rsid w:val="00B96ABB"/>
    <w:rsid w:val="00B96D68"/>
    <w:rsid w:val="00B97710"/>
    <w:rsid w:val="00B97926"/>
    <w:rsid w:val="00BA0C23"/>
    <w:rsid w:val="00BA11B9"/>
    <w:rsid w:val="00BA3492"/>
    <w:rsid w:val="00BA42B8"/>
    <w:rsid w:val="00BA717F"/>
    <w:rsid w:val="00BA7C64"/>
    <w:rsid w:val="00BB03F0"/>
    <w:rsid w:val="00BB1777"/>
    <w:rsid w:val="00BB1B91"/>
    <w:rsid w:val="00BB22BB"/>
    <w:rsid w:val="00BB243C"/>
    <w:rsid w:val="00BB7404"/>
    <w:rsid w:val="00BB7588"/>
    <w:rsid w:val="00BC0300"/>
    <w:rsid w:val="00BC07D8"/>
    <w:rsid w:val="00BC0D77"/>
    <w:rsid w:val="00BC1AB9"/>
    <w:rsid w:val="00BC282E"/>
    <w:rsid w:val="00BC3810"/>
    <w:rsid w:val="00BC4E5C"/>
    <w:rsid w:val="00BC5B32"/>
    <w:rsid w:val="00BC5B52"/>
    <w:rsid w:val="00BC6B4F"/>
    <w:rsid w:val="00BD2595"/>
    <w:rsid w:val="00BD3107"/>
    <w:rsid w:val="00BD3892"/>
    <w:rsid w:val="00BD562D"/>
    <w:rsid w:val="00BD72A2"/>
    <w:rsid w:val="00BE08B4"/>
    <w:rsid w:val="00BE3695"/>
    <w:rsid w:val="00BE541C"/>
    <w:rsid w:val="00BE542C"/>
    <w:rsid w:val="00BE74B1"/>
    <w:rsid w:val="00BF0A06"/>
    <w:rsid w:val="00BF224E"/>
    <w:rsid w:val="00BF2C6D"/>
    <w:rsid w:val="00BF3A12"/>
    <w:rsid w:val="00BF4DCE"/>
    <w:rsid w:val="00BF5AB5"/>
    <w:rsid w:val="00C006A2"/>
    <w:rsid w:val="00C019E3"/>
    <w:rsid w:val="00C0243E"/>
    <w:rsid w:val="00C0359A"/>
    <w:rsid w:val="00C04387"/>
    <w:rsid w:val="00C05E85"/>
    <w:rsid w:val="00C066B1"/>
    <w:rsid w:val="00C068C7"/>
    <w:rsid w:val="00C10FAF"/>
    <w:rsid w:val="00C12007"/>
    <w:rsid w:val="00C1274D"/>
    <w:rsid w:val="00C1295A"/>
    <w:rsid w:val="00C12E26"/>
    <w:rsid w:val="00C16014"/>
    <w:rsid w:val="00C20185"/>
    <w:rsid w:val="00C201B9"/>
    <w:rsid w:val="00C209E2"/>
    <w:rsid w:val="00C20E04"/>
    <w:rsid w:val="00C22AA3"/>
    <w:rsid w:val="00C22CD3"/>
    <w:rsid w:val="00C22E96"/>
    <w:rsid w:val="00C23D17"/>
    <w:rsid w:val="00C2490A"/>
    <w:rsid w:val="00C2585F"/>
    <w:rsid w:val="00C25B95"/>
    <w:rsid w:val="00C26F44"/>
    <w:rsid w:val="00C26F57"/>
    <w:rsid w:val="00C27904"/>
    <w:rsid w:val="00C30176"/>
    <w:rsid w:val="00C30A58"/>
    <w:rsid w:val="00C33CA7"/>
    <w:rsid w:val="00C33EE3"/>
    <w:rsid w:val="00C34B3C"/>
    <w:rsid w:val="00C374E2"/>
    <w:rsid w:val="00C37808"/>
    <w:rsid w:val="00C40E59"/>
    <w:rsid w:val="00C41C7A"/>
    <w:rsid w:val="00C44211"/>
    <w:rsid w:val="00C455A8"/>
    <w:rsid w:val="00C47280"/>
    <w:rsid w:val="00C537FB"/>
    <w:rsid w:val="00C54804"/>
    <w:rsid w:val="00C54FFC"/>
    <w:rsid w:val="00C572F3"/>
    <w:rsid w:val="00C57B25"/>
    <w:rsid w:val="00C64509"/>
    <w:rsid w:val="00C666BD"/>
    <w:rsid w:val="00C6688E"/>
    <w:rsid w:val="00C66A4C"/>
    <w:rsid w:val="00C71589"/>
    <w:rsid w:val="00C717C6"/>
    <w:rsid w:val="00C71D30"/>
    <w:rsid w:val="00C74A0E"/>
    <w:rsid w:val="00C75875"/>
    <w:rsid w:val="00C809D5"/>
    <w:rsid w:val="00C82C1B"/>
    <w:rsid w:val="00C838D2"/>
    <w:rsid w:val="00C84912"/>
    <w:rsid w:val="00C849A2"/>
    <w:rsid w:val="00C864E1"/>
    <w:rsid w:val="00C9015D"/>
    <w:rsid w:val="00C908EB"/>
    <w:rsid w:val="00C91F6B"/>
    <w:rsid w:val="00C9408F"/>
    <w:rsid w:val="00C9417E"/>
    <w:rsid w:val="00CA06E6"/>
    <w:rsid w:val="00CA0CF9"/>
    <w:rsid w:val="00CA13D3"/>
    <w:rsid w:val="00CA4A90"/>
    <w:rsid w:val="00CA58E9"/>
    <w:rsid w:val="00CA603F"/>
    <w:rsid w:val="00CA619E"/>
    <w:rsid w:val="00CA7285"/>
    <w:rsid w:val="00CA7A47"/>
    <w:rsid w:val="00CB0136"/>
    <w:rsid w:val="00CB028B"/>
    <w:rsid w:val="00CB09CA"/>
    <w:rsid w:val="00CB0A67"/>
    <w:rsid w:val="00CB0CE7"/>
    <w:rsid w:val="00CB1CB0"/>
    <w:rsid w:val="00CB1CFD"/>
    <w:rsid w:val="00CB2A76"/>
    <w:rsid w:val="00CB3474"/>
    <w:rsid w:val="00CB3AEC"/>
    <w:rsid w:val="00CB4489"/>
    <w:rsid w:val="00CB785F"/>
    <w:rsid w:val="00CB7AEC"/>
    <w:rsid w:val="00CC0221"/>
    <w:rsid w:val="00CC20F4"/>
    <w:rsid w:val="00CC32D7"/>
    <w:rsid w:val="00CC35C5"/>
    <w:rsid w:val="00CC7C0A"/>
    <w:rsid w:val="00CC7E7C"/>
    <w:rsid w:val="00CD0F33"/>
    <w:rsid w:val="00CD3017"/>
    <w:rsid w:val="00CD42E7"/>
    <w:rsid w:val="00CD5996"/>
    <w:rsid w:val="00CD6AD3"/>
    <w:rsid w:val="00CD6CE1"/>
    <w:rsid w:val="00CD7119"/>
    <w:rsid w:val="00CD7D6A"/>
    <w:rsid w:val="00CE0953"/>
    <w:rsid w:val="00CE17C5"/>
    <w:rsid w:val="00CE7821"/>
    <w:rsid w:val="00CF05E0"/>
    <w:rsid w:val="00CF16AB"/>
    <w:rsid w:val="00CF18A2"/>
    <w:rsid w:val="00CF205D"/>
    <w:rsid w:val="00CF2E5F"/>
    <w:rsid w:val="00CF3E2A"/>
    <w:rsid w:val="00CF5251"/>
    <w:rsid w:val="00CF7A48"/>
    <w:rsid w:val="00D00E3C"/>
    <w:rsid w:val="00D010AC"/>
    <w:rsid w:val="00D01141"/>
    <w:rsid w:val="00D019DA"/>
    <w:rsid w:val="00D024E5"/>
    <w:rsid w:val="00D05792"/>
    <w:rsid w:val="00D0590C"/>
    <w:rsid w:val="00D05C08"/>
    <w:rsid w:val="00D0625C"/>
    <w:rsid w:val="00D069F8"/>
    <w:rsid w:val="00D104FE"/>
    <w:rsid w:val="00D10F6E"/>
    <w:rsid w:val="00D113D2"/>
    <w:rsid w:val="00D11DFF"/>
    <w:rsid w:val="00D124DB"/>
    <w:rsid w:val="00D12EFB"/>
    <w:rsid w:val="00D15371"/>
    <w:rsid w:val="00D15A6E"/>
    <w:rsid w:val="00D163B9"/>
    <w:rsid w:val="00D16B5F"/>
    <w:rsid w:val="00D16D97"/>
    <w:rsid w:val="00D20FE9"/>
    <w:rsid w:val="00D243A2"/>
    <w:rsid w:val="00D248B9"/>
    <w:rsid w:val="00D25A7A"/>
    <w:rsid w:val="00D26600"/>
    <w:rsid w:val="00D26671"/>
    <w:rsid w:val="00D2786E"/>
    <w:rsid w:val="00D30F1E"/>
    <w:rsid w:val="00D3371F"/>
    <w:rsid w:val="00D33F58"/>
    <w:rsid w:val="00D35A09"/>
    <w:rsid w:val="00D36E58"/>
    <w:rsid w:val="00D37067"/>
    <w:rsid w:val="00D40ABC"/>
    <w:rsid w:val="00D4253C"/>
    <w:rsid w:val="00D42BE0"/>
    <w:rsid w:val="00D42D6E"/>
    <w:rsid w:val="00D43E48"/>
    <w:rsid w:val="00D450C6"/>
    <w:rsid w:val="00D46F75"/>
    <w:rsid w:val="00D528D4"/>
    <w:rsid w:val="00D5471F"/>
    <w:rsid w:val="00D555C3"/>
    <w:rsid w:val="00D558DE"/>
    <w:rsid w:val="00D55AB8"/>
    <w:rsid w:val="00D56456"/>
    <w:rsid w:val="00D5723A"/>
    <w:rsid w:val="00D57F1F"/>
    <w:rsid w:val="00D61029"/>
    <w:rsid w:val="00D61744"/>
    <w:rsid w:val="00D61B2F"/>
    <w:rsid w:val="00D62E40"/>
    <w:rsid w:val="00D637C7"/>
    <w:rsid w:val="00D6401E"/>
    <w:rsid w:val="00D6434A"/>
    <w:rsid w:val="00D650ED"/>
    <w:rsid w:val="00D71DF8"/>
    <w:rsid w:val="00D72DC4"/>
    <w:rsid w:val="00D744BF"/>
    <w:rsid w:val="00D76383"/>
    <w:rsid w:val="00D768B9"/>
    <w:rsid w:val="00D8095F"/>
    <w:rsid w:val="00D813A7"/>
    <w:rsid w:val="00D8464A"/>
    <w:rsid w:val="00D84801"/>
    <w:rsid w:val="00D852D9"/>
    <w:rsid w:val="00D85374"/>
    <w:rsid w:val="00D86432"/>
    <w:rsid w:val="00D86A0D"/>
    <w:rsid w:val="00D9389B"/>
    <w:rsid w:val="00D9689B"/>
    <w:rsid w:val="00DA0BFA"/>
    <w:rsid w:val="00DA17F8"/>
    <w:rsid w:val="00DA35C7"/>
    <w:rsid w:val="00DA420F"/>
    <w:rsid w:val="00DA4F21"/>
    <w:rsid w:val="00DA599F"/>
    <w:rsid w:val="00DA6B90"/>
    <w:rsid w:val="00DA77BA"/>
    <w:rsid w:val="00DA7CC2"/>
    <w:rsid w:val="00DB0427"/>
    <w:rsid w:val="00DB07F1"/>
    <w:rsid w:val="00DB08AB"/>
    <w:rsid w:val="00DB19F7"/>
    <w:rsid w:val="00DB264C"/>
    <w:rsid w:val="00DB29B4"/>
    <w:rsid w:val="00DB4D6D"/>
    <w:rsid w:val="00DB4DCF"/>
    <w:rsid w:val="00DB605D"/>
    <w:rsid w:val="00DB678D"/>
    <w:rsid w:val="00DB69F6"/>
    <w:rsid w:val="00DC0055"/>
    <w:rsid w:val="00DC042B"/>
    <w:rsid w:val="00DC097D"/>
    <w:rsid w:val="00DC175A"/>
    <w:rsid w:val="00DC36B8"/>
    <w:rsid w:val="00DC633E"/>
    <w:rsid w:val="00DC6483"/>
    <w:rsid w:val="00DC6D12"/>
    <w:rsid w:val="00DD0013"/>
    <w:rsid w:val="00DD0065"/>
    <w:rsid w:val="00DD0B7D"/>
    <w:rsid w:val="00DD3CF5"/>
    <w:rsid w:val="00DD53CC"/>
    <w:rsid w:val="00DD753B"/>
    <w:rsid w:val="00DE02DC"/>
    <w:rsid w:val="00DE0AC9"/>
    <w:rsid w:val="00DE0C97"/>
    <w:rsid w:val="00DE0EB0"/>
    <w:rsid w:val="00DE1242"/>
    <w:rsid w:val="00DE1858"/>
    <w:rsid w:val="00DE3FB1"/>
    <w:rsid w:val="00DE4F95"/>
    <w:rsid w:val="00DE648D"/>
    <w:rsid w:val="00DE67F7"/>
    <w:rsid w:val="00DE726B"/>
    <w:rsid w:val="00DF0656"/>
    <w:rsid w:val="00DF1420"/>
    <w:rsid w:val="00DF20E0"/>
    <w:rsid w:val="00DF306F"/>
    <w:rsid w:val="00DF320A"/>
    <w:rsid w:val="00DF45ED"/>
    <w:rsid w:val="00DF4A6F"/>
    <w:rsid w:val="00DF5ACB"/>
    <w:rsid w:val="00DF63C0"/>
    <w:rsid w:val="00E0004D"/>
    <w:rsid w:val="00E01A24"/>
    <w:rsid w:val="00E02A04"/>
    <w:rsid w:val="00E03379"/>
    <w:rsid w:val="00E04F01"/>
    <w:rsid w:val="00E072AD"/>
    <w:rsid w:val="00E13179"/>
    <w:rsid w:val="00E136F2"/>
    <w:rsid w:val="00E155A8"/>
    <w:rsid w:val="00E15EEC"/>
    <w:rsid w:val="00E16E1F"/>
    <w:rsid w:val="00E20765"/>
    <w:rsid w:val="00E21072"/>
    <w:rsid w:val="00E21739"/>
    <w:rsid w:val="00E233ED"/>
    <w:rsid w:val="00E2490A"/>
    <w:rsid w:val="00E25805"/>
    <w:rsid w:val="00E25EC4"/>
    <w:rsid w:val="00E30DE3"/>
    <w:rsid w:val="00E314C1"/>
    <w:rsid w:val="00E320FF"/>
    <w:rsid w:val="00E35F29"/>
    <w:rsid w:val="00E4131E"/>
    <w:rsid w:val="00E4135A"/>
    <w:rsid w:val="00E43FDC"/>
    <w:rsid w:val="00E46D4A"/>
    <w:rsid w:val="00E46F48"/>
    <w:rsid w:val="00E50EE7"/>
    <w:rsid w:val="00E557FB"/>
    <w:rsid w:val="00E56EF9"/>
    <w:rsid w:val="00E57E43"/>
    <w:rsid w:val="00E64DD7"/>
    <w:rsid w:val="00E66EB8"/>
    <w:rsid w:val="00E671F8"/>
    <w:rsid w:val="00E67922"/>
    <w:rsid w:val="00E67B49"/>
    <w:rsid w:val="00E715BC"/>
    <w:rsid w:val="00E73B80"/>
    <w:rsid w:val="00E74189"/>
    <w:rsid w:val="00E75099"/>
    <w:rsid w:val="00E8024B"/>
    <w:rsid w:val="00E821B2"/>
    <w:rsid w:val="00E83614"/>
    <w:rsid w:val="00E84175"/>
    <w:rsid w:val="00E85874"/>
    <w:rsid w:val="00E917C9"/>
    <w:rsid w:val="00E921F5"/>
    <w:rsid w:val="00E92AD9"/>
    <w:rsid w:val="00E97DC8"/>
    <w:rsid w:val="00EA002C"/>
    <w:rsid w:val="00EA057F"/>
    <w:rsid w:val="00EA0BD5"/>
    <w:rsid w:val="00EA52A4"/>
    <w:rsid w:val="00EA545C"/>
    <w:rsid w:val="00EA599D"/>
    <w:rsid w:val="00EA68CB"/>
    <w:rsid w:val="00EA7544"/>
    <w:rsid w:val="00EA7C6A"/>
    <w:rsid w:val="00EB04F2"/>
    <w:rsid w:val="00EB258B"/>
    <w:rsid w:val="00EB25A8"/>
    <w:rsid w:val="00EB492A"/>
    <w:rsid w:val="00EC2CF8"/>
    <w:rsid w:val="00EC403F"/>
    <w:rsid w:val="00EC63EE"/>
    <w:rsid w:val="00EC655D"/>
    <w:rsid w:val="00EC6E5E"/>
    <w:rsid w:val="00ED21C6"/>
    <w:rsid w:val="00ED22EC"/>
    <w:rsid w:val="00ED2C72"/>
    <w:rsid w:val="00ED3226"/>
    <w:rsid w:val="00ED3C65"/>
    <w:rsid w:val="00ED4260"/>
    <w:rsid w:val="00ED435D"/>
    <w:rsid w:val="00ED4432"/>
    <w:rsid w:val="00ED4ADC"/>
    <w:rsid w:val="00ED52AF"/>
    <w:rsid w:val="00ED5589"/>
    <w:rsid w:val="00ED59F4"/>
    <w:rsid w:val="00ED6F07"/>
    <w:rsid w:val="00EE0861"/>
    <w:rsid w:val="00EE0C62"/>
    <w:rsid w:val="00EE0DE7"/>
    <w:rsid w:val="00EE19FA"/>
    <w:rsid w:val="00EE248C"/>
    <w:rsid w:val="00EE2D4D"/>
    <w:rsid w:val="00EE3D88"/>
    <w:rsid w:val="00EE41C7"/>
    <w:rsid w:val="00EE7B02"/>
    <w:rsid w:val="00EF09B9"/>
    <w:rsid w:val="00EF2756"/>
    <w:rsid w:val="00EF747D"/>
    <w:rsid w:val="00F01C80"/>
    <w:rsid w:val="00F01DDC"/>
    <w:rsid w:val="00F01FF0"/>
    <w:rsid w:val="00F02EB9"/>
    <w:rsid w:val="00F04E99"/>
    <w:rsid w:val="00F06D1D"/>
    <w:rsid w:val="00F07DAC"/>
    <w:rsid w:val="00F10324"/>
    <w:rsid w:val="00F104C5"/>
    <w:rsid w:val="00F121E5"/>
    <w:rsid w:val="00F13283"/>
    <w:rsid w:val="00F142FC"/>
    <w:rsid w:val="00F143CD"/>
    <w:rsid w:val="00F1525C"/>
    <w:rsid w:val="00F15CD9"/>
    <w:rsid w:val="00F16142"/>
    <w:rsid w:val="00F17E23"/>
    <w:rsid w:val="00F252CD"/>
    <w:rsid w:val="00F258C7"/>
    <w:rsid w:val="00F27EE9"/>
    <w:rsid w:val="00F31330"/>
    <w:rsid w:val="00F334D6"/>
    <w:rsid w:val="00F33FB7"/>
    <w:rsid w:val="00F35839"/>
    <w:rsid w:val="00F37343"/>
    <w:rsid w:val="00F42400"/>
    <w:rsid w:val="00F42B1F"/>
    <w:rsid w:val="00F42BDE"/>
    <w:rsid w:val="00F44434"/>
    <w:rsid w:val="00F4448D"/>
    <w:rsid w:val="00F446EA"/>
    <w:rsid w:val="00F47FA2"/>
    <w:rsid w:val="00F5044A"/>
    <w:rsid w:val="00F51006"/>
    <w:rsid w:val="00F532A5"/>
    <w:rsid w:val="00F607FB"/>
    <w:rsid w:val="00F61171"/>
    <w:rsid w:val="00F649B3"/>
    <w:rsid w:val="00F652A4"/>
    <w:rsid w:val="00F65FBF"/>
    <w:rsid w:val="00F67B02"/>
    <w:rsid w:val="00F7001A"/>
    <w:rsid w:val="00F71A02"/>
    <w:rsid w:val="00F71EF6"/>
    <w:rsid w:val="00F739C7"/>
    <w:rsid w:val="00F744D8"/>
    <w:rsid w:val="00F75FE6"/>
    <w:rsid w:val="00F775D6"/>
    <w:rsid w:val="00F80F65"/>
    <w:rsid w:val="00F820C7"/>
    <w:rsid w:val="00F83A5E"/>
    <w:rsid w:val="00F8588C"/>
    <w:rsid w:val="00F871DE"/>
    <w:rsid w:val="00F911A8"/>
    <w:rsid w:val="00F91896"/>
    <w:rsid w:val="00F92612"/>
    <w:rsid w:val="00F93B96"/>
    <w:rsid w:val="00F93D41"/>
    <w:rsid w:val="00F962F2"/>
    <w:rsid w:val="00F96B48"/>
    <w:rsid w:val="00F9737A"/>
    <w:rsid w:val="00FA1B02"/>
    <w:rsid w:val="00FA1FFD"/>
    <w:rsid w:val="00FA28A0"/>
    <w:rsid w:val="00FA3334"/>
    <w:rsid w:val="00FA53F5"/>
    <w:rsid w:val="00FA5E7A"/>
    <w:rsid w:val="00FA6954"/>
    <w:rsid w:val="00FA790A"/>
    <w:rsid w:val="00FB21CA"/>
    <w:rsid w:val="00FB2205"/>
    <w:rsid w:val="00FB2843"/>
    <w:rsid w:val="00FB2BEB"/>
    <w:rsid w:val="00FB3CBA"/>
    <w:rsid w:val="00FB68CD"/>
    <w:rsid w:val="00FB7DD2"/>
    <w:rsid w:val="00FC0753"/>
    <w:rsid w:val="00FC2156"/>
    <w:rsid w:val="00FC22A1"/>
    <w:rsid w:val="00FC33DE"/>
    <w:rsid w:val="00FC3744"/>
    <w:rsid w:val="00FC4D71"/>
    <w:rsid w:val="00FC75AC"/>
    <w:rsid w:val="00FD096B"/>
    <w:rsid w:val="00FD4621"/>
    <w:rsid w:val="00FD4976"/>
    <w:rsid w:val="00FD6BCC"/>
    <w:rsid w:val="00FD6FF1"/>
    <w:rsid w:val="00FE041E"/>
    <w:rsid w:val="00FE3443"/>
    <w:rsid w:val="00FE3804"/>
    <w:rsid w:val="00FE4835"/>
    <w:rsid w:val="00FE6585"/>
    <w:rsid w:val="00FE7199"/>
    <w:rsid w:val="00FF365D"/>
    <w:rsid w:val="00FF4291"/>
    <w:rsid w:val="00FF5A48"/>
    <w:rsid w:val="00FF6E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AF263F"/>
  <w15:docId w15:val="{A0FC4CBE-27DF-4750-973B-8D9A7DE3E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標楷體" w:hAnsi="Times New Roman" w:cs="Times New Roman"/>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4801"/>
    <w:pPr>
      <w:widowControl w:val="0"/>
    </w:pPr>
  </w:style>
  <w:style w:type="paragraph" w:styleId="2">
    <w:name w:val="heading 2"/>
    <w:basedOn w:val="a"/>
    <w:next w:val="a"/>
    <w:link w:val="20"/>
    <w:qFormat/>
    <w:rsid w:val="00D16B5F"/>
    <w:pPr>
      <w:keepNext/>
      <w:spacing w:line="720" w:lineRule="auto"/>
      <w:outlineLvl w:val="1"/>
    </w:pPr>
    <w:rPr>
      <w:rFonts w:ascii="Arial" w:eastAsia="新細明體"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C2B42"/>
    <w:pPr>
      <w:widowControl w:val="0"/>
      <w:autoSpaceDE w:val="0"/>
      <w:autoSpaceDN w:val="0"/>
      <w:adjustRightInd w:val="0"/>
    </w:pPr>
    <w:rPr>
      <w:rFonts w:ascii="標楷體.稈..." w:eastAsia="標楷體.稈..." w:hAnsiTheme="minorHAnsi" w:cs="標楷體.稈..."/>
      <w:color w:val="000000"/>
      <w:kern w:val="0"/>
      <w:szCs w:val="24"/>
    </w:rPr>
  </w:style>
  <w:style w:type="paragraph" w:customStyle="1" w:styleId="CM1">
    <w:name w:val="CM1"/>
    <w:basedOn w:val="Default"/>
    <w:next w:val="Default"/>
    <w:uiPriority w:val="99"/>
    <w:rsid w:val="00151810"/>
    <w:pPr>
      <w:spacing w:line="551" w:lineRule="atLeast"/>
    </w:pPr>
    <w:rPr>
      <w:rFonts w:cstheme="minorBidi"/>
      <w:color w:val="auto"/>
    </w:rPr>
  </w:style>
  <w:style w:type="paragraph" w:styleId="a3">
    <w:name w:val="Balloon Text"/>
    <w:basedOn w:val="a"/>
    <w:link w:val="a4"/>
    <w:uiPriority w:val="99"/>
    <w:semiHidden/>
    <w:unhideWhenUsed/>
    <w:rsid w:val="008B2004"/>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8B2004"/>
    <w:rPr>
      <w:rFonts w:asciiTheme="majorHAnsi" w:eastAsiaTheme="majorEastAsia" w:hAnsiTheme="majorHAnsi" w:cstheme="majorBidi"/>
      <w:sz w:val="18"/>
      <w:szCs w:val="18"/>
    </w:rPr>
  </w:style>
  <w:style w:type="paragraph" w:styleId="a5">
    <w:name w:val="header"/>
    <w:aliases w:val="頁首 字元 字元,頁首 字元 字元 字元"/>
    <w:basedOn w:val="a"/>
    <w:link w:val="a6"/>
    <w:uiPriority w:val="99"/>
    <w:unhideWhenUsed/>
    <w:rsid w:val="00087D33"/>
    <w:pPr>
      <w:tabs>
        <w:tab w:val="center" w:pos="4153"/>
        <w:tab w:val="right" w:pos="8306"/>
      </w:tabs>
      <w:snapToGrid w:val="0"/>
    </w:pPr>
    <w:rPr>
      <w:sz w:val="20"/>
      <w:szCs w:val="20"/>
    </w:rPr>
  </w:style>
  <w:style w:type="character" w:customStyle="1" w:styleId="a6">
    <w:name w:val="頁首 字元"/>
    <w:aliases w:val="頁首 字元 字元 字元1,頁首 字元 字元 字元 字元"/>
    <w:basedOn w:val="a0"/>
    <w:link w:val="a5"/>
    <w:uiPriority w:val="99"/>
    <w:rsid w:val="00087D33"/>
    <w:rPr>
      <w:sz w:val="20"/>
      <w:szCs w:val="20"/>
    </w:rPr>
  </w:style>
  <w:style w:type="paragraph" w:styleId="a7">
    <w:name w:val="footer"/>
    <w:basedOn w:val="a"/>
    <w:link w:val="a8"/>
    <w:uiPriority w:val="99"/>
    <w:unhideWhenUsed/>
    <w:rsid w:val="00087D33"/>
    <w:pPr>
      <w:tabs>
        <w:tab w:val="center" w:pos="4153"/>
        <w:tab w:val="right" w:pos="8306"/>
      </w:tabs>
      <w:snapToGrid w:val="0"/>
    </w:pPr>
    <w:rPr>
      <w:sz w:val="20"/>
      <w:szCs w:val="20"/>
    </w:rPr>
  </w:style>
  <w:style w:type="character" w:customStyle="1" w:styleId="a8">
    <w:name w:val="頁尾 字元"/>
    <w:basedOn w:val="a0"/>
    <w:link w:val="a7"/>
    <w:uiPriority w:val="99"/>
    <w:rsid w:val="00087D33"/>
    <w:rPr>
      <w:sz w:val="20"/>
      <w:szCs w:val="20"/>
    </w:rPr>
  </w:style>
  <w:style w:type="table" w:styleId="a9">
    <w:name w:val="Table Grid"/>
    <w:basedOn w:val="a1"/>
    <w:uiPriority w:val="59"/>
    <w:rsid w:val="00CF2E5F"/>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unhideWhenUsed/>
    <w:rsid w:val="00CF2E5F"/>
    <w:pPr>
      <w:snapToGrid w:val="0"/>
    </w:pPr>
    <w:rPr>
      <w:kern w:val="0"/>
      <w:sz w:val="20"/>
      <w:szCs w:val="20"/>
    </w:rPr>
  </w:style>
  <w:style w:type="character" w:customStyle="1" w:styleId="ab">
    <w:name w:val="註腳文字 字元"/>
    <w:basedOn w:val="a0"/>
    <w:link w:val="aa"/>
    <w:uiPriority w:val="99"/>
    <w:rsid w:val="00CF2E5F"/>
    <w:rPr>
      <w:kern w:val="0"/>
      <w:sz w:val="20"/>
      <w:szCs w:val="20"/>
    </w:rPr>
  </w:style>
  <w:style w:type="character" w:styleId="ac">
    <w:name w:val="footnote reference"/>
    <w:basedOn w:val="a0"/>
    <w:uiPriority w:val="99"/>
    <w:unhideWhenUsed/>
    <w:rsid w:val="00CF2E5F"/>
    <w:rPr>
      <w:vertAlign w:val="superscript"/>
    </w:rPr>
  </w:style>
  <w:style w:type="paragraph" w:customStyle="1" w:styleId="ad">
    <w:name w:val="甲篇內文"/>
    <w:basedOn w:val="a"/>
    <w:link w:val="21"/>
    <w:qFormat/>
    <w:rsid w:val="00CF2E5F"/>
    <w:pPr>
      <w:spacing w:line="460" w:lineRule="exact"/>
      <w:ind w:firstLineChars="200" w:firstLine="200"/>
      <w:jc w:val="both"/>
    </w:pPr>
    <w:rPr>
      <w:rFonts w:ascii="標楷體"/>
      <w:sz w:val="28"/>
      <w:szCs w:val="28"/>
    </w:rPr>
  </w:style>
  <w:style w:type="character" w:customStyle="1" w:styleId="21">
    <w:name w:val="甲篇內文 字元2"/>
    <w:basedOn w:val="a0"/>
    <w:link w:val="ad"/>
    <w:rsid w:val="00CF2E5F"/>
    <w:rPr>
      <w:rFonts w:ascii="標楷體"/>
      <w:sz w:val="28"/>
      <w:szCs w:val="28"/>
    </w:rPr>
  </w:style>
  <w:style w:type="paragraph" w:customStyle="1" w:styleId="ae">
    <w:name w:val="標題壹、"/>
    <w:basedOn w:val="af"/>
    <w:link w:val="af0"/>
    <w:rsid w:val="00CF2E5F"/>
    <w:pPr>
      <w:spacing w:beforeLines="0" w:line="360" w:lineRule="auto"/>
      <w:jc w:val="both"/>
    </w:pPr>
    <w:rPr>
      <w:sz w:val="36"/>
      <w:szCs w:val="36"/>
    </w:rPr>
  </w:style>
  <w:style w:type="paragraph" w:customStyle="1" w:styleId="af">
    <w:name w:val="標題甲、"/>
    <w:basedOn w:val="a"/>
    <w:rsid w:val="00CF2E5F"/>
    <w:pPr>
      <w:spacing w:beforeLines="50"/>
      <w:jc w:val="center"/>
    </w:pPr>
    <w:rPr>
      <w:rFonts w:cs="新細明體"/>
      <w:b/>
      <w:bCs/>
      <w:sz w:val="40"/>
      <w:szCs w:val="20"/>
    </w:rPr>
  </w:style>
  <w:style w:type="character" w:customStyle="1" w:styleId="af0">
    <w:name w:val="標題壹、 字元"/>
    <w:link w:val="ae"/>
    <w:rsid w:val="00CF2E5F"/>
    <w:rPr>
      <w:rFonts w:cs="新細明體"/>
      <w:b/>
      <w:bCs/>
      <w:sz w:val="36"/>
      <w:szCs w:val="36"/>
    </w:rPr>
  </w:style>
  <w:style w:type="paragraph" w:styleId="Web">
    <w:name w:val="Normal (Web)"/>
    <w:basedOn w:val="a"/>
    <w:uiPriority w:val="99"/>
    <w:rsid w:val="00F37343"/>
    <w:pPr>
      <w:widowControl/>
      <w:spacing w:before="100" w:beforeAutospacing="1" w:after="100" w:afterAutospacing="1"/>
    </w:pPr>
    <w:rPr>
      <w:rFonts w:ascii="新細明體" w:eastAsia="新細明體" w:hAnsi="新細明體" w:cs="新細明體"/>
      <w:kern w:val="0"/>
      <w:szCs w:val="24"/>
    </w:rPr>
  </w:style>
  <w:style w:type="character" w:customStyle="1" w:styleId="20">
    <w:name w:val="標題 2 字元"/>
    <w:basedOn w:val="a0"/>
    <w:link w:val="2"/>
    <w:rsid w:val="00D16B5F"/>
    <w:rPr>
      <w:rFonts w:ascii="Arial" w:eastAsia="新細明體" w:hAnsi="Arial"/>
      <w:b/>
      <w:bCs/>
      <w:sz w:val="48"/>
      <w:szCs w:val="48"/>
    </w:rPr>
  </w:style>
  <w:style w:type="paragraph" w:customStyle="1" w:styleId="af1">
    <w:name w:val="(一)"/>
    <w:link w:val="af2"/>
    <w:qFormat/>
    <w:rsid w:val="00D16B5F"/>
    <w:pPr>
      <w:widowControl w:val="0"/>
      <w:kinsoku w:val="0"/>
      <w:overflowPunct w:val="0"/>
      <w:autoSpaceDE w:val="0"/>
      <w:autoSpaceDN w:val="0"/>
      <w:adjustRightInd w:val="0"/>
      <w:snapToGrid w:val="0"/>
      <w:spacing w:line="360" w:lineRule="auto"/>
      <w:ind w:leftChars="200" w:left="200"/>
      <w:jc w:val="both"/>
    </w:pPr>
    <w:rPr>
      <w:rFonts w:ascii="標楷體"/>
      <w:b/>
      <w:bCs/>
      <w:snapToGrid w:val="0"/>
      <w:kern w:val="0"/>
      <w:sz w:val="32"/>
      <w:szCs w:val="20"/>
    </w:rPr>
  </w:style>
  <w:style w:type="paragraph" w:customStyle="1" w:styleId="1">
    <w:name w:val="文1"/>
    <w:rsid w:val="00D16B5F"/>
    <w:pPr>
      <w:widowControl w:val="0"/>
      <w:kinsoku w:val="0"/>
      <w:overflowPunct w:val="0"/>
      <w:autoSpaceDE w:val="0"/>
      <w:autoSpaceDN w:val="0"/>
      <w:adjustRightInd w:val="0"/>
      <w:snapToGrid w:val="0"/>
      <w:spacing w:line="360" w:lineRule="auto"/>
      <w:ind w:firstLineChars="350" w:firstLine="350"/>
      <w:jc w:val="both"/>
    </w:pPr>
    <w:rPr>
      <w:rFonts w:ascii="標楷體"/>
      <w:snapToGrid w:val="0"/>
      <w:kern w:val="0"/>
      <w:sz w:val="32"/>
      <w:szCs w:val="20"/>
    </w:rPr>
  </w:style>
  <w:style w:type="paragraph" w:customStyle="1" w:styleId="af3">
    <w:name w:val="文"/>
    <w:rsid w:val="00D16B5F"/>
    <w:pPr>
      <w:widowControl w:val="0"/>
      <w:kinsoku w:val="0"/>
      <w:overflowPunct w:val="0"/>
      <w:autoSpaceDE w:val="0"/>
      <w:autoSpaceDN w:val="0"/>
      <w:adjustRightInd w:val="0"/>
      <w:snapToGrid w:val="0"/>
      <w:spacing w:line="360" w:lineRule="auto"/>
      <w:ind w:firstLineChars="200" w:firstLine="200"/>
      <w:jc w:val="both"/>
    </w:pPr>
    <w:rPr>
      <w:rFonts w:ascii="標楷體"/>
      <w:snapToGrid w:val="0"/>
      <w:kern w:val="0"/>
      <w:sz w:val="32"/>
      <w:szCs w:val="20"/>
    </w:rPr>
  </w:style>
  <w:style w:type="paragraph" w:customStyle="1" w:styleId="af4">
    <w:name w:val="標題一、"/>
    <w:basedOn w:val="a"/>
    <w:rsid w:val="00D16B5F"/>
    <w:pPr>
      <w:spacing w:beforeLines="20" w:afterLines="20" w:line="400" w:lineRule="exact"/>
      <w:ind w:firstLineChars="100" w:firstLine="100"/>
      <w:jc w:val="both"/>
    </w:pPr>
    <w:rPr>
      <w:rFonts w:cs="新細明體"/>
      <w:b/>
      <w:bCs/>
      <w:sz w:val="32"/>
      <w:szCs w:val="32"/>
    </w:rPr>
  </w:style>
  <w:style w:type="character" w:customStyle="1" w:styleId="af2">
    <w:name w:val="(一) 字元"/>
    <w:basedOn w:val="a0"/>
    <w:link w:val="af1"/>
    <w:rsid w:val="00D16B5F"/>
    <w:rPr>
      <w:rFonts w:ascii="標楷體"/>
      <w:b/>
      <w:bCs/>
      <w:snapToGrid w:val="0"/>
      <w:kern w:val="0"/>
      <w:sz w:val="32"/>
      <w:szCs w:val="20"/>
    </w:rPr>
  </w:style>
  <w:style w:type="paragraph" w:styleId="af5">
    <w:name w:val="List Paragraph"/>
    <w:basedOn w:val="a"/>
    <w:uiPriority w:val="34"/>
    <w:qFormat/>
    <w:rsid w:val="00B527F2"/>
    <w:pPr>
      <w:ind w:leftChars="200" w:left="480"/>
    </w:pPr>
  </w:style>
  <w:style w:type="paragraph" w:styleId="af6">
    <w:name w:val="Date"/>
    <w:basedOn w:val="a"/>
    <w:next w:val="a"/>
    <w:link w:val="af7"/>
    <w:uiPriority w:val="99"/>
    <w:semiHidden/>
    <w:unhideWhenUsed/>
    <w:rsid w:val="00941A7E"/>
    <w:pPr>
      <w:jc w:val="right"/>
    </w:pPr>
    <w:rPr>
      <w:rFonts w:asciiTheme="minorHAnsi" w:eastAsiaTheme="minorEastAsia" w:hAnsiTheme="minorHAnsi" w:cstheme="minorBidi"/>
    </w:rPr>
  </w:style>
  <w:style w:type="character" w:customStyle="1" w:styleId="af7">
    <w:name w:val="日期 字元"/>
    <w:basedOn w:val="a0"/>
    <w:link w:val="af6"/>
    <w:uiPriority w:val="99"/>
    <w:semiHidden/>
    <w:rsid w:val="00941A7E"/>
    <w:rPr>
      <w:rFonts w:asciiTheme="minorHAnsi" w:eastAsiaTheme="minorEastAsia" w:hAnsiTheme="minorHAnsi" w:cstheme="minorBidi"/>
    </w:rPr>
  </w:style>
  <w:style w:type="numbering" w:customStyle="1" w:styleId="10">
    <w:name w:val="無清單1"/>
    <w:next w:val="a2"/>
    <w:uiPriority w:val="99"/>
    <w:semiHidden/>
    <w:unhideWhenUsed/>
    <w:rsid w:val="00CF205D"/>
  </w:style>
  <w:style w:type="paragraph" w:styleId="af8">
    <w:name w:val="caption"/>
    <w:basedOn w:val="a"/>
    <w:next w:val="a"/>
    <w:uiPriority w:val="35"/>
    <w:semiHidden/>
    <w:unhideWhenUsed/>
    <w:qFormat/>
    <w:rsid w:val="00CF205D"/>
    <w:rPr>
      <w:kern w:val="0"/>
      <w:sz w:val="20"/>
      <w:szCs w:val="20"/>
    </w:r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fa"/>
    <w:locked/>
    <w:rsid w:val="00CF205D"/>
    <w:rPr>
      <w:rFonts w:ascii="細明體" w:eastAsia="細明體" w:hAnsi="Courier New"/>
    </w:rPr>
  </w:style>
  <w:style w:type="paragraph" w:styleId="af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f9"/>
    <w:unhideWhenUsed/>
    <w:rsid w:val="00CF205D"/>
    <w:rPr>
      <w:rFonts w:ascii="細明體" w:eastAsia="細明體" w:hAnsi="Courier New"/>
    </w:rPr>
  </w:style>
  <w:style w:type="character" w:customStyle="1" w:styleId="11">
    <w:name w:val="純文字 字元1"/>
    <w:basedOn w:val="a0"/>
    <w:uiPriority w:val="99"/>
    <w:semiHidden/>
    <w:rsid w:val="00CF205D"/>
    <w:rPr>
      <w:rFonts w:ascii="細明體" w:eastAsia="細明體" w:hAnsi="Courier New" w:cs="Courier New"/>
      <w:szCs w:val="24"/>
    </w:rPr>
  </w:style>
  <w:style w:type="paragraph" w:styleId="afb">
    <w:name w:val="Body Text"/>
    <w:basedOn w:val="a"/>
    <w:link w:val="afc"/>
    <w:rsid w:val="00CF205D"/>
    <w:pPr>
      <w:spacing w:line="540" w:lineRule="exact"/>
    </w:pPr>
    <w:rPr>
      <w:spacing w:val="6"/>
      <w:sz w:val="32"/>
      <w:szCs w:val="20"/>
    </w:rPr>
  </w:style>
  <w:style w:type="character" w:customStyle="1" w:styleId="afc">
    <w:name w:val="本文 字元"/>
    <w:basedOn w:val="a0"/>
    <w:link w:val="afb"/>
    <w:rsid w:val="00CF205D"/>
    <w:rPr>
      <w:spacing w:val="6"/>
      <w:sz w:val="32"/>
      <w:szCs w:val="20"/>
    </w:rPr>
  </w:style>
  <w:style w:type="character" w:styleId="afd">
    <w:name w:val="Emphasis"/>
    <w:basedOn w:val="a0"/>
    <w:uiPriority w:val="20"/>
    <w:qFormat/>
    <w:rsid w:val="00CF205D"/>
    <w:rPr>
      <w:i/>
      <w:iCs/>
    </w:rPr>
  </w:style>
  <w:style w:type="paragraph" w:customStyle="1" w:styleId="afe">
    <w:name w:val="甲"/>
    <w:rsid w:val="00CF205D"/>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b/>
      <w:snapToGrid w:val="0"/>
      <w:kern w:val="0"/>
      <w:sz w:val="34"/>
      <w:szCs w:val="20"/>
    </w:rPr>
  </w:style>
  <w:style w:type="paragraph" w:customStyle="1" w:styleId="aff">
    <w:name w:val="壹"/>
    <w:rsid w:val="00CF205D"/>
    <w:pPr>
      <w:widowControl w:val="0"/>
      <w:tabs>
        <w:tab w:val="right" w:leader="dot" w:pos="9660"/>
      </w:tabs>
      <w:kinsoku w:val="0"/>
      <w:wordWrap w:val="0"/>
      <w:overflowPunct w:val="0"/>
      <w:autoSpaceDE w:val="0"/>
      <w:autoSpaceDN w:val="0"/>
      <w:adjustRightInd w:val="0"/>
      <w:snapToGrid w:val="0"/>
      <w:spacing w:line="360" w:lineRule="auto"/>
      <w:ind w:left="976" w:hanging="624"/>
      <w:jc w:val="both"/>
    </w:pPr>
    <w:rPr>
      <w:rFonts w:ascii="標楷體"/>
      <w:snapToGrid w:val="0"/>
      <w:kern w:val="0"/>
      <w:sz w:val="32"/>
      <w:szCs w:val="20"/>
    </w:rPr>
  </w:style>
  <w:style w:type="paragraph" w:customStyle="1" w:styleId="aff0">
    <w:name w:val="一"/>
    <w:basedOn w:val="a"/>
    <w:rsid w:val="00CF205D"/>
    <w:pPr>
      <w:snapToGrid w:val="0"/>
      <w:spacing w:line="600" w:lineRule="exact"/>
    </w:pPr>
    <w:rPr>
      <w:b/>
      <w:bCs/>
      <w:sz w:val="28"/>
      <w:szCs w:val="20"/>
    </w:rPr>
  </w:style>
  <w:style w:type="paragraph" w:customStyle="1" w:styleId="aff1">
    <w:name w:val="大標"/>
    <w:basedOn w:val="a"/>
    <w:rsid w:val="00CF205D"/>
    <w:pPr>
      <w:kinsoku w:val="0"/>
      <w:wordWrap w:val="0"/>
      <w:overflowPunct w:val="0"/>
      <w:autoSpaceDE w:val="0"/>
      <w:autoSpaceDN w:val="0"/>
      <w:snapToGrid w:val="0"/>
      <w:jc w:val="center"/>
    </w:pPr>
    <w:rPr>
      <w:rFonts w:ascii="標楷體"/>
      <w:b/>
      <w:snapToGrid w:val="0"/>
      <w:kern w:val="0"/>
      <w:sz w:val="40"/>
      <w:szCs w:val="20"/>
    </w:rPr>
  </w:style>
  <w:style w:type="character" w:styleId="aff2">
    <w:name w:val="page number"/>
    <w:basedOn w:val="a0"/>
    <w:rsid w:val="00CF205D"/>
  </w:style>
  <w:style w:type="paragraph" w:customStyle="1" w:styleId="aff3">
    <w:name w:val="頁數"/>
    <w:basedOn w:val="a"/>
    <w:semiHidden/>
    <w:rsid w:val="00CF205D"/>
    <w:pPr>
      <w:spacing w:line="400" w:lineRule="exact"/>
      <w:ind w:firstLineChars="200" w:firstLine="480"/>
      <w:jc w:val="both"/>
    </w:pPr>
    <w:rPr>
      <w:rFonts w:ascii="標楷體"/>
      <w:szCs w:val="24"/>
    </w:rPr>
  </w:style>
  <w:style w:type="table" w:customStyle="1" w:styleId="12">
    <w:name w:val="表格格線1"/>
    <w:basedOn w:val="a1"/>
    <w:next w:val="a9"/>
    <w:uiPriority w:val="39"/>
    <w:rsid w:val="00CF205D"/>
    <w:rPr>
      <w:rFonts w:ascii="Calibri" w:eastAsia="新細明體"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
    <w:name w:val="內文123"/>
    <w:qFormat/>
    <w:rsid w:val="00CF205D"/>
    <w:pPr>
      <w:overflowPunct w:val="0"/>
      <w:ind w:firstLineChars="450" w:firstLine="450"/>
      <w:jc w:val="both"/>
    </w:pPr>
    <w:rPr>
      <w:rFonts w:ascii="標楷體" w:hAnsi="標楷體" w:cs="標楷體"/>
      <w:b/>
      <w:szCs w:val="24"/>
    </w:rPr>
  </w:style>
  <w:style w:type="character" w:styleId="aff4">
    <w:name w:val="annotation reference"/>
    <w:basedOn w:val="a0"/>
    <w:uiPriority w:val="99"/>
    <w:semiHidden/>
    <w:unhideWhenUsed/>
    <w:rsid w:val="00CF205D"/>
    <w:rPr>
      <w:sz w:val="18"/>
      <w:szCs w:val="18"/>
    </w:rPr>
  </w:style>
  <w:style w:type="paragraph" w:styleId="aff5">
    <w:name w:val="annotation text"/>
    <w:basedOn w:val="a"/>
    <w:link w:val="aff6"/>
    <w:uiPriority w:val="99"/>
    <w:semiHidden/>
    <w:unhideWhenUsed/>
    <w:rsid w:val="00CF205D"/>
    <w:rPr>
      <w:rFonts w:ascii="Calibri" w:eastAsia="新細明體" w:hAnsi="Calibri"/>
    </w:rPr>
  </w:style>
  <w:style w:type="character" w:customStyle="1" w:styleId="aff6">
    <w:name w:val="註解文字 字元"/>
    <w:basedOn w:val="a0"/>
    <w:link w:val="aff5"/>
    <w:uiPriority w:val="99"/>
    <w:semiHidden/>
    <w:rsid w:val="00CF205D"/>
    <w:rPr>
      <w:rFonts w:ascii="Calibri" w:eastAsia="新細明體" w:hAnsi="Calibri"/>
    </w:rPr>
  </w:style>
  <w:style w:type="paragraph" w:styleId="aff7">
    <w:name w:val="annotation subject"/>
    <w:basedOn w:val="aff5"/>
    <w:next w:val="aff5"/>
    <w:link w:val="aff8"/>
    <w:uiPriority w:val="99"/>
    <w:semiHidden/>
    <w:unhideWhenUsed/>
    <w:rsid w:val="00CF205D"/>
    <w:rPr>
      <w:b/>
      <w:bCs/>
    </w:rPr>
  </w:style>
  <w:style w:type="character" w:customStyle="1" w:styleId="aff8">
    <w:name w:val="註解主旨 字元"/>
    <w:basedOn w:val="aff6"/>
    <w:link w:val="aff7"/>
    <w:uiPriority w:val="99"/>
    <w:semiHidden/>
    <w:rsid w:val="00CF205D"/>
    <w:rPr>
      <w:rFonts w:ascii="Calibri" w:eastAsia="新細明體" w:hAnsi="Calibri"/>
      <w:b/>
      <w:bCs/>
    </w:rPr>
  </w:style>
  <w:style w:type="table" w:customStyle="1" w:styleId="110">
    <w:name w:val="表格格線11"/>
    <w:basedOn w:val="a1"/>
    <w:next w:val="a9"/>
    <w:uiPriority w:val="59"/>
    <w:rsid w:val="00CF205D"/>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無清單2"/>
    <w:next w:val="a2"/>
    <w:uiPriority w:val="99"/>
    <w:semiHidden/>
    <w:unhideWhenUsed/>
    <w:rsid w:val="007D403A"/>
  </w:style>
  <w:style w:type="table" w:customStyle="1" w:styleId="23">
    <w:name w:val="表格格線2"/>
    <w:basedOn w:val="a1"/>
    <w:next w:val="a9"/>
    <w:uiPriority w:val="59"/>
    <w:rsid w:val="007D403A"/>
    <w:rPr>
      <w:rFonts w:ascii="Calibri" w:eastAsia="新細明體"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9"/>
    <w:uiPriority w:val="59"/>
    <w:rsid w:val="007D403A"/>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2">
    <w:name w:val="01_內文_第一行空2字元"/>
    <w:qFormat/>
    <w:rsid w:val="00976C44"/>
    <w:pPr>
      <w:widowControl w:val="0"/>
      <w:overflowPunct w:val="0"/>
      <w:spacing w:line="460" w:lineRule="exact"/>
      <w:ind w:firstLineChars="200" w:firstLine="200"/>
      <w:jc w:val="both"/>
    </w:pPr>
    <w:rPr>
      <w:rFonts w:ascii="標楷體" w:hAnsi="標楷體"/>
      <w:szCs w:val="32"/>
    </w:rPr>
  </w:style>
  <w:style w:type="paragraph" w:customStyle="1" w:styleId="414P">
    <w:name w:val="4_次標_14P_（一）"/>
    <w:qFormat/>
    <w:rsid w:val="00976C44"/>
    <w:pPr>
      <w:widowControl w:val="0"/>
      <w:overflowPunct w:val="0"/>
      <w:spacing w:before="120" w:after="120" w:line="440" w:lineRule="exact"/>
      <w:ind w:leftChars="200" w:left="200"/>
      <w:jc w:val="both"/>
    </w:pPr>
    <w:rPr>
      <w:rFonts w:ascii="標楷體" w:hAnsi="標楷體"/>
      <w:b/>
      <w:sz w:val="28"/>
      <w:szCs w:val="32"/>
    </w:rPr>
  </w:style>
  <w:style w:type="paragraph" w:customStyle="1" w:styleId="aff9">
    <w:name w:val="標題一、 字元 字元 字元"/>
    <w:basedOn w:val="af"/>
    <w:link w:val="affa"/>
    <w:rsid w:val="00586345"/>
    <w:pPr>
      <w:spacing w:beforeLines="20" w:afterLines="20" w:line="400" w:lineRule="exact"/>
      <w:ind w:leftChars="100" w:left="310" w:hangingChars="210" w:hanging="210"/>
      <w:jc w:val="both"/>
    </w:pPr>
    <w:rPr>
      <w:sz w:val="32"/>
      <w:szCs w:val="32"/>
    </w:rPr>
  </w:style>
  <w:style w:type="character" w:customStyle="1" w:styleId="affa">
    <w:name w:val="標題一、 字元 字元 字元 字元"/>
    <w:basedOn w:val="a0"/>
    <w:link w:val="aff9"/>
    <w:rsid w:val="00586345"/>
    <w:rPr>
      <w:rFonts w:cs="新細明體"/>
      <w:b/>
      <w:bCs/>
      <w:sz w:val="32"/>
      <w:szCs w:val="32"/>
    </w:rPr>
  </w:style>
  <w:style w:type="table" w:customStyle="1" w:styleId="112">
    <w:name w:val="表格格線112"/>
    <w:basedOn w:val="a1"/>
    <w:next w:val="a9"/>
    <w:uiPriority w:val="39"/>
    <w:rsid w:val="0001288F"/>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next w:val="a9"/>
    <w:uiPriority w:val="39"/>
    <w:qFormat/>
    <w:rsid w:val="0001288F"/>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格細1"/>
    <w:basedOn w:val="a1"/>
    <w:next w:val="a9"/>
    <w:uiPriority w:val="39"/>
    <w:qFormat/>
    <w:rsid w:val="006A7E0E"/>
    <w:pPr>
      <w:widowControl w:val="0"/>
    </w:pPr>
    <w:rPr>
      <w:rFonts w:ascii="標楷體" w:hAnsi="標楷體"/>
      <w:color w:val="000000"/>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a1"/>
    <w:next w:val="a9"/>
    <w:uiPriority w:val="39"/>
    <w:qFormat/>
    <w:rsid w:val="00D163B9"/>
    <w:pPr>
      <w:widowControl w:val="0"/>
    </w:pPr>
    <w:rPr>
      <w:rFonts w:ascii="標楷體" w:hAnsi="標楷體"/>
      <w:color w:val="000000"/>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unhideWhenUsed/>
    <w:rsid w:val="009D4B05"/>
    <w:pPr>
      <w:spacing w:after="120"/>
      <w:ind w:leftChars="200" w:left="480"/>
    </w:pPr>
    <w:rPr>
      <w:rFonts w:asciiTheme="minorHAnsi" w:eastAsiaTheme="minorEastAsia" w:hAnsiTheme="minorHAnsi" w:cstheme="minorBidi"/>
      <w:sz w:val="16"/>
      <w:szCs w:val="16"/>
    </w:rPr>
  </w:style>
  <w:style w:type="character" w:customStyle="1" w:styleId="31">
    <w:name w:val="本文縮排 3 字元"/>
    <w:basedOn w:val="a0"/>
    <w:link w:val="30"/>
    <w:uiPriority w:val="99"/>
    <w:rsid w:val="009D4B05"/>
    <w:rPr>
      <w:rFonts w:asciiTheme="minorHAnsi" w:eastAsiaTheme="minorEastAsia" w:hAnsiTheme="minorHAnsi" w:cstheme="minorBid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713814">
      <w:bodyDiv w:val="1"/>
      <w:marLeft w:val="0"/>
      <w:marRight w:val="0"/>
      <w:marTop w:val="0"/>
      <w:marBottom w:val="0"/>
      <w:divBdr>
        <w:top w:val="none" w:sz="0" w:space="0" w:color="auto"/>
        <w:left w:val="none" w:sz="0" w:space="0" w:color="auto"/>
        <w:bottom w:val="none" w:sz="0" w:space="0" w:color="auto"/>
        <w:right w:val="none" w:sz="0" w:space="0" w:color="auto"/>
      </w:divBdr>
    </w:div>
    <w:div w:id="790250467">
      <w:bodyDiv w:val="1"/>
      <w:marLeft w:val="0"/>
      <w:marRight w:val="0"/>
      <w:marTop w:val="0"/>
      <w:marBottom w:val="0"/>
      <w:divBdr>
        <w:top w:val="none" w:sz="0" w:space="0" w:color="auto"/>
        <w:left w:val="none" w:sz="0" w:space="0" w:color="auto"/>
        <w:bottom w:val="none" w:sz="0" w:space="0" w:color="auto"/>
        <w:right w:val="none" w:sz="0" w:space="0" w:color="auto"/>
      </w:divBdr>
    </w:div>
    <w:div w:id="1215241348">
      <w:bodyDiv w:val="1"/>
      <w:marLeft w:val="0"/>
      <w:marRight w:val="0"/>
      <w:marTop w:val="0"/>
      <w:marBottom w:val="0"/>
      <w:divBdr>
        <w:top w:val="none" w:sz="0" w:space="0" w:color="auto"/>
        <w:left w:val="none" w:sz="0" w:space="0" w:color="auto"/>
        <w:bottom w:val="none" w:sz="0" w:space="0" w:color="auto"/>
        <w:right w:val="none" w:sz="0" w:space="0" w:color="auto"/>
      </w:divBdr>
    </w:div>
    <w:div w:id="187927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0.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0.xml"/><Relationship Id="rId14" Type="http://schemas.openxmlformats.org/officeDocument/2006/relationships/oleObject" Target="embeddings/Microsoft_Excel_Chart.xls"/></Relationships>
</file>

<file path=word/charts/_rels/chart1.xml.rels><?xml version="1.0" encoding="UTF-8" standalone="yes"?>
<Relationships xmlns="http://schemas.openxmlformats.org/package/2006/relationships"><Relationship Id="rId3" Type="http://schemas.openxmlformats.org/officeDocument/2006/relationships/oleObject" Target="file:///C:\Users\ycshi\Desktop\115-1\&#37325;&#35201;&#23529;&#26680;&#24847;&#35211;\&#30002;&#31687;&#32147;&#29151;&#32080;&#26524;\114&#24180;&#24230;&#32147;&#28639;&#37096;&#25152;&#23660;&#22283;&#29151;&#20107;&#26989;&#32147;&#29151;&#32080;&#26524;&#22294;.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ycshi\Desktop\115-1\&#37325;&#35201;&#23529;&#26680;&#24847;&#35211;\&#30002;&#31687;&#32147;&#29151;&#32080;&#26524;\114&#24180;&#24230;&#32147;&#28639;&#37096;&#25152;&#23660;&#22283;&#29151;&#20107;&#26989;&#32147;&#29151;&#32080;&#26524;&#22294;.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2.xml"/><Relationship Id="rId1" Type="http://schemas.microsoft.com/office/2011/relationships/chartStyle" Target="style2.xml"/><Relationship Id="rId5" Type="http://schemas.openxmlformats.org/officeDocument/2006/relationships/chartUserShapes" Target="../drawings/drawing1.xml"/><Relationship Id="rId4" Type="http://schemas.openxmlformats.org/officeDocument/2006/relationships/oleObject" Target="file:///C:\Users\yiling\Downloads\&#36092;&#24314;&#22266;&#36039;&#23436;&#25104;&#24460;&#22294;.xlsx" TargetMode="External"/></Relationships>
</file>

<file path=word/charts/_rels/chart20.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20.xml"/><Relationship Id="rId1" Type="http://schemas.microsoft.com/office/2011/relationships/chartStyle" Target="style20.xml"/><Relationship Id="rId5" Type="http://schemas.openxmlformats.org/officeDocument/2006/relationships/chartUserShapes" Target="../drawings/drawing10.xml"/><Relationship Id="rId4" Type="http://schemas.openxmlformats.org/officeDocument/2006/relationships/oleObject" Target="file:///C:\Users\yiling\Downloads\&#36092;&#24314;&#22266;&#36039;&#23436;&#25104;&#24460;&#22294;.xlsx" TargetMode="Externa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r>
              <a:rPr lang="zh-TW" sz="1200" b="1"/>
              <a:t>圖</a:t>
            </a:r>
            <a:r>
              <a:rPr lang="en-US" altLang="zh-TW" sz="1200" b="1"/>
              <a:t>1</a:t>
            </a:r>
            <a:r>
              <a:rPr lang="zh-TW" sz="1200" b="1"/>
              <a:t>　</a:t>
            </a:r>
            <a:r>
              <a:rPr lang="en-US" sz="1200" b="1"/>
              <a:t>114</a:t>
            </a:r>
            <a:r>
              <a:rPr lang="zh-TW" sz="1200" b="1"/>
              <a:t>年度經濟部所屬國營事業經營結果</a:t>
            </a:r>
          </a:p>
        </c:rich>
      </c:tx>
      <c:layout>
        <c:manualLayout>
          <c:xMode val="edge"/>
          <c:yMode val="edge"/>
          <c:x val="0.2085365439982361"/>
          <c:y val="4.2622389592605276E-3"/>
        </c:manualLayout>
      </c:layout>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autoTitleDeleted val="0"/>
    <c:plotArea>
      <c:layout>
        <c:manualLayout>
          <c:layoutTarget val="inner"/>
          <c:xMode val="edge"/>
          <c:yMode val="edge"/>
          <c:x val="0.25309639203015616"/>
          <c:y val="0.223196964509871"/>
          <c:w val="0.73831681782911229"/>
          <c:h val="0.5088085456709216"/>
        </c:manualLayout>
      </c:layout>
      <c:barChart>
        <c:barDir val="col"/>
        <c:grouping val="clustered"/>
        <c:varyColors val="0"/>
        <c:ser>
          <c:idx val="0"/>
          <c:order val="0"/>
          <c:tx>
            <c:strRef>
              <c:f>工作表1!$B$1</c:f>
              <c:strCache>
                <c:ptCount val="1"/>
                <c:pt idx="0">
                  <c:v>本期淨利（損）</c:v>
                </c:pt>
              </c:strCache>
            </c:strRef>
          </c:tx>
          <c:spPr>
            <a:solidFill>
              <a:schemeClr val="accent5">
                <a:lumMod val="40000"/>
                <a:lumOff val="60000"/>
              </a:schemeClr>
            </a:solidFill>
            <a:ln>
              <a:solidFill>
                <a:schemeClr val="tx1"/>
              </a:solidFill>
            </a:ln>
            <a:effectLst/>
          </c:spPr>
          <c:invertIfNegative val="0"/>
          <c:cat>
            <c:strRef>
              <c:f>工作表1!$A$2:$A$5</c:f>
              <c:strCache>
                <c:ptCount val="4"/>
                <c:pt idx="0">
                  <c:v>台灣糖業公司</c:v>
                </c:pt>
                <c:pt idx="1">
                  <c:v>台灣電力公司</c:v>
                </c:pt>
                <c:pt idx="2">
                  <c:v>台灣中油公司</c:v>
                </c:pt>
                <c:pt idx="3">
                  <c:v>台灣自來水公司</c:v>
                </c:pt>
              </c:strCache>
            </c:strRef>
          </c:cat>
          <c:val>
            <c:numRef>
              <c:f>工作表1!$B$2:$B$5</c:f>
              <c:numCache>
                <c:formatCode>#,##0_ </c:formatCode>
                <c:ptCount val="4"/>
                <c:pt idx="0">
                  <c:v>7487</c:v>
                </c:pt>
                <c:pt idx="1">
                  <c:v>75030</c:v>
                </c:pt>
                <c:pt idx="2">
                  <c:v>-11034</c:v>
                </c:pt>
                <c:pt idx="3">
                  <c:v>-5096</c:v>
                </c:pt>
              </c:numCache>
            </c:numRef>
          </c:val>
          <c:extLst>
            <c:ext xmlns:c16="http://schemas.microsoft.com/office/drawing/2014/chart" uri="{C3380CC4-5D6E-409C-BE32-E72D297353CC}">
              <c16:uniqueId val="{00000000-609B-43CF-82FD-27FF1732FFB4}"/>
            </c:ext>
          </c:extLst>
        </c:ser>
        <c:dLbls>
          <c:showLegendKey val="0"/>
          <c:showVal val="0"/>
          <c:showCatName val="0"/>
          <c:showSerName val="0"/>
          <c:showPercent val="0"/>
          <c:showBubbleSize val="0"/>
        </c:dLbls>
        <c:gapWidth val="219"/>
        <c:overlap val="-27"/>
        <c:axId val="1067917392"/>
        <c:axId val="1067913232"/>
      </c:barChart>
      <c:catAx>
        <c:axId val="1067917392"/>
        <c:scaling>
          <c:orientation val="minMax"/>
        </c:scaling>
        <c:delete val="0"/>
        <c:axPos val="b"/>
        <c:numFmt formatCode="General" sourceLinked="1"/>
        <c:majorTickMark val="none"/>
        <c:minorTickMark val="none"/>
        <c:tickLblPos val="nextTo"/>
        <c:spPr>
          <a:solidFill>
            <a:schemeClr val="tx1"/>
          </a:solid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067913232"/>
        <c:crosses val="autoZero"/>
        <c:auto val="1"/>
        <c:lblAlgn val="ctr"/>
        <c:lblOffset val="100"/>
        <c:noMultiLvlLbl val="0"/>
      </c:catAx>
      <c:valAx>
        <c:axId val="1067913232"/>
        <c:scaling>
          <c:orientation val="minMax"/>
        </c:scaling>
        <c:delete val="0"/>
        <c:axPos val="l"/>
        <c:majorGridlines>
          <c:spPr>
            <a:ln w="9525" cap="flat" cmpd="sng" algn="ctr">
              <a:no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a:t>百萬元</a:t>
                </a:r>
              </a:p>
            </c:rich>
          </c:tx>
          <c:layout>
            <c:manualLayout>
              <c:xMode val="edge"/>
              <c:yMode val="edge"/>
              <c:x val="0.1302466937190202"/>
              <c:y val="0.1044713160854893"/>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 " sourceLinked="1"/>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067917392"/>
        <c:crosses val="autoZero"/>
        <c:crossBetween val="between"/>
        <c:majorUnit val="20000"/>
      </c:valAx>
      <c:dTable>
        <c:showHorzBorder val="1"/>
        <c:showVertBorder val="1"/>
        <c:showOutline val="1"/>
        <c:showKeys val="1"/>
        <c:spPr>
          <a:noFill/>
          <a:ln w="9525" cap="flat" cmpd="sng" algn="ctr">
            <a:solidFill>
              <a:schemeClr val="tx1"/>
            </a:solidFill>
            <a:round/>
          </a:ln>
          <a:effectLst/>
        </c:spPr>
        <c:txPr>
          <a:bodyPr rot="0" spcFirstLastPara="1" vertOverflow="ellipsis" vert="horz" wrap="square" anchor="ctr" anchorCtr="1"/>
          <a:lstStyle/>
          <a:p>
            <a:pPr rtl="0">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Table>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r>
              <a:rPr lang="zh-TW" sz="1200" b="1"/>
              <a:t>圖</a:t>
            </a:r>
            <a:r>
              <a:rPr lang="en-US" altLang="zh-TW" sz="1200" b="1"/>
              <a:t>1</a:t>
            </a:r>
            <a:r>
              <a:rPr lang="zh-TW" sz="1200" b="1"/>
              <a:t>　</a:t>
            </a:r>
            <a:r>
              <a:rPr lang="en-US" sz="1200" b="1"/>
              <a:t>114</a:t>
            </a:r>
            <a:r>
              <a:rPr lang="zh-TW" sz="1200" b="1"/>
              <a:t>年度經濟部所屬國營事業經營結果</a:t>
            </a:r>
          </a:p>
        </c:rich>
      </c:tx>
      <c:layout>
        <c:manualLayout>
          <c:xMode val="edge"/>
          <c:yMode val="edge"/>
          <c:x val="0.2085365439982361"/>
          <c:y val="4.2622389592605276E-3"/>
        </c:manualLayout>
      </c:layout>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autoTitleDeleted val="0"/>
    <c:plotArea>
      <c:layout>
        <c:manualLayout>
          <c:layoutTarget val="inner"/>
          <c:xMode val="edge"/>
          <c:yMode val="edge"/>
          <c:x val="0.25309639203015616"/>
          <c:y val="0.223196964509871"/>
          <c:w val="0.73831681782911229"/>
          <c:h val="0.5088085456709216"/>
        </c:manualLayout>
      </c:layout>
      <c:barChart>
        <c:barDir val="col"/>
        <c:grouping val="clustered"/>
        <c:varyColors val="0"/>
        <c:ser>
          <c:idx val="0"/>
          <c:order val="0"/>
          <c:tx>
            <c:strRef>
              <c:f>工作表1!$B$1</c:f>
              <c:strCache>
                <c:ptCount val="1"/>
                <c:pt idx="0">
                  <c:v>本期淨利（損）</c:v>
                </c:pt>
              </c:strCache>
            </c:strRef>
          </c:tx>
          <c:spPr>
            <a:solidFill>
              <a:schemeClr val="accent5">
                <a:lumMod val="40000"/>
                <a:lumOff val="60000"/>
              </a:schemeClr>
            </a:solidFill>
            <a:ln>
              <a:solidFill>
                <a:schemeClr val="tx1"/>
              </a:solidFill>
            </a:ln>
            <a:effectLst/>
          </c:spPr>
          <c:invertIfNegative val="0"/>
          <c:cat>
            <c:strRef>
              <c:f>工作表1!$A$2:$A$5</c:f>
              <c:strCache>
                <c:ptCount val="4"/>
                <c:pt idx="0">
                  <c:v>台灣糖業公司</c:v>
                </c:pt>
                <c:pt idx="1">
                  <c:v>台灣電力公司</c:v>
                </c:pt>
                <c:pt idx="2">
                  <c:v>台灣中油公司</c:v>
                </c:pt>
                <c:pt idx="3">
                  <c:v>台灣自來水公司</c:v>
                </c:pt>
              </c:strCache>
            </c:strRef>
          </c:cat>
          <c:val>
            <c:numRef>
              <c:f>工作表1!$B$2:$B$5</c:f>
              <c:numCache>
                <c:formatCode>#,##0_ </c:formatCode>
                <c:ptCount val="4"/>
                <c:pt idx="0">
                  <c:v>7487</c:v>
                </c:pt>
                <c:pt idx="1">
                  <c:v>75030</c:v>
                </c:pt>
                <c:pt idx="2">
                  <c:v>-11034</c:v>
                </c:pt>
                <c:pt idx="3">
                  <c:v>-5096</c:v>
                </c:pt>
              </c:numCache>
            </c:numRef>
          </c:val>
          <c:extLst>
            <c:ext xmlns:c16="http://schemas.microsoft.com/office/drawing/2014/chart" uri="{C3380CC4-5D6E-409C-BE32-E72D297353CC}">
              <c16:uniqueId val="{00000000-609B-43CF-82FD-27FF1732FFB4}"/>
            </c:ext>
          </c:extLst>
        </c:ser>
        <c:dLbls>
          <c:showLegendKey val="0"/>
          <c:showVal val="0"/>
          <c:showCatName val="0"/>
          <c:showSerName val="0"/>
          <c:showPercent val="0"/>
          <c:showBubbleSize val="0"/>
        </c:dLbls>
        <c:gapWidth val="219"/>
        <c:overlap val="-27"/>
        <c:axId val="1067917392"/>
        <c:axId val="1067913232"/>
      </c:barChart>
      <c:catAx>
        <c:axId val="1067917392"/>
        <c:scaling>
          <c:orientation val="minMax"/>
        </c:scaling>
        <c:delete val="0"/>
        <c:axPos val="b"/>
        <c:numFmt formatCode="General" sourceLinked="1"/>
        <c:majorTickMark val="none"/>
        <c:minorTickMark val="none"/>
        <c:tickLblPos val="nextTo"/>
        <c:spPr>
          <a:solidFill>
            <a:schemeClr val="tx1"/>
          </a:solid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067913232"/>
        <c:crosses val="autoZero"/>
        <c:auto val="1"/>
        <c:lblAlgn val="ctr"/>
        <c:lblOffset val="100"/>
        <c:noMultiLvlLbl val="0"/>
      </c:catAx>
      <c:valAx>
        <c:axId val="1067913232"/>
        <c:scaling>
          <c:orientation val="minMax"/>
        </c:scaling>
        <c:delete val="0"/>
        <c:axPos val="l"/>
        <c:majorGridlines>
          <c:spPr>
            <a:ln w="9525" cap="flat" cmpd="sng" algn="ctr">
              <a:no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a:t>百萬元</a:t>
                </a:r>
              </a:p>
            </c:rich>
          </c:tx>
          <c:layout>
            <c:manualLayout>
              <c:xMode val="edge"/>
              <c:yMode val="edge"/>
              <c:x val="0.1302466937190202"/>
              <c:y val="0.1044713160854893"/>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 " sourceLinked="1"/>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067917392"/>
        <c:crosses val="autoZero"/>
        <c:crossBetween val="between"/>
        <c:majorUnit val="20000"/>
      </c:valAx>
      <c:dTable>
        <c:showHorzBorder val="1"/>
        <c:showVertBorder val="1"/>
        <c:showOutline val="1"/>
        <c:showKeys val="1"/>
        <c:spPr>
          <a:noFill/>
          <a:ln w="9525" cap="flat" cmpd="sng" algn="ctr">
            <a:solidFill>
              <a:schemeClr val="tx1"/>
            </a:solidFill>
            <a:round/>
          </a:ln>
          <a:effectLst/>
        </c:spPr>
        <c:txPr>
          <a:bodyPr rot="0" spcFirstLastPara="1" vertOverflow="ellipsis" vert="horz" wrap="square" anchor="ctr" anchorCtr="1"/>
          <a:lstStyle/>
          <a:p>
            <a:pPr rtl="0">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Table>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70"/>
      <c:rotY val="0"/>
      <c:rAngAx val="0"/>
      <c:perspective val="2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
          <c:y val="2.180018617677246E-2"/>
          <c:w val="1"/>
          <c:h val="0.94808699806913832"/>
        </c:manualLayout>
      </c:layout>
      <c:pie3DChart>
        <c:varyColors val="1"/>
        <c:ser>
          <c:idx val="0"/>
          <c:order val="0"/>
          <c:spPr>
            <a:solidFill>
              <a:schemeClr val="accent4">
                <a:lumMod val="40000"/>
                <a:lumOff val="60000"/>
              </a:schemeClr>
            </a:solidFill>
            <a:ln>
              <a:solidFill>
                <a:sysClr val="windowText" lastClr="000000">
                  <a:lumMod val="25000"/>
                  <a:lumOff val="75000"/>
                </a:sysClr>
              </a:solidFill>
            </a:ln>
            <a:effectLst/>
          </c:spPr>
          <c:dPt>
            <c:idx val="0"/>
            <c:bubble3D val="0"/>
            <c:explosion val="11"/>
            <c:spPr>
              <a:solidFill>
                <a:schemeClr val="accent5">
                  <a:lumMod val="40000"/>
                  <a:lumOff val="60000"/>
                </a:schemeClr>
              </a:solidFill>
              <a:ln w="6350">
                <a:solidFill>
                  <a:schemeClr val="tx1"/>
                </a:solidFill>
              </a:ln>
              <a:effectLst/>
              <a:sp3d contourW="6350">
                <a:contourClr>
                  <a:schemeClr val="tx1"/>
                </a:contourClr>
              </a:sp3d>
            </c:spPr>
            <c:extLst>
              <c:ext xmlns:c16="http://schemas.microsoft.com/office/drawing/2014/chart" uri="{C3380CC4-5D6E-409C-BE32-E72D297353CC}">
                <c16:uniqueId val="{00000001-FD28-4E7D-BA21-61B480DF5F3F}"/>
              </c:ext>
            </c:extLst>
          </c:dPt>
          <c:dPt>
            <c:idx val="1"/>
            <c:bubble3D val="0"/>
            <c:explosion val="16"/>
            <c:spPr>
              <a:solidFill>
                <a:schemeClr val="accent6">
                  <a:lumMod val="40000"/>
                  <a:lumOff val="60000"/>
                </a:schemeClr>
              </a:solidFill>
              <a:ln w="6350">
                <a:solidFill>
                  <a:schemeClr val="tx1">
                    <a:alpha val="97000"/>
                  </a:schemeClr>
                </a:solidFill>
              </a:ln>
              <a:effectLst/>
              <a:sp3d contourW="6350">
                <a:contourClr>
                  <a:schemeClr val="tx1">
                    <a:alpha val="97000"/>
                  </a:schemeClr>
                </a:contourClr>
              </a:sp3d>
            </c:spPr>
            <c:extLst>
              <c:ext xmlns:c16="http://schemas.microsoft.com/office/drawing/2014/chart" uri="{C3380CC4-5D6E-409C-BE32-E72D297353CC}">
                <c16:uniqueId val="{00000003-FD28-4E7D-BA21-61B480DF5F3F}"/>
              </c:ext>
            </c:extLst>
          </c:dPt>
          <c:dPt>
            <c:idx val="2"/>
            <c:bubble3D val="0"/>
            <c:spPr>
              <a:solidFill>
                <a:schemeClr val="accent4">
                  <a:lumMod val="40000"/>
                  <a:lumOff val="60000"/>
                </a:schemeClr>
              </a:solidFill>
              <a:ln w="6350">
                <a:solidFill>
                  <a:schemeClr val="tx1"/>
                </a:solidFill>
              </a:ln>
              <a:effectLst/>
              <a:sp3d contourW="6350">
                <a:contourClr>
                  <a:schemeClr val="tx1"/>
                </a:contourClr>
              </a:sp3d>
            </c:spPr>
            <c:extLst>
              <c:ext xmlns:c16="http://schemas.microsoft.com/office/drawing/2014/chart" uri="{C3380CC4-5D6E-409C-BE32-E72D297353CC}">
                <c16:uniqueId val="{00000005-FD28-4E7D-BA21-61B480DF5F3F}"/>
              </c:ext>
            </c:extLst>
          </c:dPt>
          <c:dLbls>
            <c:dLbl>
              <c:idx val="0"/>
              <c:layout>
                <c:manualLayout>
                  <c:x val="-0.19709833473613009"/>
                  <c:y val="0.14970855120559384"/>
                </c:manualLayout>
              </c:layout>
              <c:tx>
                <c:rich>
                  <a:bodyPr rot="0" spcFirstLastPara="1" vertOverflow="clip" horzOverflow="clip" vert="horz" wrap="square" lIns="38100" tIns="19050" rIns="38100" bIns="19050" anchor="ctr" anchorCtr="0">
                    <a:spAutoFit/>
                  </a:bodyPr>
                  <a:lstStyle/>
                  <a:p>
                    <a:pPr algn="ct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pc="-60" baseline="0"/>
                      <a:t>已達</a:t>
                    </a:r>
                    <a:br>
                      <a:rPr lang="zh-TW" altLang="en-US" spc="-60" baseline="0"/>
                    </a:br>
                    <a:r>
                      <a:rPr lang="zh-TW" altLang="en-US" spc="-60" baseline="0"/>
                      <a:t>預期目標者</a:t>
                    </a:r>
                    <a:br>
                      <a:rPr lang="zh-TW" altLang="en-US" spc="-60" baseline="0"/>
                    </a:br>
                    <a:r>
                      <a:rPr lang="en-US" altLang="zh-TW" spc="-60" baseline="0"/>
                      <a:t>21</a:t>
                    </a:r>
                    <a:r>
                      <a:rPr lang="zh-TW" altLang="en-US"/>
                      <a:t>項</a:t>
                    </a:r>
                    <a:br>
                      <a:rPr lang="zh-TW" altLang="en-US"/>
                    </a:br>
                    <a:r>
                      <a:rPr lang="en-US" altLang="zh-TW"/>
                      <a:t>(29.58</a:t>
                    </a:r>
                    <a:r>
                      <a:rPr lang="zh-TW" altLang="en-US"/>
                      <a:t>％</a:t>
                    </a:r>
                    <a:r>
                      <a:rPr lang="en-US" altLang="zh-TW"/>
                      <a:t>)</a:t>
                    </a:r>
                  </a:p>
                </c:rich>
              </c:tx>
              <c:numFmt formatCode="0.00%" sourceLinked="0"/>
              <c:spPr>
                <a:noFill/>
                <a:ln>
                  <a:noFill/>
                </a:ln>
                <a:effectLst/>
              </c:spPr>
              <c:txPr>
                <a:bodyPr rot="0" spcFirstLastPara="1" vertOverflow="clip" horzOverflow="clip" vert="horz" wrap="square" lIns="38100" tIns="19050" rIns="38100" bIns="19050" anchor="ctr" anchorCtr="0">
                  <a:spAutoFit/>
                </a:bodyPr>
                <a:lstStyle/>
                <a:p>
                  <a:pPr algn="ct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25468610130027453"/>
                      <c:h val="0.32681451366013148"/>
                    </c:manualLayout>
                  </c15:layout>
                  <c15:showDataLabelsRange val="0"/>
                </c:ext>
                <c:ext xmlns:c16="http://schemas.microsoft.com/office/drawing/2014/chart" uri="{C3380CC4-5D6E-409C-BE32-E72D297353CC}">
                  <c16:uniqueId val="{00000001-FD28-4E7D-BA21-61B480DF5F3F}"/>
                </c:ext>
              </c:extLst>
            </c:dLbl>
            <c:dLbl>
              <c:idx val="1"/>
              <c:layout>
                <c:manualLayout>
                  <c:x val="6.9815453715964008E-3"/>
                  <c:y val="-2.8909352893874269E-2"/>
                </c:manualLayout>
              </c:layout>
              <c:tx>
                <c:rich>
                  <a:bodyPr rot="0" spcFirstLastPara="1" vertOverflow="clip" horzOverflow="clip"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baseline="0"/>
                      <a:t>政策性</a:t>
                    </a:r>
                    <a:br>
                      <a:rPr lang="zh-TW" altLang="en-US" baseline="0"/>
                    </a:br>
                    <a:r>
                      <a:rPr lang="zh-TW" altLang="en-US" baseline="0"/>
                      <a:t>投資者</a:t>
                    </a:r>
                  </a:p>
                  <a:p>
                    <a:pPr>
                      <a:defRPr/>
                    </a:pPr>
                    <a:fld id="{1BB9BF54-5AA8-4E43-9857-D1986518C6E1}" type="VALUE">
                      <a:rPr lang="en-US" altLang="zh-TW"/>
                      <a:pPr>
                        <a:defRPr/>
                      </a:pPr>
                      <a:t>[值]</a:t>
                    </a:fld>
                    <a:r>
                      <a:rPr lang="zh-TW" altLang="en-US"/>
                      <a:t>項</a:t>
                    </a:r>
                    <a:br>
                      <a:rPr lang="zh-TW" altLang="en-US"/>
                    </a:br>
                    <a:r>
                      <a:rPr lang="en-US" altLang="zh-TW" baseline="0"/>
                      <a:t>(12.68</a:t>
                    </a:r>
                    <a:r>
                      <a:rPr lang="zh-TW" altLang="en-US" baseline="0"/>
                      <a:t>％</a:t>
                    </a:r>
                    <a:r>
                      <a:rPr lang="en-US" altLang="zh-TW"/>
                      <a:t>)</a:t>
                    </a:r>
                  </a:p>
                </c:rich>
              </c:tx>
              <c:numFmt formatCode="0.00%" sourceLinked="0"/>
              <c:spPr>
                <a:noFill/>
                <a:ln>
                  <a:noFill/>
                </a:ln>
                <a:effectLst/>
              </c:spPr>
              <c:txPr>
                <a:bodyPr rot="0" spcFirstLastPara="1" vertOverflow="clip" horzOverflow="clip"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22458769576879808"/>
                      <c:h val="0.3386810513382561"/>
                    </c:manualLayout>
                  </c15:layout>
                  <c15:dlblFieldTable/>
                  <c15:showDataLabelsRange val="0"/>
                </c:ext>
                <c:ext xmlns:c16="http://schemas.microsoft.com/office/drawing/2014/chart" uri="{C3380CC4-5D6E-409C-BE32-E72D297353CC}">
                  <c16:uniqueId val="{00000003-FD28-4E7D-BA21-61B480DF5F3F}"/>
                </c:ext>
              </c:extLst>
            </c:dLbl>
            <c:dLbl>
              <c:idx val="2"/>
              <c:layout>
                <c:manualLayout>
                  <c:x val="0.18580584769561148"/>
                  <c:y val="-8.2870035880040702E-2"/>
                </c:manualLayout>
              </c:layout>
              <c:tx>
                <c:rich>
                  <a:bodyPr rot="0" spcFirstLastPara="1" vertOverflow="clip" horzOverflow="clip"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569213AB-7C21-44CD-8B0C-F95CD66A886C}" type="CATEGORYNAME">
                      <a:rPr lang="zh-TW" altLang="en-US" spc="-100" baseline="0"/>
                      <a:pPr>
                        <a:defRPr/>
                      </a:pPr>
                      <a:t>[類別名稱]</a:t>
                    </a:fld>
                    <a:endParaRPr lang="zh-TW" altLang="en-US" spc="-100" baseline="0"/>
                  </a:p>
                  <a:p>
                    <a:pPr>
                      <a:defRPr/>
                    </a:pPr>
                    <a:r>
                      <a:rPr lang="en-US" altLang="zh-TW"/>
                      <a:t>41</a:t>
                    </a:r>
                    <a:r>
                      <a:rPr lang="zh-TW" altLang="en-US"/>
                      <a:t>項</a:t>
                    </a:r>
                    <a:br>
                      <a:rPr lang="zh-TW" altLang="en-US"/>
                    </a:br>
                    <a:r>
                      <a:rPr lang="en-US" altLang="zh-TW"/>
                      <a:t>(57.75</a:t>
                    </a:r>
                    <a:r>
                      <a:rPr lang="zh-TW" altLang="en-US"/>
                      <a:t>％</a:t>
                    </a:r>
                    <a:r>
                      <a:rPr lang="en-US" altLang="zh-TW"/>
                      <a:t>)</a:t>
                    </a:r>
                  </a:p>
                </c:rich>
              </c:tx>
              <c:numFmt formatCode="0.00%" sourceLinked="0"/>
              <c:spPr>
                <a:noFill/>
                <a:ln>
                  <a:noFill/>
                </a:ln>
                <a:effectLst/>
              </c:spPr>
              <c:txPr>
                <a:bodyPr rot="0" spcFirstLastPara="1" vertOverflow="clip" horzOverflow="clip"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1"/>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3072558937125866"/>
                      <c:h val="0.32309343913659311"/>
                    </c:manualLayout>
                  </c15:layout>
                  <c15:dlblFieldTable/>
                  <c15:showDataLabelsRange val="0"/>
                </c:ext>
                <c:ext xmlns:c16="http://schemas.microsoft.com/office/drawing/2014/chart" uri="{C3380CC4-5D6E-409C-BE32-E72D297353CC}">
                  <c16:uniqueId val="{00000005-FD28-4E7D-BA21-61B480DF5F3F}"/>
                </c:ext>
              </c:extLst>
            </c:dLbl>
            <c:numFmt formatCode="0.00%" sourceLinked="0"/>
            <c:spPr>
              <a:noFill/>
              <a:ln>
                <a:noFill/>
              </a:ln>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1"/>
            <c:showSerName val="0"/>
            <c:showPercent val="1"/>
            <c:showBubbleSize val="0"/>
            <c:separator>
</c:separator>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'工作表1 (2)'!$A$2:$A$4</c:f>
              <c:strCache>
                <c:ptCount val="3"/>
                <c:pt idx="0">
                  <c:v>已達預期目標者</c:v>
                </c:pt>
                <c:pt idx="1">
                  <c:v>政策性投資者</c:v>
                </c:pt>
                <c:pt idx="2">
                  <c:v>未達預期目標者</c:v>
                </c:pt>
              </c:strCache>
            </c:strRef>
          </c:cat>
          <c:val>
            <c:numRef>
              <c:f>'工作表1 (2)'!$B$2:$B$4</c:f>
              <c:numCache>
                <c:formatCode>General</c:formatCode>
                <c:ptCount val="3"/>
                <c:pt idx="0">
                  <c:v>22</c:v>
                </c:pt>
                <c:pt idx="1">
                  <c:v>9</c:v>
                </c:pt>
                <c:pt idx="2">
                  <c:v>40</c:v>
                </c:pt>
              </c:numCache>
            </c:numRef>
          </c:val>
          <c:extLst>
            <c:ext xmlns:c16="http://schemas.microsoft.com/office/drawing/2014/chart" uri="{C3380CC4-5D6E-409C-BE32-E72D297353CC}">
              <c16:uniqueId val="{00000006-FD28-4E7D-BA21-61B480DF5F3F}"/>
            </c:ext>
          </c:extLst>
        </c:ser>
        <c:ser>
          <c:idx val="1"/>
          <c:order val="1"/>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8-FD28-4E7D-BA21-61B480DF5F3F}"/>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A-FD28-4E7D-BA21-61B480DF5F3F}"/>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C-FD28-4E7D-BA21-61B480DF5F3F}"/>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'工作表1 (2)'!$A$2:$A$4</c:f>
              <c:strCache>
                <c:ptCount val="3"/>
                <c:pt idx="0">
                  <c:v>已達預期目標者</c:v>
                </c:pt>
                <c:pt idx="1">
                  <c:v>政策性投資者</c:v>
                </c:pt>
                <c:pt idx="2">
                  <c:v>未達預期目標者</c:v>
                </c:pt>
              </c:strCache>
            </c:strRef>
          </c:cat>
          <c:val>
            <c:numRef>
              <c:f>'工作表1 (2)'!$C$2:$C$4</c:f>
              <c:numCache>
                <c:formatCode>0.00%</c:formatCode>
                <c:ptCount val="3"/>
                <c:pt idx="0">
                  <c:v>0.30985915492957744</c:v>
                </c:pt>
                <c:pt idx="1">
                  <c:v>0.12676056338028169</c:v>
                </c:pt>
                <c:pt idx="2">
                  <c:v>0.56338028169014087</c:v>
                </c:pt>
              </c:numCache>
            </c:numRef>
          </c:val>
          <c:extLst>
            <c:ext xmlns:c16="http://schemas.microsoft.com/office/drawing/2014/chart" uri="{C3380CC4-5D6E-409C-BE32-E72D297353CC}">
              <c16:uniqueId val="{0000000D-FD28-4E7D-BA21-61B480DF5F3F}"/>
            </c:ext>
          </c:extLst>
        </c:ser>
        <c:dLbls>
          <c:dLblPos val="bestFit"/>
          <c:showLegendKey val="0"/>
          <c:showVal val="1"/>
          <c:showCatName val="0"/>
          <c:showSerName val="0"/>
          <c:showPercent val="0"/>
          <c:showBubbleSize val="0"/>
          <c:showLeaderLines val="0"/>
        </c:dLbls>
      </c:pie3D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sz="1000">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70"/>
      <c:rotY val="0"/>
      <c:rAngAx val="0"/>
      <c:perspective val="2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
          <c:y val="2.180018617677246E-2"/>
          <c:w val="1"/>
          <c:h val="0.94808699806913832"/>
        </c:manualLayout>
      </c:layout>
      <c:pie3DChart>
        <c:varyColors val="1"/>
        <c:ser>
          <c:idx val="0"/>
          <c:order val="0"/>
          <c:spPr>
            <a:solidFill>
              <a:schemeClr val="accent4">
                <a:lumMod val="40000"/>
                <a:lumOff val="60000"/>
              </a:schemeClr>
            </a:solidFill>
            <a:ln>
              <a:solidFill>
                <a:sysClr val="windowText" lastClr="000000">
                  <a:lumMod val="25000"/>
                  <a:lumOff val="75000"/>
                </a:sysClr>
              </a:solidFill>
            </a:ln>
            <a:effectLst/>
          </c:spPr>
          <c:dPt>
            <c:idx val="0"/>
            <c:bubble3D val="0"/>
            <c:explosion val="11"/>
            <c:spPr>
              <a:solidFill>
                <a:schemeClr val="accent5">
                  <a:lumMod val="40000"/>
                  <a:lumOff val="60000"/>
                </a:schemeClr>
              </a:solidFill>
              <a:ln w="6350">
                <a:solidFill>
                  <a:schemeClr val="tx1"/>
                </a:solidFill>
              </a:ln>
              <a:effectLst/>
              <a:sp3d contourW="6350">
                <a:contourClr>
                  <a:schemeClr val="tx1"/>
                </a:contourClr>
              </a:sp3d>
            </c:spPr>
            <c:extLst>
              <c:ext xmlns:c16="http://schemas.microsoft.com/office/drawing/2014/chart" uri="{C3380CC4-5D6E-409C-BE32-E72D297353CC}">
                <c16:uniqueId val="{00000001-FD28-4E7D-BA21-61B480DF5F3F}"/>
              </c:ext>
            </c:extLst>
          </c:dPt>
          <c:dPt>
            <c:idx val="1"/>
            <c:bubble3D val="0"/>
            <c:explosion val="16"/>
            <c:spPr>
              <a:solidFill>
                <a:schemeClr val="accent6">
                  <a:lumMod val="40000"/>
                  <a:lumOff val="60000"/>
                </a:schemeClr>
              </a:solidFill>
              <a:ln w="6350">
                <a:solidFill>
                  <a:schemeClr val="tx1">
                    <a:alpha val="97000"/>
                  </a:schemeClr>
                </a:solidFill>
              </a:ln>
              <a:effectLst/>
              <a:sp3d contourW="6350">
                <a:contourClr>
                  <a:schemeClr val="tx1">
                    <a:alpha val="97000"/>
                  </a:schemeClr>
                </a:contourClr>
              </a:sp3d>
            </c:spPr>
            <c:extLst>
              <c:ext xmlns:c16="http://schemas.microsoft.com/office/drawing/2014/chart" uri="{C3380CC4-5D6E-409C-BE32-E72D297353CC}">
                <c16:uniqueId val="{00000003-FD28-4E7D-BA21-61B480DF5F3F}"/>
              </c:ext>
            </c:extLst>
          </c:dPt>
          <c:dPt>
            <c:idx val="2"/>
            <c:bubble3D val="0"/>
            <c:spPr>
              <a:solidFill>
                <a:schemeClr val="accent4">
                  <a:lumMod val="40000"/>
                  <a:lumOff val="60000"/>
                </a:schemeClr>
              </a:solidFill>
              <a:ln w="6350">
                <a:solidFill>
                  <a:schemeClr val="tx1"/>
                </a:solidFill>
              </a:ln>
              <a:effectLst/>
              <a:sp3d contourW="6350">
                <a:contourClr>
                  <a:schemeClr val="tx1"/>
                </a:contourClr>
              </a:sp3d>
            </c:spPr>
            <c:extLst>
              <c:ext xmlns:c16="http://schemas.microsoft.com/office/drawing/2014/chart" uri="{C3380CC4-5D6E-409C-BE32-E72D297353CC}">
                <c16:uniqueId val="{00000005-FD28-4E7D-BA21-61B480DF5F3F}"/>
              </c:ext>
            </c:extLst>
          </c:dPt>
          <c:dLbls>
            <c:dLbl>
              <c:idx val="0"/>
              <c:layout>
                <c:manualLayout>
                  <c:x val="-0.19709833473613009"/>
                  <c:y val="0.14970855120559384"/>
                </c:manualLayout>
              </c:layout>
              <c:tx>
                <c:rich>
                  <a:bodyPr rot="0" spcFirstLastPara="1" vertOverflow="clip" horzOverflow="clip" vert="horz" wrap="square" lIns="38100" tIns="19050" rIns="38100" bIns="19050" anchor="ctr" anchorCtr="0">
                    <a:spAutoFit/>
                  </a:bodyPr>
                  <a:lstStyle/>
                  <a:p>
                    <a:pPr algn="ct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pc="-60" baseline="0"/>
                      <a:t>已達</a:t>
                    </a:r>
                    <a:br>
                      <a:rPr lang="zh-TW" altLang="en-US" spc="-60" baseline="0"/>
                    </a:br>
                    <a:r>
                      <a:rPr lang="zh-TW" altLang="en-US" spc="-60" baseline="0"/>
                      <a:t>預期目標者</a:t>
                    </a:r>
                    <a:br>
                      <a:rPr lang="zh-TW" altLang="en-US" spc="-60" baseline="0"/>
                    </a:br>
                    <a:r>
                      <a:rPr lang="en-US" altLang="zh-TW" spc="-60" baseline="0"/>
                      <a:t>21</a:t>
                    </a:r>
                    <a:r>
                      <a:rPr lang="zh-TW" altLang="en-US"/>
                      <a:t>項</a:t>
                    </a:r>
                    <a:br>
                      <a:rPr lang="zh-TW" altLang="en-US"/>
                    </a:br>
                    <a:r>
                      <a:rPr lang="en-US" altLang="zh-TW"/>
                      <a:t>(29.58</a:t>
                    </a:r>
                    <a:r>
                      <a:rPr lang="zh-TW" altLang="en-US"/>
                      <a:t>％</a:t>
                    </a:r>
                    <a:r>
                      <a:rPr lang="en-US" altLang="zh-TW"/>
                      <a:t>)</a:t>
                    </a:r>
                  </a:p>
                </c:rich>
              </c:tx>
              <c:numFmt formatCode="0.00%" sourceLinked="0"/>
              <c:spPr>
                <a:noFill/>
                <a:ln>
                  <a:noFill/>
                </a:ln>
                <a:effectLst/>
              </c:spPr>
              <c:txPr>
                <a:bodyPr rot="0" spcFirstLastPara="1" vertOverflow="clip" horzOverflow="clip" vert="horz" wrap="square" lIns="38100" tIns="19050" rIns="38100" bIns="19050" anchor="ctr" anchorCtr="0">
                  <a:spAutoFit/>
                </a:bodyPr>
                <a:lstStyle/>
                <a:p>
                  <a:pPr algn="ct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25468610130027453"/>
                      <c:h val="0.32681451366013148"/>
                    </c:manualLayout>
                  </c15:layout>
                  <c15:showDataLabelsRange val="0"/>
                </c:ext>
                <c:ext xmlns:c16="http://schemas.microsoft.com/office/drawing/2014/chart" uri="{C3380CC4-5D6E-409C-BE32-E72D297353CC}">
                  <c16:uniqueId val="{00000001-FD28-4E7D-BA21-61B480DF5F3F}"/>
                </c:ext>
              </c:extLst>
            </c:dLbl>
            <c:dLbl>
              <c:idx val="1"/>
              <c:layout>
                <c:manualLayout>
                  <c:x val="6.9815453715964008E-3"/>
                  <c:y val="-2.8909352893874269E-2"/>
                </c:manualLayout>
              </c:layout>
              <c:tx>
                <c:rich>
                  <a:bodyPr rot="0" spcFirstLastPara="1" vertOverflow="clip" horzOverflow="clip"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baseline="0"/>
                      <a:t>政策性</a:t>
                    </a:r>
                    <a:br>
                      <a:rPr lang="zh-TW" altLang="en-US" baseline="0"/>
                    </a:br>
                    <a:r>
                      <a:rPr lang="zh-TW" altLang="en-US" baseline="0"/>
                      <a:t>投資者</a:t>
                    </a:r>
                  </a:p>
                  <a:p>
                    <a:pPr>
                      <a:defRPr/>
                    </a:pPr>
                    <a:fld id="{1BB9BF54-5AA8-4E43-9857-D1986518C6E1}" type="VALUE">
                      <a:rPr lang="en-US" altLang="zh-TW"/>
                      <a:pPr>
                        <a:defRPr/>
                      </a:pPr>
                      <a:t>[值]</a:t>
                    </a:fld>
                    <a:r>
                      <a:rPr lang="zh-TW" altLang="en-US"/>
                      <a:t>項</a:t>
                    </a:r>
                    <a:br>
                      <a:rPr lang="zh-TW" altLang="en-US"/>
                    </a:br>
                    <a:r>
                      <a:rPr lang="en-US" altLang="zh-TW" baseline="0"/>
                      <a:t>(12.68</a:t>
                    </a:r>
                    <a:r>
                      <a:rPr lang="zh-TW" altLang="en-US" baseline="0"/>
                      <a:t>％</a:t>
                    </a:r>
                    <a:r>
                      <a:rPr lang="en-US" altLang="zh-TW"/>
                      <a:t>)</a:t>
                    </a:r>
                  </a:p>
                </c:rich>
              </c:tx>
              <c:numFmt formatCode="0.00%" sourceLinked="0"/>
              <c:spPr>
                <a:noFill/>
                <a:ln>
                  <a:noFill/>
                </a:ln>
                <a:effectLst/>
              </c:spPr>
              <c:txPr>
                <a:bodyPr rot="0" spcFirstLastPara="1" vertOverflow="clip" horzOverflow="clip"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22458769576879808"/>
                      <c:h val="0.3386810513382561"/>
                    </c:manualLayout>
                  </c15:layout>
                  <c15:dlblFieldTable/>
                  <c15:showDataLabelsRange val="0"/>
                </c:ext>
                <c:ext xmlns:c16="http://schemas.microsoft.com/office/drawing/2014/chart" uri="{C3380CC4-5D6E-409C-BE32-E72D297353CC}">
                  <c16:uniqueId val="{00000003-FD28-4E7D-BA21-61B480DF5F3F}"/>
                </c:ext>
              </c:extLst>
            </c:dLbl>
            <c:dLbl>
              <c:idx val="2"/>
              <c:layout>
                <c:manualLayout>
                  <c:x val="0.18580584769561148"/>
                  <c:y val="-8.2870035880040702E-2"/>
                </c:manualLayout>
              </c:layout>
              <c:tx>
                <c:rich>
                  <a:bodyPr rot="0" spcFirstLastPara="1" vertOverflow="clip" horzOverflow="clip"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569213AB-7C21-44CD-8B0C-F95CD66A886C}" type="CATEGORYNAME">
                      <a:rPr lang="zh-TW" altLang="en-US" spc="-100" baseline="0"/>
                      <a:pPr>
                        <a:defRPr/>
                      </a:pPr>
                      <a:t>[類別名稱]</a:t>
                    </a:fld>
                    <a:endParaRPr lang="zh-TW" altLang="en-US" spc="-100" baseline="0"/>
                  </a:p>
                  <a:p>
                    <a:pPr>
                      <a:defRPr/>
                    </a:pPr>
                    <a:r>
                      <a:rPr lang="en-US" altLang="zh-TW"/>
                      <a:t>41</a:t>
                    </a:r>
                    <a:r>
                      <a:rPr lang="zh-TW" altLang="en-US"/>
                      <a:t>項</a:t>
                    </a:r>
                    <a:br>
                      <a:rPr lang="zh-TW" altLang="en-US"/>
                    </a:br>
                    <a:r>
                      <a:rPr lang="en-US" altLang="zh-TW"/>
                      <a:t>(57.75</a:t>
                    </a:r>
                    <a:r>
                      <a:rPr lang="zh-TW" altLang="en-US"/>
                      <a:t>％</a:t>
                    </a:r>
                    <a:r>
                      <a:rPr lang="en-US" altLang="zh-TW"/>
                      <a:t>)</a:t>
                    </a:r>
                  </a:p>
                </c:rich>
              </c:tx>
              <c:numFmt formatCode="0.00%" sourceLinked="0"/>
              <c:spPr>
                <a:noFill/>
                <a:ln>
                  <a:noFill/>
                </a:ln>
                <a:effectLst/>
              </c:spPr>
              <c:txPr>
                <a:bodyPr rot="0" spcFirstLastPara="1" vertOverflow="clip" horzOverflow="clip"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ltLang="en-US"/>
                </a:p>
              </c:txPr>
              <c:dLblPos val="bestFit"/>
              <c:showLegendKey val="0"/>
              <c:showVal val="1"/>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3072558937125866"/>
                      <c:h val="0.32309343913659311"/>
                    </c:manualLayout>
                  </c15:layout>
                  <c15:dlblFieldTable/>
                  <c15:showDataLabelsRange val="0"/>
                </c:ext>
                <c:ext xmlns:c16="http://schemas.microsoft.com/office/drawing/2014/chart" uri="{C3380CC4-5D6E-409C-BE32-E72D297353CC}">
                  <c16:uniqueId val="{00000005-FD28-4E7D-BA21-61B480DF5F3F}"/>
                </c:ext>
              </c:extLst>
            </c:dLbl>
            <c:numFmt formatCode="0.00%" sourceLinked="0"/>
            <c:spPr>
              <a:noFill/>
              <a:ln>
                <a:noFill/>
              </a:ln>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1"/>
            <c:showSerName val="0"/>
            <c:showPercent val="1"/>
            <c:showBubbleSize val="0"/>
            <c:separator>
</c:separator>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'工作表1 (2)'!$A$2:$A$4</c:f>
              <c:strCache>
                <c:ptCount val="3"/>
                <c:pt idx="0">
                  <c:v>已達預期目標者</c:v>
                </c:pt>
                <c:pt idx="1">
                  <c:v>政策性投資者</c:v>
                </c:pt>
                <c:pt idx="2">
                  <c:v>未達預期目標者</c:v>
                </c:pt>
              </c:strCache>
            </c:strRef>
          </c:cat>
          <c:val>
            <c:numRef>
              <c:f>'工作表1 (2)'!$B$2:$B$4</c:f>
              <c:numCache>
                <c:formatCode>General</c:formatCode>
                <c:ptCount val="3"/>
                <c:pt idx="0">
                  <c:v>22</c:v>
                </c:pt>
                <c:pt idx="1">
                  <c:v>9</c:v>
                </c:pt>
                <c:pt idx="2">
                  <c:v>40</c:v>
                </c:pt>
              </c:numCache>
            </c:numRef>
          </c:val>
          <c:extLst>
            <c:ext xmlns:c16="http://schemas.microsoft.com/office/drawing/2014/chart" uri="{C3380CC4-5D6E-409C-BE32-E72D297353CC}">
              <c16:uniqueId val="{00000006-FD28-4E7D-BA21-61B480DF5F3F}"/>
            </c:ext>
          </c:extLst>
        </c:ser>
        <c:ser>
          <c:idx val="1"/>
          <c:order val="1"/>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8-FD28-4E7D-BA21-61B480DF5F3F}"/>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A-FD28-4E7D-BA21-61B480DF5F3F}"/>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C-FD28-4E7D-BA21-61B480DF5F3F}"/>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'工作表1 (2)'!$A$2:$A$4</c:f>
              <c:strCache>
                <c:ptCount val="3"/>
                <c:pt idx="0">
                  <c:v>已達預期目標者</c:v>
                </c:pt>
                <c:pt idx="1">
                  <c:v>政策性投資者</c:v>
                </c:pt>
                <c:pt idx="2">
                  <c:v>未達預期目標者</c:v>
                </c:pt>
              </c:strCache>
            </c:strRef>
          </c:cat>
          <c:val>
            <c:numRef>
              <c:f>'工作表1 (2)'!$C$2:$C$4</c:f>
              <c:numCache>
                <c:formatCode>0.00%</c:formatCode>
                <c:ptCount val="3"/>
                <c:pt idx="0">
                  <c:v>0.30985915492957744</c:v>
                </c:pt>
                <c:pt idx="1">
                  <c:v>0.12676056338028169</c:v>
                </c:pt>
                <c:pt idx="2">
                  <c:v>0.56338028169014087</c:v>
                </c:pt>
              </c:numCache>
            </c:numRef>
          </c:val>
          <c:extLst>
            <c:ext xmlns:c16="http://schemas.microsoft.com/office/drawing/2014/chart" uri="{C3380CC4-5D6E-409C-BE32-E72D297353CC}">
              <c16:uniqueId val="{0000000D-FD28-4E7D-BA21-61B480DF5F3F}"/>
            </c:ext>
          </c:extLst>
        </c:ser>
        <c:dLbls>
          <c:dLblPos val="bestFit"/>
          <c:showLegendKey val="0"/>
          <c:showVal val="1"/>
          <c:showCatName val="0"/>
          <c:showSerName val="0"/>
          <c:showPercent val="0"/>
          <c:showBubbleSize val="0"/>
          <c:showLeaderLines val="0"/>
        </c:dLbls>
      </c:pie3D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sz="1000">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工作表1!$B$2</c:f>
              <c:strCache>
                <c:ptCount val="1"/>
                <c:pt idx="0">
                  <c:v> 手續費收入 </c:v>
                </c:pt>
              </c:strCache>
            </c:strRef>
          </c:tx>
          <c:spPr>
            <a:solidFill>
              <a:schemeClr val="accent1"/>
            </a:solidFill>
            <a:ln>
              <a:noFill/>
            </a:ln>
            <a:effectLst/>
          </c:spPr>
          <c:invertIfNegative val="0"/>
          <c:dPt>
            <c:idx val="0"/>
            <c:invertIfNegative val="0"/>
            <c:bubble3D val="0"/>
            <c:spPr>
              <a:solidFill>
                <a:schemeClr val="accent1"/>
              </a:solidFill>
              <a:ln>
                <a:solidFill>
                  <a:schemeClr val="accent1"/>
                </a:solidFill>
              </a:ln>
              <a:effectLst/>
            </c:spPr>
            <c:extLst>
              <c:ext xmlns:c16="http://schemas.microsoft.com/office/drawing/2014/chart" uri="{C3380CC4-5D6E-409C-BE32-E72D297353CC}">
                <c16:uniqueId val="{00000001-93F1-41E7-8D73-5F3D8B9A1404}"/>
              </c:ext>
            </c:extLst>
          </c:dPt>
          <c:dPt>
            <c:idx val="1"/>
            <c:invertIfNegative val="0"/>
            <c:bubble3D val="0"/>
            <c:spPr>
              <a:solidFill>
                <a:schemeClr val="accent1"/>
              </a:solidFill>
              <a:ln>
                <a:solidFill>
                  <a:schemeClr val="accent1"/>
                </a:solidFill>
              </a:ln>
              <a:effectLst/>
            </c:spPr>
            <c:extLst>
              <c:ext xmlns:c16="http://schemas.microsoft.com/office/drawing/2014/chart" uri="{C3380CC4-5D6E-409C-BE32-E72D297353CC}">
                <c16:uniqueId val="{00000003-93F1-41E7-8D73-5F3D8B9A1404}"/>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工作表1!$A$3:$A$10</c:f>
              <c:strCache>
                <c:ptCount val="8"/>
                <c:pt idx="0">
                  <c:v>臺灣土地銀行</c:v>
                </c:pt>
                <c:pt idx="1">
                  <c:v>臺灣銀行</c:v>
                </c:pt>
                <c:pt idx="2">
                  <c:v>泛公股銀行 A</c:v>
                </c:pt>
                <c:pt idx="3">
                  <c:v>泛公股銀行 B </c:v>
                </c:pt>
                <c:pt idx="4">
                  <c:v>泛公股銀行 C </c:v>
                </c:pt>
                <c:pt idx="5">
                  <c:v>泛公股銀行 D</c:v>
                </c:pt>
                <c:pt idx="6">
                  <c:v>泛公股銀行 E</c:v>
                </c:pt>
                <c:pt idx="7">
                  <c:v>泛公股銀行 F </c:v>
                </c:pt>
              </c:strCache>
            </c:strRef>
          </c:cat>
          <c:val>
            <c:numRef>
              <c:f>工作表1!$B$3:$B$10</c:f>
              <c:numCache>
                <c:formatCode>_(* #,##0.00_);_(* \(#,##0.00\);_(* "-"??_);_(@_)</c:formatCode>
                <c:ptCount val="8"/>
                <c:pt idx="0">
                  <c:v>11</c:v>
                </c:pt>
                <c:pt idx="1">
                  <c:v>16.010000000000002</c:v>
                </c:pt>
                <c:pt idx="2">
                  <c:v>40.44</c:v>
                </c:pt>
                <c:pt idx="3">
                  <c:v>42.57</c:v>
                </c:pt>
                <c:pt idx="4">
                  <c:v>53.11</c:v>
                </c:pt>
                <c:pt idx="5">
                  <c:v>70.31</c:v>
                </c:pt>
                <c:pt idx="6">
                  <c:v>88.51</c:v>
                </c:pt>
                <c:pt idx="7">
                  <c:v>108.31</c:v>
                </c:pt>
              </c:numCache>
            </c:numRef>
          </c:val>
          <c:extLst>
            <c:ext xmlns:c16="http://schemas.microsoft.com/office/drawing/2014/chart" uri="{C3380CC4-5D6E-409C-BE32-E72D297353CC}">
              <c16:uniqueId val="{00000004-93F1-41E7-8D73-5F3D8B9A1404}"/>
            </c:ext>
          </c:extLst>
        </c:ser>
        <c:dLbls>
          <c:showLegendKey val="0"/>
          <c:showVal val="0"/>
          <c:showCatName val="0"/>
          <c:showSerName val="0"/>
          <c:showPercent val="0"/>
          <c:showBubbleSize val="0"/>
        </c:dLbls>
        <c:gapWidth val="219"/>
        <c:overlap val="-27"/>
        <c:axId val="790394463"/>
        <c:axId val="790394879"/>
      </c:barChart>
      <c:catAx>
        <c:axId val="790394463"/>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790394879"/>
        <c:crosses val="autoZero"/>
        <c:auto val="1"/>
        <c:lblAlgn val="ctr"/>
        <c:lblOffset val="100"/>
        <c:noMultiLvlLbl val="0"/>
      </c:catAx>
      <c:valAx>
        <c:axId val="790394879"/>
        <c:scaling>
          <c:orientation val="minMax"/>
        </c:scaling>
        <c:delete val="0"/>
        <c:axPos val="l"/>
        <c:majorGridlines>
          <c:spPr>
            <a:ln w="9525" cap="flat" cmpd="sng" algn="ctr">
              <a:noFill/>
              <a:round/>
            </a:ln>
            <a:effectLst/>
          </c:spPr>
        </c:majorGridlines>
        <c:numFmt formatCode="#,##0_);[Red]\(#,##0\)" sourceLinked="0"/>
        <c:majorTickMark val="none"/>
        <c:minorTickMark val="none"/>
        <c:tickLblPos val="nextTo"/>
        <c:spPr>
          <a:noFill/>
          <a:ln w="9525">
            <a:solidFill>
              <a:schemeClr val="tx1"/>
            </a:solidFill>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790394463"/>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0.7552</cdr:x>
      <cdr:y>0.84776</cdr:y>
    </cdr:from>
    <cdr:to>
      <cdr:x>0.81479</cdr:x>
      <cdr:y>0.84776</cdr:y>
    </cdr:to>
    <cdr:cxnSp macro="">
      <cdr:nvCxnSpPr>
        <cdr:cNvPr id="4" name="直線單箭頭接點 3">
          <a:extLst xmlns:a="http://schemas.openxmlformats.org/drawingml/2006/main">
            <a:ext uri="{FF2B5EF4-FFF2-40B4-BE49-F238E27FC236}">
              <a16:creationId xmlns:a16="http://schemas.microsoft.com/office/drawing/2014/main" id="{1F385F84-4265-41F1-80A1-11D633C2EF99}"/>
            </a:ext>
          </a:extLst>
        </cdr:cNvPr>
        <cdr:cNvCxnSpPr/>
      </cdr:nvCxnSpPr>
      <cdr:spPr>
        <a:xfrm xmlns:a="http://schemas.openxmlformats.org/drawingml/2006/main" flipV="1">
          <a:off x="2400143" y="2076872"/>
          <a:ext cx="189388" cy="0"/>
        </a:xfrm>
        <a:prstGeom xmlns:a="http://schemas.openxmlformats.org/drawingml/2006/main" prst="straightConnector1">
          <a:avLst/>
        </a:prstGeom>
        <a:ln xmlns:a="http://schemas.openxmlformats.org/drawingml/2006/main">
          <a:solidFill>
            <a:schemeClr val="tx1"/>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10.xml><?xml version="1.0" encoding="utf-8"?>
<c:userShapes xmlns:c="http://schemas.openxmlformats.org/drawingml/2006/chart">
  <cdr:relSizeAnchor xmlns:cdr="http://schemas.openxmlformats.org/drawingml/2006/chartDrawing">
    <cdr:from>
      <cdr:x>0.7552</cdr:x>
      <cdr:y>0.84776</cdr:y>
    </cdr:from>
    <cdr:to>
      <cdr:x>0.81479</cdr:x>
      <cdr:y>0.84776</cdr:y>
    </cdr:to>
    <cdr:cxnSp macro="">
      <cdr:nvCxnSpPr>
        <cdr:cNvPr id="4" name="直線單箭頭接點 3">
          <a:extLst xmlns:a="http://schemas.openxmlformats.org/drawingml/2006/main">
            <a:ext uri="{FF2B5EF4-FFF2-40B4-BE49-F238E27FC236}">
              <a16:creationId xmlns:a16="http://schemas.microsoft.com/office/drawing/2014/main" id="{1F385F84-4265-41F1-80A1-11D633C2EF99}"/>
            </a:ext>
          </a:extLst>
        </cdr:cNvPr>
        <cdr:cNvCxnSpPr/>
      </cdr:nvCxnSpPr>
      <cdr:spPr>
        <a:xfrm xmlns:a="http://schemas.openxmlformats.org/drawingml/2006/main" flipV="1">
          <a:off x="2400143" y="2076872"/>
          <a:ext cx="189388" cy="0"/>
        </a:xfrm>
        <a:prstGeom xmlns:a="http://schemas.openxmlformats.org/drawingml/2006/main" prst="straightConnector1">
          <a:avLst/>
        </a:prstGeom>
        <a:ln xmlns:a="http://schemas.openxmlformats.org/drawingml/2006/main">
          <a:solidFill>
            <a:schemeClr val="tx1"/>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FB4F3-DAEC-4B12-AC49-63B4D2592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2266</Words>
  <Characters>12922</Characters>
  <Application>Microsoft Office Word</Application>
  <DocSecurity>0</DocSecurity>
  <Lines>107</Lines>
  <Paragraphs>30</Paragraphs>
  <ScaleCrop>false</ScaleCrop>
  <Company>Microsoft</Company>
  <LinksUpToDate>false</LinksUpToDate>
  <CharactersWithSpaces>15158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王彥文</dc:creator>
  <cp:keywords/>
  <dc:description/>
  <cp:lastModifiedBy>吳 雪峰</cp:lastModifiedBy>
  <cp:revision>4</cp:revision>
  <cp:lastPrinted>2026-07-03T06:09:00Z</cp:lastPrinted>
  <dcterms:created xsi:type="dcterms:W3CDTF">2026-07-09T07:40:00Z</dcterms:created>
  <dcterms:modified xsi:type="dcterms:W3CDTF">2026-07-13T01:08:00Z</dcterms:modified>
</cp:coreProperties>
</file>