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D42F5" w14:textId="77777777" w:rsidR="00155EE6" w:rsidRPr="008A7F2C" w:rsidRDefault="00155EE6" w:rsidP="0042679A">
      <w:pPr>
        <w:pStyle w:val="ae"/>
        <w:overflowPunct w:val="0"/>
        <w:spacing w:after="120" w:line="500" w:lineRule="exact"/>
        <w:rPr>
          <w:rFonts w:ascii="標楷體" w:hAnsi="標楷體"/>
          <w:b w:val="0"/>
        </w:rPr>
      </w:pPr>
      <w:bookmarkStart w:id="0" w:name="_Hlk138950411"/>
      <w:r w:rsidRPr="00E8782A">
        <w:rPr>
          <w:rFonts w:ascii="標楷體" w:hAnsi="標楷體" w:hint="eastAsia"/>
          <w:lang w:eastAsia="zh-HK"/>
        </w:rPr>
        <w:t>貳</w:t>
      </w:r>
      <w:r w:rsidRPr="00E8782A">
        <w:rPr>
          <w:rFonts w:ascii="標楷體" w:hAnsi="標楷體" w:hint="eastAsia"/>
        </w:rPr>
        <w:t>、盈</w:t>
      </w:r>
      <w:r w:rsidRPr="008A7F2C">
        <w:rPr>
          <w:rFonts w:ascii="標楷體" w:hAnsi="標楷體" w:hint="eastAsia"/>
        </w:rPr>
        <w:t>虧撥補之審核</w:t>
      </w:r>
    </w:p>
    <w:p w14:paraId="7E2E8E70" w14:textId="7635BC90" w:rsidR="00155EE6" w:rsidRPr="005E0F09" w:rsidRDefault="007433DB" w:rsidP="007709E5">
      <w:pPr>
        <w:spacing w:line="520" w:lineRule="exact"/>
        <w:ind w:firstLineChars="200" w:firstLine="560"/>
        <w:jc w:val="both"/>
        <w:rPr>
          <w:rFonts w:ascii="標楷體" w:hAnsi="標楷體"/>
          <w:spacing w:val="-6"/>
          <w:sz w:val="28"/>
          <w:szCs w:val="28"/>
        </w:rPr>
      </w:pPr>
      <w:r w:rsidRPr="005E0F09">
        <w:rPr>
          <w:rFonts w:ascii="標楷體" w:hAnsi="標楷體" w:hint="eastAsia"/>
          <w:sz w:val="28"/>
          <w:szCs w:val="28"/>
        </w:rPr>
        <w:t>11</w:t>
      </w:r>
      <w:r w:rsidR="00255799">
        <w:rPr>
          <w:rFonts w:ascii="標楷體" w:hAnsi="標楷體"/>
          <w:sz w:val="28"/>
          <w:szCs w:val="28"/>
        </w:rPr>
        <w:t>4</w:t>
      </w:r>
      <w:r w:rsidRPr="005E0F09">
        <w:rPr>
          <w:rFonts w:ascii="標楷體" w:hAnsi="標楷體" w:hint="eastAsia"/>
          <w:sz w:val="28"/>
          <w:szCs w:val="28"/>
        </w:rPr>
        <w:t>年度15</w:t>
      </w:r>
      <w:r w:rsidRPr="005E0F09">
        <w:rPr>
          <w:rFonts w:ascii="標楷體" w:hAnsi="標楷體" w:hint="eastAsia"/>
          <w:sz w:val="28"/>
          <w:szCs w:val="28"/>
          <w:lang w:eastAsia="zh-HK"/>
        </w:rPr>
        <w:t>家</w:t>
      </w:r>
      <w:r w:rsidRPr="005E0F09">
        <w:rPr>
          <w:rFonts w:ascii="標楷體" w:hAnsi="標楷體" w:hint="eastAsia"/>
          <w:sz w:val="28"/>
          <w:szCs w:val="28"/>
        </w:rPr>
        <w:t>國營事業</w:t>
      </w:r>
      <w:r w:rsidRPr="005E0F09">
        <w:rPr>
          <w:rFonts w:ascii="標楷體" w:hAnsi="標楷體" w:hint="eastAsia"/>
          <w:sz w:val="28"/>
          <w:szCs w:val="28"/>
          <w:lang w:eastAsia="zh-HK"/>
        </w:rPr>
        <w:t>之</w:t>
      </w:r>
      <w:r w:rsidRPr="005E0F09">
        <w:rPr>
          <w:rFonts w:ascii="標楷體" w:hAnsi="標楷體" w:hint="eastAsia"/>
          <w:sz w:val="28"/>
          <w:szCs w:val="28"/>
        </w:rPr>
        <w:t>預算編列可分配盈餘</w:t>
      </w:r>
      <w:r w:rsidR="00261CF7" w:rsidRPr="005E0F09">
        <w:rPr>
          <w:rFonts w:ascii="標楷體" w:hAnsi="標楷體" w:hint="eastAsia"/>
          <w:sz w:val="28"/>
          <w:szCs w:val="28"/>
        </w:rPr>
        <w:t>3</w:t>
      </w:r>
      <w:r w:rsidR="00A04475" w:rsidRPr="005E0F09">
        <w:rPr>
          <w:rFonts w:ascii="標楷體" w:hAnsi="標楷體"/>
          <w:sz w:val="28"/>
          <w:szCs w:val="28"/>
        </w:rPr>
        <w:t>,</w:t>
      </w:r>
      <w:r w:rsidR="00255799">
        <w:rPr>
          <w:rFonts w:ascii="標楷體" w:hAnsi="標楷體"/>
          <w:sz w:val="28"/>
          <w:szCs w:val="28"/>
        </w:rPr>
        <w:t>774</w:t>
      </w:r>
      <w:r w:rsidRPr="005E0F09">
        <w:rPr>
          <w:rFonts w:ascii="標楷體" w:hAnsi="標楷體" w:hint="eastAsia"/>
          <w:sz w:val="28"/>
          <w:szCs w:val="28"/>
        </w:rPr>
        <w:t>億餘元，累積虧損</w:t>
      </w:r>
      <w:r w:rsidR="00255799">
        <w:rPr>
          <w:rFonts w:ascii="標楷體" w:hAnsi="標楷體" w:hint="eastAsia"/>
          <w:sz w:val="28"/>
          <w:szCs w:val="28"/>
        </w:rPr>
        <w:t>5</w:t>
      </w:r>
      <w:r w:rsidR="00A04475" w:rsidRPr="005E0F09">
        <w:rPr>
          <w:rFonts w:ascii="標楷體" w:hAnsi="標楷體"/>
          <w:sz w:val="28"/>
          <w:szCs w:val="28"/>
        </w:rPr>
        <w:t>,</w:t>
      </w:r>
      <w:r w:rsidR="00255799">
        <w:rPr>
          <w:rFonts w:ascii="標楷體" w:hAnsi="標楷體"/>
          <w:sz w:val="28"/>
          <w:szCs w:val="28"/>
        </w:rPr>
        <w:t>074</w:t>
      </w:r>
      <w:r w:rsidRPr="005E0F09">
        <w:rPr>
          <w:rFonts w:ascii="標楷體" w:hAnsi="標楷體" w:hint="eastAsia"/>
          <w:sz w:val="28"/>
          <w:szCs w:val="28"/>
        </w:rPr>
        <w:t>億餘元加計11</w:t>
      </w:r>
      <w:r w:rsidR="00255799">
        <w:rPr>
          <w:rFonts w:ascii="標楷體" w:hAnsi="標楷體"/>
          <w:sz w:val="28"/>
          <w:szCs w:val="28"/>
        </w:rPr>
        <w:t>4</w:t>
      </w:r>
      <w:r w:rsidRPr="005E0F09">
        <w:rPr>
          <w:rFonts w:ascii="標楷體" w:hAnsi="標楷體" w:hint="eastAsia"/>
          <w:sz w:val="28"/>
          <w:szCs w:val="28"/>
          <w:lang w:eastAsia="zh-HK"/>
        </w:rPr>
        <w:t>年度</w:t>
      </w:r>
      <w:r w:rsidRPr="005E0F09">
        <w:rPr>
          <w:rFonts w:ascii="標楷體" w:hAnsi="標楷體" w:hint="eastAsia"/>
          <w:sz w:val="28"/>
          <w:szCs w:val="28"/>
        </w:rPr>
        <w:t>淨損</w:t>
      </w:r>
      <w:r w:rsidR="00255799">
        <w:rPr>
          <w:rFonts w:ascii="標楷體" w:hAnsi="標楷體"/>
          <w:sz w:val="28"/>
          <w:szCs w:val="28"/>
        </w:rPr>
        <w:t>849</w:t>
      </w:r>
      <w:r w:rsidRPr="005E0F09">
        <w:rPr>
          <w:rFonts w:ascii="標楷體" w:hAnsi="標楷體" w:hint="eastAsia"/>
          <w:sz w:val="28"/>
          <w:szCs w:val="28"/>
        </w:rPr>
        <w:t>億餘元及其他綜合損益轉入數</w:t>
      </w:r>
      <w:r w:rsidR="008A7F2C" w:rsidRPr="005E0F09">
        <w:rPr>
          <w:rFonts w:ascii="標楷體" w:hAnsi="標楷體" w:hint="eastAsia"/>
          <w:sz w:val="28"/>
          <w:szCs w:val="28"/>
        </w:rPr>
        <w:t>1</w:t>
      </w:r>
      <w:r w:rsidR="00255799">
        <w:rPr>
          <w:rFonts w:ascii="標楷體" w:hAnsi="標楷體"/>
          <w:sz w:val="28"/>
          <w:szCs w:val="28"/>
        </w:rPr>
        <w:t>2</w:t>
      </w:r>
      <w:r w:rsidRPr="005E0F09">
        <w:rPr>
          <w:rFonts w:ascii="標楷體" w:hAnsi="標楷體" w:hint="eastAsia"/>
          <w:sz w:val="28"/>
          <w:szCs w:val="28"/>
        </w:rPr>
        <w:t>億餘元，合計</w:t>
      </w:r>
      <w:r w:rsidR="00255799">
        <w:rPr>
          <w:rFonts w:ascii="標楷體" w:hAnsi="標楷體" w:hint="eastAsia"/>
          <w:sz w:val="28"/>
          <w:szCs w:val="28"/>
        </w:rPr>
        <w:t>5</w:t>
      </w:r>
      <w:r w:rsidR="00261CF7" w:rsidRPr="005E0F09">
        <w:rPr>
          <w:rFonts w:ascii="標楷體" w:hAnsi="標楷體"/>
          <w:sz w:val="28"/>
          <w:szCs w:val="28"/>
        </w:rPr>
        <w:t>,</w:t>
      </w:r>
      <w:r w:rsidR="00255799">
        <w:rPr>
          <w:rFonts w:ascii="標楷體" w:hAnsi="標楷體"/>
          <w:sz w:val="28"/>
          <w:szCs w:val="28"/>
        </w:rPr>
        <w:t>936</w:t>
      </w:r>
      <w:r w:rsidRPr="005E0F09">
        <w:rPr>
          <w:rFonts w:ascii="標楷體" w:hAnsi="標楷體" w:hint="eastAsia"/>
          <w:sz w:val="28"/>
          <w:szCs w:val="28"/>
        </w:rPr>
        <w:t>億餘元</w:t>
      </w:r>
      <w:r w:rsidR="00AC076E" w:rsidRPr="005E0F09">
        <w:rPr>
          <w:rFonts w:ascii="標楷體" w:hAnsi="標楷體" w:hint="eastAsia"/>
          <w:sz w:val="28"/>
          <w:szCs w:val="28"/>
        </w:rPr>
        <w:t>。</w:t>
      </w:r>
      <w:r w:rsidRPr="005E0F09">
        <w:rPr>
          <w:rFonts w:ascii="標楷體" w:hAnsi="標楷體" w:hint="eastAsia"/>
          <w:sz w:val="28"/>
          <w:szCs w:val="28"/>
        </w:rPr>
        <w:t>行政院彙編中央政府總決算附屬單位決算及綜計表營業部分核定可分配盈餘</w:t>
      </w:r>
      <w:r w:rsidR="00255799">
        <w:rPr>
          <w:rFonts w:ascii="標楷體" w:hAnsi="標楷體"/>
          <w:sz w:val="28"/>
          <w:szCs w:val="28"/>
        </w:rPr>
        <w:t>5</w:t>
      </w:r>
      <w:r w:rsidR="00230F6E" w:rsidRPr="005E0F09">
        <w:rPr>
          <w:rFonts w:ascii="標楷體" w:hAnsi="標楷體"/>
          <w:sz w:val="28"/>
          <w:szCs w:val="28"/>
        </w:rPr>
        <w:t>,</w:t>
      </w:r>
      <w:r w:rsidR="00255799">
        <w:rPr>
          <w:rFonts w:ascii="標楷體" w:hAnsi="標楷體"/>
          <w:sz w:val="28"/>
          <w:szCs w:val="28"/>
        </w:rPr>
        <w:t>5</w:t>
      </w:r>
      <w:r w:rsidR="00255799" w:rsidRPr="005E0F09">
        <w:rPr>
          <w:rFonts w:ascii="標楷體" w:hAnsi="標楷體" w:hint="eastAsia"/>
          <w:sz w:val="28"/>
          <w:szCs w:val="28"/>
        </w:rPr>
        <w:t>8</w:t>
      </w:r>
      <w:r w:rsidR="00255799">
        <w:rPr>
          <w:rFonts w:ascii="標楷體" w:hAnsi="標楷體"/>
          <w:sz w:val="28"/>
          <w:szCs w:val="28"/>
        </w:rPr>
        <w:t>9</w:t>
      </w:r>
      <w:r w:rsidRPr="005E0F09">
        <w:rPr>
          <w:rFonts w:ascii="標楷體" w:hAnsi="標楷體" w:hint="eastAsia"/>
          <w:sz w:val="28"/>
          <w:szCs w:val="28"/>
        </w:rPr>
        <w:t>億餘元，累積虧損</w:t>
      </w:r>
      <w:r w:rsidR="00255799">
        <w:rPr>
          <w:rFonts w:ascii="標楷體" w:hAnsi="標楷體" w:hint="eastAsia"/>
          <w:sz w:val="28"/>
          <w:szCs w:val="28"/>
        </w:rPr>
        <w:t>5</w:t>
      </w:r>
      <w:r w:rsidR="00A04475" w:rsidRPr="005E0F09">
        <w:rPr>
          <w:rFonts w:ascii="標楷體" w:hAnsi="標楷體"/>
          <w:sz w:val="28"/>
          <w:szCs w:val="28"/>
        </w:rPr>
        <w:t>,</w:t>
      </w:r>
      <w:r w:rsidR="00255799">
        <w:rPr>
          <w:rFonts w:ascii="標楷體" w:hAnsi="標楷體"/>
          <w:sz w:val="28"/>
          <w:szCs w:val="28"/>
        </w:rPr>
        <w:t>523</w:t>
      </w:r>
      <w:r w:rsidRPr="005E0F09">
        <w:rPr>
          <w:rFonts w:ascii="標楷體" w:hAnsi="標楷體" w:hint="eastAsia"/>
          <w:sz w:val="28"/>
          <w:szCs w:val="28"/>
        </w:rPr>
        <w:t>億餘元加計11</w:t>
      </w:r>
      <w:r w:rsidR="00255799">
        <w:rPr>
          <w:rFonts w:ascii="標楷體" w:hAnsi="標楷體"/>
          <w:sz w:val="28"/>
          <w:szCs w:val="28"/>
        </w:rPr>
        <w:t>4</w:t>
      </w:r>
      <w:r w:rsidRPr="005E0F09">
        <w:rPr>
          <w:rFonts w:ascii="標楷體" w:hAnsi="標楷體" w:hint="eastAsia"/>
          <w:sz w:val="28"/>
          <w:szCs w:val="28"/>
          <w:lang w:eastAsia="zh-HK"/>
        </w:rPr>
        <w:t>年度</w:t>
      </w:r>
      <w:r w:rsidRPr="005E0F09">
        <w:rPr>
          <w:rFonts w:ascii="標楷體" w:hAnsi="標楷體" w:hint="eastAsia"/>
          <w:sz w:val="28"/>
          <w:szCs w:val="28"/>
        </w:rPr>
        <w:t>淨損</w:t>
      </w:r>
      <w:r w:rsidR="00255799">
        <w:rPr>
          <w:rFonts w:ascii="標楷體" w:hAnsi="標楷體"/>
          <w:sz w:val="28"/>
          <w:szCs w:val="28"/>
        </w:rPr>
        <w:t>228</w:t>
      </w:r>
      <w:r w:rsidRPr="005E0F09">
        <w:rPr>
          <w:rFonts w:ascii="標楷體" w:hAnsi="標楷體" w:hint="eastAsia"/>
          <w:sz w:val="28"/>
          <w:szCs w:val="28"/>
        </w:rPr>
        <w:t>億餘元</w:t>
      </w:r>
      <w:r w:rsidR="00444CB3" w:rsidRPr="005E0F09">
        <w:rPr>
          <w:rFonts w:ascii="標楷體" w:hAnsi="標楷體" w:hint="eastAsia"/>
          <w:sz w:val="28"/>
          <w:szCs w:val="28"/>
        </w:rPr>
        <w:t>及</w:t>
      </w:r>
      <w:r w:rsidRPr="005E0F09">
        <w:rPr>
          <w:rFonts w:ascii="標楷體" w:hAnsi="標楷體" w:hint="eastAsia"/>
          <w:sz w:val="28"/>
          <w:szCs w:val="28"/>
        </w:rPr>
        <w:t>其他綜合損益轉入數</w:t>
      </w:r>
      <w:r w:rsidR="00255799">
        <w:rPr>
          <w:rFonts w:ascii="標楷體" w:hAnsi="標楷體"/>
          <w:sz w:val="28"/>
          <w:szCs w:val="28"/>
        </w:rPr>
        <w:t>9</w:t>
      </w:r>
      <w:r w:rsidR="0004033B" w:rsidRPr="005E0F09">
        <w:rPr>
          <w:rFonts w:ascii="標楷體" w:hAnsi="標楷體" w:hint="eastAsia"/>
          <w:sz w:val="28"/>
          <w:szCs w:val="28"/>
        </w:rPr>
        <w:t>0</w:t>
      </w:r>
      <w:r w:rsidRPr="005E0F09">
        <w:rPr>
          <w:rFonts w:ascii="標楷體" w:hAnsi="標楷體" w:hint="eastAsia"/>
          <w:sz w:val="28"/>
          <w:szCs w:val="28"/>
        </w:rPr>
        <w:t>億餘元，合計</w:t>
      </w:r>
      <w:r w:rsidR="001D5DE9" w:rsidRPr="005E0F09">
        <w:rPr>
          <w:rFonts w:ascii="標楷體" w:hAnsi="標楷體"/>
          <w:sz w:val="28"/>
          <w:szCs w:val="28"/>
        </w:rPr>
        <w:t>5</w:t>
      </w:r>
      <w:r w:rsidR="00A04475" w:rsidRPr="005E0F09">
        <w:rPr>
          <w:rFonts w:ascii="標楷體" w:hAnsi="標楷體"/>
          <w:sz w:val="28"/>
          <w:szCs w:val="28"/>
        </w:rPr>
        <w:t>,</w:t>
      </w:r>
      <w:r w:rsidR="00255799">
        <w:rPr>
          <w:rFonts w:ascii="標楷體" w:hAnsi="標楷體"/>
          <w:sz w:val="28"/>
          <w:szCs w:val="28"/>
        </w:rPr>
        <w:t>842</w:t>
      </w:r>
      <w:r w:rsidRPr="005E0F09">
        <w:rPr>
          <w:rFonts w:ascii="標楷體" w:hAnsi="標楷體" w:hint="eastAsia"/>
          <w:sz w:val="28"/>
          <w:szCs w:val="28"/>
        </w:rPr>
        <w:t>億餘元</w:t>
      </w:r>
      <w:r w:rsidR="00AC076E" w:rsidRPr="005E0F09">
        <w:rPr>
          <w:rFonts w:ascii="標楷體" w:hAnsi="標楷體" w:hint="eastAsia"/>
          <w:sz w:val="28"/>
          <w:szCs w:val="28"/>
        </w:rPr>
        <w:t>。</w:t>
      </w:r>
      <w:r w:rsidRPr="005E0F09">
        <w:rPr>
          <w:rFonts w:ascii="標楷體" w:hAnsi="標楷體" w:hint="eastAsia"/>
          <w:sz w:val="28"/>
          <w:szCs w:val="28"/>
        </w:rPr>
        <w:t>經審核結果，審定可分配盈餘</w:t>
      </w:r>
      <w:r w:rsidR="00255799">
        <w:rPr>
          <w:rFonts w:ascii="標楷體" w:hAnsi="標楷體"/>
          <w:sz w:val="28"/>
          <w:szCs w:val="28"/>
        </w:rPr>
        <w:t>5</w:t>
      </w:r>
      <w:r w:rsidR="006A44FC" w:rsidRPr="005E0F09">
        <w:rPr>
          <w:rFonts w:ascii="標楷體" w:hAnsi="標楷體"/>
          <w:sz w:val="28"/>
          <w:szCs w:val="28"/>
        </w:rPr>
        <w:t>,</w:t>
      </w:r>
      <w:r w:rsidR="00255799">
        <w:rPr>
          <w:rFonts w:ascii="標楷體" w:hAnsi="標楷體"/>
          <w:sz w:val="28"/>
          <w:szCs w:val="28"/>
        </w:rPr>
        <w:t>602</w:t>
      </w:r>
      <w:r w:rsidRPr="005E0F09">
        <w:rPr>
          <w:rFonts w:ascii="標楷體" w:hAnsi="標楷體" w:hint="eastAsia"/>
          <w:sz w:val="28"/>
          <w:szCs w:val="28"/>
        </w:rPr>
        <w:t>億餘元，累積虧損</w:t>
      </w:r>
      <w:r w:rsidR="00255799">
        <w:rPr>
          <w:rFonts w:ascii="標楷體" w:hAnsi="標楷體" w:hint="eastAsia"/>
          <w:sz w:val="28"/>
          <w:szCs w:val="28"/>
        </w:rPr>
        <w:t>5</w:t>
      </w:r>
      <w:r w:rsidR="00A04475" w:rsidRPr="005E0F09">
        <w:rPr>
          <w:rFonts w:ascii="標楷體" w:hAnsi="標楷體"/>
          <w:sz w:val="28"/>
          <w:szCs w:val="28"/>
        </w:rPr>
        <w:t>,</w:t>
      </w:r>
      <w:r w:rsidR="00255799">
        <w:rPr>
          <w:rFonts w:ascii="標楷體" w:hAnsi="標楷體"/>
          <w:sz w:val="28"/>
          <w:szCs w:val="28"/>
        </w:rPr>
        <w:t>523</w:t>
      </w:r>
      <w:r w:rsidRPr="005E0F09">
        <w:rPr>
          <w:rFonts w:ascii="標楷體" w:hAnsi="標楷體" w:hint="eastAsia"/>
          <w:sz w:val="28"/>
          <w:szCs w:val="28"/>
        </w:rPr>
        <w:t>億餘元加計11</w:t>
      </w:r>
      <w:r w:rsidR="00255799">
        <w:rPr>
          <w:rFonts w:ascii="標楷體" w:hAnsi="標楷體"/>
          <w:sz w:val="28"/>
          <w:szCs w:val="28"/>
        </w:rPr>
        <w:t>4</w:t>
      </w:r>
      <w:r w:rsidRPr="005E0F09">
        <w:rPr>
          <w:rFonts w:ascii="標楷體" w:hAnsi="標楷體" w:hint="eastAsia"/>
          <w:sz w:val="28"/>
          <w:szCs w:val="28"/>
          <w:lang w:eastAsia="zh-HK"/>
        </w:rPr>
        <w:t>年度</w:t>
      </w:r>
      <w:r w:rsidRPr="005E0F09">
        <w:rPr>
          <w:rFonts w:ascii="標楷體" w:hAnsi="標楷體" w:hint="eastAsia"/>
          <w:sz w:val="28"/>
          <w:szCs w:val="28"/>
        </w:rPr>
        <w:t>淨損</w:t>
      </w:r>
      <w:r w:rsidR="00255799">
        <w:rPr>
          <w:rFonts w:ascii="標楷體" w:hAnsi="標楷體"/>
          <w:sz w:val="28"/>
          <w:szCs w:val="28"/>
        </w:rPr>
        <w:t>256</w:t>
      </w:r>
      <w:r w:rsidRPr="005E0F09">
        <w:rPr>
          <w:rFonts w:ascii="標楷體" w:hAnsi="標楷體" w:hint="eastAsia"/>
          <w:sz w:val="28"/>
          <w:szCs w:val="28"/>
        </w:rPr>
        <w:t>億餘元及其他綜合損益轉入數</w:t>
      </w:r>
      <w:r w:rsidR="00255799">
        <w:rPr>
          <w:rFonts w:ascii="標楷體" w:hAnsi="標楷體" w:hint="eastAsia"/>
          <w:sz w:val="28"/>
          <w:szCs w:val="28"/>
        </w:rPr>
        <w:t>9</w:t>
      </w:r>
      <w:r w:rsidR="00255799">
        <w:rPr>
          <w:rFonts w:ascii="標楷體" w:hAnsi="標楷體"/>
          <w:sz w:val="28"/>
          <w:szCs w:val="28"/>
        </w:rPr>
        <w:t>5</w:t>
      </w:r>
      <w:r w:rsidRPr="005E0F09">
        <w:rPr>
          <w:rFonts w:ascii="標楷體" w:hAnsi="標楷體" w:hint="eastAsia"/>
          <w:sz w:val="28"/>
          <w:szCs w:val="28"/>
        </w:rPr>
        <w:t>億餘元，合計</w:t>
      </w:r>
      <w:r w:rsidR="006A44FC" w:rsidRPr="005E0F09">
        <w:rPr>
          <w:rFonts w:ascii="標楷體" w:hAnsi="標楷體" w:hint="eastAsia"/>
          <w:sz w:val="28"/>
          <w:szCs w:val="28"/>
        </w:rPr>
        <w:t>5</w:t>
      </w:r>
      <w:r w:rsidR="006A44FC" w:rsidRPr="005E0F09">
        <w:rPr>
          <w:rFonts w:ascii="標楷體" w:hAnsi="標楷體"/>
          <w:sz w:val="28"/>
          <w:szCs w:val="28"/>
        </w:rPr>
        <w:t>,</w:t>
      </w:r>
      <w:r w:rsidR="00255799">
        <w:rPr>
          <w:rFonts w:ascii="標楷體" w:hAnsi="標楷體"/>
          <w:sz w:val="28"/>
          <w:szCs w:val="28"/>
        </w:rPr>
        <w:t>8</w:t>
      </w:r>
      <w:r w:rsidR="00374642" w:rsidRPr="005E0F09">
        <w:rPr>
          <w:rFonts w:ascii="標楷體" w:hAnsi="標楷體" w:hint="eastAsia"/>
          <w:sz w:val="28"/>
          <w:szCs w:val="28"/>
        </w:rPr>
        <w:t>7</w:t>
      </w:r>
      <w:r w:rsidR="00255799">
        <w:rPr>
          <w:rFonts w:ascii="標楷體" w:hAnsi="標楷體"/>
          <w:sz w:val="28"/>
          <w:szCs w:val="28"/>
        </w:rPr>
        <w:t>5</w:t>
      </w:r>
      <w:r w:rsidRPr="005E0F09">
        <w:rPr>
          <w:rFonts w:ascii="標楷體" w:hAnsi="標楷體" w:hint="eastAsia"/>
          <w:sz w:val="28"/>
          <w:szCs w:val="28"/>
        </w:rPr>
        <w:t>億餘元【</w:t>
      </w:r>
      <w:r w:rsidRPr="005E0F09">
        <w:rPr>
          <w:rFonts w:ascii="標楷體" w:hAnsi="標楷體" w:hint="eastAsia"/>
          <w:sz w:val="28"/>
          <w:szCs w:val="28"/>
          <w:lang w:eastAsia="zh-HK"/>
        </w:rPr>
        <w:t>詳丁、貳「盈虧撥補審定數額綜計表（項目別</w:t>
      </w:r>
      <w:r w:rsidRPr="005E0F09">
        <w:rPr>
          <w:rFonts w:ascii="標楷體" w:hAnsi="標楷體"/>
          <w:sz w:val="28"/>
          <w:szCs w:val="28"/>
          <w:lang w:eastAsia="zh-HK"/>
        </w:rPr>
        <w:t>）</w:t>
      </w:r>
      <w:r w:rsidRPr="005E0F09">
        <w:rPr>
          <w:rFonts w:ascii="標楷體" w:hAnsi="標楷體" w:hint="eastAsia"/>
          <w:sz w:val="28"/>
          <w:szCs w:val="28"/>
          <w:lang w:eastAsia="zh-HK"/>
        </w:rPr>
        <w:t>」及參「盈虧撥補審定數額綜計表（</w:t>
      </w:r>
      <w:r w:rsidRPr="005E0F09">
        <w:rPr>
          <w:rFonts w:ascii="標楷體" w:hAnsi="標楷體" w:hint="eastAsia"/>
          <w:sz w:val="28"/>
          <w:szCs w:val="28"/>
        </w:rPr>
        <w:t>基金</w:t>
      </w:r>
      <w:r w:rsidRPr="005E0F09">
        <w:rPr>
          <w:rFonts w:ascii="標楷體" w:hAnsi="標楷體" w:hint="eastAsia"/>
          <w:sz w:val="28"/>
          <w:szCs w:val="28"/>
          <w:lang w:eastAsia="zh-HK"/>
        </w:rPr>
        <w:t>別</w:t>
      </w:r>
      <w:r w:rsidRPr="005E0F09">
        <w:rPr>
          <w:rFonts w:ascii="標楷體" w:hAnsi="標楷體"/>
          <w:sz w:val="28"/>
          <w:szCs w:val="28"/>
          <w:lang w:eastAsia="zh-HK"/>
        </w:rPr>
        <w:t>）</w:t>
      </w:r>
      <w:r w:rsidRPr="005E0F09">
        <w:rPr>
          <w:rFonts w:ascii="標楷體" w:hAnsi="標楷體" w:hint="eastAsia"/>
          <w:sz w:val="28"/>
          <w:szCs w:val="28"/>
          <w:lang w:eastAsia="zh-HK"/>
        </w:rPr>
        <w:t>」】</w:t>
      </w:r>
      <w:r w:rsidRPr="005E0F09">
        <w:rPr>
          <w:rFonts w:ascii="標楷體" w:hAnsi="標楷體" w:hint="eastAsia"/>
          <w:sz w:val="28"/>
          <w:szCs w:val="28"/>
        </w:rPr>
        <w:t>，</w:t>
      </w:r>
      <w:r w:rsidRPr="005E0F09">
        <w:rPr>
          <w:rFonts w:ascii="標楷體" w:hAnsi="標楷體" w:hint="eastAsia"/>
          <w:sz w:val="28"/>
          <w:szCs w:val="28"/>
          <w:lang w:eastAsia="zh-HK"/>
        </w:rPr>
        <w:t>其</w:t>
      </w:r>
      <w:r w:rsidRPr="005E0F09">
        <w:rPr>
          <w:rFonts w:ascii="標楷體" w:hAnsi="標楷體" w:hint="eastAsia"/>
          <w:sz w:val="28"/>
          <w:szCs w:val="28"/>
        </w:rPr>
        <w:t>盈虧撥補</w:t>
      </w:r>
      <w:r w:rsidRPr="005E0F09">
        <w:rPr>
          <w:rFonts w:ascii="標楷體" w:hAnsi="標楷體" w:hint="eastAsia"/>
          <w:sz w:val="28"/>
          <w:szCs w:val="28"/>
          <w:lang w:eastAsia="zh-HK"/>
        </w:rPr>
        <w:t>情形</w:t>
      </w:r>
      <w:r w:rsidRPr="005E0F09">
        <w:rPr>
          <w:rFonts w:ascii="標楷體" w:hAnsi="標楷體" w:hint="eastAsia"/>
          <w:sz w:val="28"/>
          <w:szCs w:val="28"/>
        </w:rPr>
        <w:t>如</w:t>
      </w:r>
      <w:r w:rsidRPr="005E0F09">
        <w:rPr>
          <w:rFonts w:ascii="標楷體" w:hAnsi="標楷體" w:hint="eastAsia"/>
          <w:sz w:val="28"/>
          <w:szCs w:val="28"/>
          <w:lang w:eastAsia="zh-HK"/>
        </w:rPr>
        <w:t>次</w:t>
      </w:r>
      <w:r w:rsidRPr="005E0F09">
        <w:rPr>
          <w:rFonts w:ascii="標楷體" w:hAnsi="標楷體" w:hint="eastAsia"/>
          <w:spacing w:val="-6"/>
          <w:sz w:val="28"/>
          <w:szCs w:val="28"/>
        </w:rPr>
        <w:t>：</w:t>
      </w:r>
    </w:p>
    <w:p w14:paraId="5B1B4BEE" w14:textId="77777777" w:rsidR="00155EE6" w:rsidRPr="005E0F09" w:rsidRDefault="00155EE6" w:rsidP="0042679A">
      <w:pPr>
        <w:pStyle w:val="aff9"/>
        <w:tabs>
          <w:tab w:val="left" w:pos="3686"/>
          <w:tab w:val="left" w:pos="3828"/>
        </w:tabs>
        <w:overflowPunct w:val="0"/>
        <w:spacing w:before="72" w:after="72" w:line="500" w:lineRule="exact"/>
        <w:ind w:leftChars="0" w:left="0" w:firstLineChars="100" w:firstLine="320"/>
        <w:rPr>
          <w:kern w:val="0"/>
        </w:rPr>
      </w:pPr>
      <w:r w:rsidRPr="005E0F09">
        <w:rPr>
          <w:rFonts w:hint="eastAsia"/>
          <w:kern w:val="0"/>
        </w:rPr>
        <w:t>一、盈餘分配</w:t>
      </w:r>
    </w:p>
    <w:p w14:paraId="413CE338" w14:textId="4A3033C9" w:rsidR="00155EE6" w:rsidRPr="005E0F09" w:rsidRDefault="00155EE6" w:rsidP="007709E5">
      <w:pPr>
        <w:overflowPunct w:val="0"/>
        <w:spacing w:line="500" w:lineRule="exact"/>
        <w:ind w:leftChars="9" w:left="22" w:firstLineChars="200" w:firstLine="544"/>
        <w:jc w:val="both"/>
        <w:rPr>
          <w:rFonts w:ascii="標楷體" w:hAnsi="標楷體"/>
          <w:spacing w:val="-4"/>
          <w:kern w:val="0"/>
          <w:sz w:val="28"/>
          <w:szCs w:val="28"/>
        </w:rPr>
      </w:pPr>
      <w:r w:rsidRPr="005E0F09">
        <w:rPr>
          <w:rFonts w:ascii="標楷體" w:hAnsi="標楷體" w:hint="eastAsia"/>
          <w:spacing w:val="-4"/>
          <w:kern w:val="0"/>
          <w:sz w:val="28"/>
          <w:szCs w:val="28"/>
        </w:rPr>
        <w:t>1</w:t>
      </w:r>
      <w:r w:rsidR="00BF678C" w:rsidRPr="005E0F09">
        <w:rPr>
          <w:rFonts w:ascii="標楷體" w:hAnsi="標楷體" w:hint="eastAsia"/>
          <w:spacing w:val="-4"/>
          <w:kern w:val="0"/>
          <w:sz w:val="28"/>
          <w:szCs w:val="28"/>
        </w:rPr>
        <w:t>1</w:t>
      </w:r>
      <w:r w:rsidR="00255799">
        <w:rPr>
          <w:rFonts w:ascii="標楷體" w:hAnsi="標楷體"/>
          <w:spacing w:val="-4"/>
          <w:kern w:val="0"/>
          <w:sz w:val="28"/>
          <w:szCs w:val="28"/>
        </w:rPr>
        <w:t>4</w:t>
      </w:r>
      <w:r w:rsidRPr="005E0F09">
        <w:rPr>
          <w:rFonts w:ascii="標楷體" w:hAnsi="標楷體" w:hint="eastAsia"/>
          <w:spacing w:val="-4"/>
          <w:kern w:val="0"/>
          <w:sz w:val="28"/>
          <w:szCs w:val="28"/>
        </w:rPr>
        <w:t>年度審定決算列有盈餘者，</w:t>
      </w:r>
      <w:r w:rsidRPr="005E0F09">
        <w:rPr>
          <w:rFonts w:ascii="標楷體" w:hAnsi="標楷體" w:hint="eastAsia"/>
          <w:spacing w:val="-4"/>
          <w:kern w:val="0"/>
          <w:sz w:val="28"/>
          <w:szCs w:val="28"/>
          <w:lang w:eastAsia="zh-HK"/>
        </w:rPr>
        <w:t>計</w:t>
      </w:r>
      <w:r w:rsidR="006402E5" w:rsidRPr="005E0F09">
        <w:rPr>
          <w:rFonts w:ascii="標楷體" w:hAnsi="標楷體" w:hint="eastAsia"/>
          <w:spacing w:val="-4"/>
          <w:kern w:val="0"/>
          <w:sz w:val="28"/>
          <w:szCs w:val="28"/>
        </w:rPr>
        <w:t>1</w:t>
      </w:r>
      <w:r w:rsidR="00255799">
        <w:rPr>
          <w:rFonts w:ascii="標楷體" w:hAnsi="標楷體"/>
          <w:spacing w:val="-4"/>
          <w:kern w:val="0"/>
          <w:sz w:val="28"/>
          <w:szCs w:val="28"/>
        </w:rPr>
        <w:t>1</w:t>
      </w:r>
      <w:r w:rsidRPr="005E0F09">
        <w:rPr>
          <w:rFonts w:ascii="標楷體" w:hAnsi="標楷體" w:hint="eastAsia"/>
          <w:spacing w:val="-4"/>
          <w:kern w:val="0"/>
          <w:sz w:val="28"/>
          <w:szCs w:val="28"/>
          <w:lang w:eastAsia="zh-HK"/>
        </w:rPr>
        <w:t>家</w:t>
      </w:r>
      <w:r w:rsidRPr="005E0F09">
        <w:rPr>
          <w:rFonts w:ascii="標楷體" w:hAnsi="標楷體" w:hint="eastAsia"/>
          <w:spacing w:val="-4"/>
          <w:sz w:val="28"/>
          <w:szCs w:val="28"/>
        </w:rPr>
        <w:t>事業</w:t>
      </w:r>
      <w:r w:rsidRPr="005E0F09">
        <w:rPr>
          <w:rFonts w:ascii="標楷體" w:hAnsi="標楷體" w:hint="eastAsia"/>
          <w:spacing w:val="-4"/>
          <w:kern w:val="0"/>
          <w:sz w:val="28"/>
          <w:szCs w:val="28"/>
        </w:rPr>
        <w:t>，決算淨利</w:t>
      </w:r>
      <w:r w:rsidR="00AE4521">
        <w:rPr>
          <w:rFonts w:ascii="標楷體" w:hAnsi="標楷體" w:hint="eastAsia"/>
          <w:spacing w:val="-4"/>
          <w:kern w:val="0"/>
          <w:sz w:val="28"/>
          <w:szCs w:val="28"/>
        </w:rPr>
        <w:t>4</w:t>
      </w:r>
      <w:r w:rsidR="00D35F94" w:rsidRPr="005E0F09">
        <w:rPr>
          <w:rFonts w:ascii="標楷體" w:hAnsi="標楷體"/>
          <w:spacing w:val="-4"/>
          <w:kern w:val="0"/>
          <w:sz w:val="28"/>
          <w:szCs w:val="28"/>
        </w:rPr>
        <w:t>,</w:t>
      </w:r>
      <w:r w:rsidR="00AE4521">
        <w:rPr>
          <w:rFonts w:ascii="標楷體" w:hAnsi="標楷體" w:hint="eastAsia"/>
          <w:spacing w:val="-4"/>
          <w:kern w:val="0"/>
          <w:sz w:val="28"/>
          <w:szCs w:val="28"/>
        </w:rPr>
        <w:t>038</w:t>
      </w:r>
      <w:r w:rsidRPr="005E0F09">
        <w:rPr>
          <w:rFonts w:ascii="標楷體" w:hAnsi="標楷體" w:hint="eastAsia"/>
          <w:spacing w:val="-4"/>
          <w:kern w:val="0"/>
          <w:sz w:val="28"/>
          <w:szCs w:val="28"/>
        </w:rPr>
        <w:t>億餘元，連同累積盈餘</w:t>
      </w:r>
      <w:r w:rsidR="00AE4521">
        <w:rPr>
          <w:rFonts w:ascii="標楷體" w:hAnsi="標楷體" w:hint="eastAsia"/>
          <w:spacing w:val="-4"/>
          <w:kern w:val="0"/>
          <w:sz w:val="28"/>
          <w:szCs w:val="28"/>
        </w:rPr>
        <w:t>995</w:t>
      </w:r>
      <w:r w:rsidRPr="005E0F09">
        <w:rPr>
          <w:rFonts w:ascii="標楷體" w:hAnsi="標楷體" w:hint="eastAsia"/>
          <w:spacing w:val="-4"/>
          <w:kern w:val="0"/>
          <w:sz w:val="28"/>
          <w:szCs w:val="28"/>
        </w:rPr>
        <w:t>億餘元、</w:t>
      </w:r>
      <w:r w:rsidR="00F87306" w:rsidRPr="005E0F09">
        <w:rPr>
          <w:rFonts w:ascii="標楷體" w:hAnsi="標楷體" w:hint="eastAsia"/>
          <w:spacing w:val="-4"/>
          <w:kern w:val="0"/>
          <w:sz w:val="28"/>
          <w:szCs w:val="28"/>
        </w:rPr>
        <w:t>追溯適用及追溯</w:t>
      </w:r>
      <w:r w:rsidR="00614A4E" w:rsidRPr="005E0F09">
        <w:rPr>
          <w:rFonts w:ascii="標楷體" w:hAnsi="標楷體" w:hint="eastAsia"/>
          <w:spacing w:val="-4"/>
          <w:kern w:val="0"/>
          <w:sz w:val="28"/>
          <w:szCs w:val="28"/>
        </w:rPr>
        <w:t>重編之影響數</w:t>
      </w:r>
      <w:r w:rsidR="0031574D" w:rsidRPr="005E0F09">
        <w:rPr>
          <w:rFonts w:ascii="標楷體" w:hAnsi="標楷體" w:hint="eastAsia"/>
          <w:spacing w:val="-4"/>
          <w:kern w:val="0"/>
          <w:sz w:val="28"/>
          <w:szCs w:val="28"/>
        </w:rPr>
        <w:t>500</w:t>
      </w:r>
      <w:r w:rsidR="00614A4E" w:rsidRPr="005E0F09">
        <w:rPr>
          <w:rFonts w:ascii="標楷體" w:hAnsi="標楷體" w:hint="eastAsia"/>
          <w:spacing w:val="-4"/>
          <w:kern w:val="0"/>
          <w:sz w:val="28"/>
          <w:szCs w:val="28"/>
        </w:rPr>
        <w:t>億餘元</w:t>
      </w:r>
      <w:r w:rsidR="00F87306" w:rsidRPr="005E0F09">
        <w:rPr>
          <w:rFonts w:ascii="標楷體" w:hAnsi="標楷體" w:hint="eastAsia"/>
          <w:spacing w:val="-4"/>
          <w:kern w:val="0"/>
          <w:sz w:val="28"/>
          <w:szCs w:val="28"/>
        </w:rPr>
        <w:t>、</w:t>
      </w:r>
      <w:r w:rsidRPr="005E0F09">
        <w:rPr>
          <w:rFonts w:ascii="標楷體" w:hAnsi="標楷體" w:hint="eastAsia"/>
          <w:spacing w:val="-4"/>
          <w:kern w:val="0"/>
          <w:sz w:val="28"/>
          <w:szCs w:val="28"/>
        </w:rPr>
        <w:t>公積轉列數</w:t>
      </w:r>
      <w:r w:rsidR="00AE4521">
        <w:rPr>
          <w:rFonts w:ascii="標楷體" w:hAnsi="標楷體" w:hint="eastAsia"/>
          <w:spacing w:val="-4"/>
          <w:kern w:val="0"/>
          <w:sz w:val="28"/>
          <w:szCs w:val="28"/>
        </w:rPr>
        <w:t>7</w:t>
      </w:r>
      <w:r w:rsidR="00BF678C" w:rsidRPr="005E0F09">
        <w:rPr>
          <w:rFonts w:ascii="標楷體" w:hAnsi="標楷體" w:hint="eastAsia"/>
          <w:spacing w:val="-4"/>
          <w:kern w:val="0"/>
          <w:sz w:val="28"/>
          <w:szCs w:val="28"/>
        </w:rPr>
        <w:t>億</w:t>
      </w:r>
      <w:r w:rsidRPr="005E0F09">
        <w:rPr>
          <w:rFonts w:ascii="標楷體" w:hAnsi="標楷體" w:hint="eastAsia"/>
          <w:spacing w:val="-4"/>
          <w:kern w:val="0"/>
          <w:sz w:val="28"/>
          <w:szCs w:val="28"/>
        </w:rPr>
        <w:t>餘元、其他綜合損益轉入數</w:t>
      </w:r>
      <w:r w:rsidR="00AE4521">
        <w:rPr>
          <w:rFonts w:ascii="標楷體" w:hAnsi="標楷體" w:hint="eastAsia"/>
          <w:spacing w:val="-4"/>
          <w:kern w:val="0"/>
          <w:sz w:val="28"/>
          <w:szCs w:val="28"/>
        </w:rPr>
        <w:t>61</w:t>
      </w:r>
      <w:r w:rsidRPr="005E0F09">
        <w:rPr>
          <w:rFonts w:ascii="標楷體" w:hAnsi="標楷體" w:hint="eastAsia"/>
          <w:spacing w:val="-4"/>
          <w:kern w:val="0"/>
          <w:sz w:val="28"/>
          <w:szCs w:val="28"/>
        </w:rPr>
        <w:t>億餘元，可分配盈餘</w:t>
      </w:r>
      <w:r w:rsidR="009B780C" w:rsidRPr="005E0F09">
        <w:rPr>
          <w:rFonts w:ascii="標楷體" w:hAnsi="標楷體" w:hint="eastAsia"/>
          <w:spacing w:val="-4"/>
          <w:kern w:val="0"/>
          <w:sz w:val="28"/>
          <w:szCs w:val="28"/>
        </w:rPr>
        <w:t>合計</w:t>
      </w:r>
      <w:r w:rsidR="00AE4521">
        <w:rPr>
          <w:rFonts w:ascii="標楷體" w:hAnsi="標楷體" w:hint="eastAsia"/>
          <w:spacing w:val="-4"/>
          <w:kern w:val="0"/>
          <w:sz w:val="28"/>
          <w:szCs w:val="28"/>
        </w:rPr>
        <w:t>5</w:t>
      </w:r>
      <w:r w:rsidR="00D35F94" w:rsidRPr="005E0F09">
        <w:rPr>
          <w:rFonts w:ascii="標楷體" w:hAnsi="標楷體"/>
          <w:spacing w:val="-4"/>
          <w:kern w:val="0"/>
          <w:sz w:val="28"/>
          <w:szCs w:val="28"/>
        </w:rPr>
        <w:t>,</w:t>
      </w:r>
      <w:r w:rsidR="00AE4521">
        <w:rPr>
          <w:rFonts w:ascii="標楷體" w:hAnsi="標楷體"/>
          <w:spacing w:val="-4"/>
          <w:kern w:val="0"/>
          <w:sz w:val="28"/>
          <w:szCs w:val="28"/>
        </w:rPr>
        <w:t>602</w:t>
      </w:r>
      <w:r w:rsidRPr="005E0F09">
        <w:rPr>
          <w:rFonts w:ascii="標楷體" w:hAnsi="標楷體" w:hint="eastAsia"/>
          <w:spacing w:val="-4"/>
          <w:kern w:val="0"/>
          <w:sz w:val="28"/>
          <w:szCs w:val="28"/>
        </w:rPr>
        <w:t>億餘元，依法分配如次：</w:t>
      </w:r>
    </w:p>
    <w:p w14:paraId="57E5BB8D" w14:textId="56E2DA58" w:rsidR="00155EE6" w:rsidRPr="005E0F09" w:rsidRDefault="00CD7018" w:rsidP="007709E5">
      <w:pPr>
        <w:pStyle w:val="af5"/>
        <w:tabs>
          <w:tab w:val="left" w:pos="1428"/>
        </w:tabs>
        <w:overflowPunct w:val="0"/>
        <w:spacing w:line="500" w:lineRule="exact"/>
        <w:ind w:leftChars="0" w:left="0" w:firstLineChars="200" w:firstLine="561"/>
        <w:jc w:val="both"/>
        <w:rPr>
          <w:rFonts w:ascii="標楷體" w:hAnsi="標楷體"/>
          <w:kern w:val="0"/>
          <w:sz w:val="28"/>
          <w:szCs w:val="28"/>
        </w:rPr>
      </w:pPr>
      <w:r w:rsidRPr="005E0F09">
        <w:rPr>
          <w:rFonts w:hint="eastAsia"/>
          <w:b/>
          <w:bCs/>
          <w:sz w:val="28"/>
        </w:rPr>
        <w:t>（一</w:t>
      </w:r>
      <w:r w:rsidR="00556678" w:rsidRPr="005E0F09">
        <w:rPr>
          <w:rFonts w:ascii="標楷體" w:hAnsi="標楷體" w:hint="eastAsia"/>
          <w:b/>
          <w:bCs/>
          <w:kern w:val="0"/>
          <w:sz w:val="28"/>
          <w:szCs w:val="28"/>
        </w:rPr>
        <w:t>）</w:t>
      </w:r>
      <w:r w:rsidR="00556678" w:rsidRPr="005E0F09">
        <w:rPr>
          <w:rFonts w:hint="eastAsia"/>
          <w:b/>
          <w:bCs/>
          <w:sz w:val="28"/>
        </w:rPr>
        <w:t xml:space="preserve">　</w:t>
      </w:r>
      <w:r w:rsidRPr="005E0F09">
        <w:rPr>
          <w:rFonts w:hint="eastAsia"/>
          <w:b/>
          <w:bCs/>
          <w:sz w:val="28"/>
        </w:rPr>
        <w:t>填補累積虧損</w:t>
      </w:r>
      <w:r w:rsidR="008A1885" w:rsidRPr="005E0F09">
        <w:rPr>
          <w:rFonts w:ascii="標楷體" w:hAnsi="標楷體" w:hint="eastAsia"/>
          <w:spacing w:val="4"/>
          <w:kern w:val="0"/>
          <w:sz w:val="28"/>
          <w:szCs w:val="28"/>
        </w:rPr>
        <w:t>1</w:t>
      </w:r>
      <w:r w:rsidR="00AE4521">
        <w:rPr>
          <w:rFonts w:ascii="標楷體" w:hAnsi="標楷體" w:hint="eastAsia"/>
          <w:spacing w:val="4"/>
          <w:kern w:val="0"/>
          <w:sz w:val="28"/>
          <w:szCs w:val="28"/>
        </w:rPr>
        <w:t>,</w:t>
      </w:r>
      <w:r w:rsidR="00AE4521">
        <w:rPr>
          <w:rFonts w:ascii="標楷體" w:hAnsi="標楷體"/>
          <w:spacing w:val="4"/>
          <w:kern w:val="0"/>
          <w:sz w:val="28"/>
          <w:szCs w:val="28"/>
        </w:rPr>
        <w:t>273</w:t>
      </w:r>
      <w:r w:rsidR="00155EE6" w:rsidRPr="005E0F09">
        <w:rPr>
          <w:rFonts w:ascii="標楷體" w:hAnsi="標楷體" w:hint="eastAsia"/>
          <w:spacing w:val="4"/>
          <w:kern w:val="0"/>
          <w:sz w:val="28"/>
          <w:szCs w:val="28"/>
        </w:rPr>
        <w:t>億餘元，較預算數</w:t>
      </w:r>
      <w:r w:rsidR="00AE4521">
        <w:rPr>
          <w:rFonts w:ascii="標楷體" w:hAnsi="標楷體"/>
          <w:spacing w:val="4"/>
          <w:kern w:val="0"/>
          <w:sz w:val="28"/>
          <w:szCs w:val="28"/>
        </w:rPr>
        <w:t>579</w:t>
      </w:r>
      <w:r w:rsidR="007E35FA" w:rsidRPr="005E0F09">
        <w:rPr>
          <w:rFonts w:ascii="標楷體" w:hAnsi="標楷體" w:hint="eastAsia"/>
          <w:spacing w:val="4"/>
          <w:kern w:val="0"/>
          <w:sz w:val="28"/>
          <w:szCs w:val="28"/>
        </w:rPr>
        <w:t>億餘元，</w:t>
      </w:r>
      <w:r w:rsidR="00664FBC" w:rsidRPr="005E0F09">
        <w:rPr>
          <w:rFonts w:ascii="標楷體" w:hAnsi="標楷體" w:hint="eastAsia"/>
          <w:spacing w:val="4"/>
          <w:kern w:val="0"/>
          <w:sz w:val="28"/>
          <w:szCs w:val="28"/>
        </w:rPr>
        <w:t>增加</w:t>
      </w:r>
      <w:r w:rsidR="00227CD8">
        <w:rPr>
          <w:rFonts w:ascii="標楷體" w:hAnsi="標楷體"/>
          <w:spacing w:val="4"/>
          <w:kern w:val="0"/>
          <w:sz w:val="28"/>
          <w:szCs w:val="28"/>
        </w:rPr>
        <w:t>694</w:t>
      </w:r>
      <w:r w:rsidR="00155EE6" w:rsidRPr="005E0F09">
        <w:rPr>
          <w:rFonts w:ascii="標楷體" w:hAnsi="標楷體" w:hint="eastAsia"/>
          <w:spacing w:val="4"/>
          <w:kern w:val="0"/>
          <w:sz w:val="28"/>
          <w:szCs w:val="28"/>
        </w:rPr>
        <w:t>億餘元</w:t>
      </w:r>
      <w:r w:rsidR="00C612AD" w:rsidRPr="005E0F09">
        <w:rPr>
          <w:rFonts w:ascii="標楷體" w:hAnsi="標楷體" w:hint="eastAsia"/>
          <w:spacing w:val="4"/>
          <w:kern w:val="0"/>
          <w:sz w:val="28"/>
          <w:szCs w:val="28"/>
        </w:rPr>
        <w:t>，約</w:t>
      </w:r>
      <w:r w:rsidR="00227CD8">
        <w:rPr>
          <w:rFonts w:ascii="標楷體" w:hAnsi="標楷體"/>
          <w:spacing w:val="4"/>
          <w:kern w:val="0"/>
          <w:sz w:val="28"/>
          <w:szCs w:val="28"/>
        </w:rPr>
        <w:t>119.80</w:t>
      </w:r>
      <w:r w:rsidR="00C612AD" w:rsidRPr="005E0F09">
        <w:rPr>
          <w:rFonts w:ascii="標楷體" w:hAnsi="標楷體" w:hint="eastAsia"/>
          <w:kern w:val="0"/>
          <w:sz w:val="28"/>
          <w:szCs w:val="28"/>
        </w:rPr>
        <w:t>％</w:t>
      </w:r>
      <w:r w:rsidR="00155EE6" w:rsidRPr="005E0F09">
        <w:rPr>
          <w:rFonts w:ascii="標楷體" w:hAnsi="標楷體" w:hint="eastAsia"/>
          <w:spacing w:val="4"/>
          <w:kern w:val="0"/>
          <w:sz w:val="28"/>
          <w:szCs w:val="28"/>
        </w:rPr>
        <w:t>。</w:t>
      </w:r>
    </w:p>
    <w:p w14:paraId="2358F2C1" w14:textId="409BF3C3" w:rsidR="00155EE6" w:rsidRPr="005E0F09" w:rsidRDefault="00CD7018" w:rsidP="007709E5">
      <w:pPr>
        <w:pStyle w:val="af5"/>
        <w:tabs>
          <w:tab w:val="left" w:pos="1428"/>
        </w:tabs>
        <w:overflowPunct w:val="0"/>
        <w:spacing w:line="500" w:lineRule="exact"/>
        <w:ind w:leftChars="0" w:left="0" w:firstLineChars="200" w:firstLine="561"/>
        <w:jc w:val="both"/>
        <w:rPr>
          <w:rFonts w:ascii="標楷體" w:hAnsi="標楷體"/>
          <w:kern w:val="0"/>
          <w:sz w:val="28"/>
          <w:szCs w:val="28"/>
        </w:rPr>
      </w:pPr>
      <w:r w:rsidRPr="005E0F09">
        <w:rPr>
          <w:rFonts w:hint="eastAsia"/>
          <w:b/>
          <w:bCs/>
          <w:sz w:val="28"/>
        </w:rPr>
        <w:t>（二）　提存公積</w:t>
      </w:r>
      <w:r w:rsidR="000C5A94" w:rsidRPr="005E0F09">
        <w:rPr>
          <w:rFonts w:ascii="標楷體" w:hAnsi="標楷體"/>
          <w:spacing w:val="8"/>
          <w:kern w:val="0"/>
          <w:sz w:val="28"/>
          <w:szCs w:val="28"/>
        </w:rPr>
        <w:t>9</w:t>
      </w:r>
      <w:r w:rsidR="00227CD8">
        <w:rPr>
          <w:rFonts w:ascii="標楷體" w:hAnsi="標楷體"/>
          <w:spacing w:val="8"/>
          <w:kern w:val="0"/>
          <w:sz w:val="28"/>
          <w:szCs w:val="28"/>
        </w:rPr>
        <w:t>89</w:t>
      </w:r>
      <w:r w:rsidR="00155EE6" w:rsidRPr="005E0F09">
        <w:rPr>
          <w:rFonts w:ascii="標楷體" w:hAnsi="標楷體" w:hint="eastAsia"/>
          <w:spacing w:val="8"/>
          <w:kern w:val="0"/>
          <w:sz w:val="28"/>
          <w:szCs w:val="28"/>
        </w:rPr>
        <w:t>億餘元，較預算數</w:t>
      </w:r>
      <w:r w:rsidR="00227CD8">
        <w:rPr>
          <w:rFonts w:ascii="標楷體" w:hAnsi="標楷體"/>
          <w:spacing w:val="8"/>
          <w:kern w:val="0"/>
          <w:sz w:val="28"/>
          <w:szCs w:val="28"/>
        </w:rPr>
        <w:t>633</w:t>
      </w:r>
      <w:r w:rsidR="00155EE6" w:rsidRPr="005E0F09">
        <w:rPr>
          <w:rFonts w:ascii="標楷體" w:hAnsi="標楷體" w:hint="eastAsia"/>
          <w:spacing w:val="8"/>
          <w:kern w:val="0"/>
          <w:sz w:val="28"/>
          <w:szCs w:val="28"/>
        </w:rPr>
        <w:t>億餘元，增加</w:t>
      </w:r>
      <w:r w:rsidR="000C5A94" w:rsidRPr="005E0F09">
        <w:rPr>
          <w:rFonts w:ascii="標楷體" w:hAnsi="標楷體"/>
          <w:spacing w:val="8"/>
          <w:kern w:val="0"/>
          <w:sz w:val="28"/>
          <w:szCs w:val="28"/>
        </w:rPr>
        <w:t>3</w:t>
      </w:r>
      <w:r w:rsidR="00227CD8">
        <w:rPr>
          <w:rFonts w:ascii="標楷體" w:hAnsi="標楷體"/>
          <w:spacing w:val="8"/>
          <w:kern w:val="0"/>
          <w:sz w:val="28"/>
          <w:szCs w:val="28"/>
        </w:rPr>
        <w:t>56</w:t>
      </w:r>
      <w:r w:rsidR="00155EE6" w:rsidRPr="005E0F09">
        <w:rPr>
          <w:rFonts w:ascii="標楷體" w:hAnsi="標楷體" w:hint="eastAsia"/>
          <w:spacing w:val="8"/>
          <w:kern w:val="0"/>
          <w:sz w:val="28"/>
          <w:szCs w:val="28"/>
        </w:rPr>
        <w:t>億餘元，約</w:t>
      </w:r>
      <w:r w:rsidR="00227CD8">
        <w:rPr>
          <w:rFonts w:ascii="標楷體" w:hAnsi="標楷體"/>
          <w:spacing w:val="8"/>
          <w:kern w:val="0"/>
          <w:sz w:val="28"/>
          <w:szCs w:val="28"/>
        </w:rPr>
        <w:t>56.21</w:t>
      </w:r>
      <w:r w:rsidR="00155EE6" w:rsidRPr="005E0F09">
        <w:rPr>
          <w:rFonts w:ascii="標楷體" w:hAnsi="標楷體" w:hint="eastAsia"/>
          <w:spacing w:val="8"/>
          <w:kern w:val="0"/>
          <w:sz w:val="28"/>
          <w:szCs w:val="28"/>
        </w:rPr>
        <w:t>％。</w:t>
      </w:r>
    </w:p>
    <w:p w14:paraId="2665AA7C" w14:textId="606D4726" w:rsidR="00155EE6" w:rsidRPr="005E0F09" w:rsidRDefault="00CD7018" w:rsidP="007709E5">
      <w:pPr>
        <w:pStyle w:val="af5"/>
        <w:tabs>
          <w:tab w:val="left" w:pos="1428"/>
        </w:tabs>
        <w:overflowPunct w:val="0"/>
        <w:spacing w:line="500" w:lineRule="exact"/>
        <w:ind w:leftChars="0" w:left="0" w:firstLineChars="200" w:firstLine="561"/>
        <w:jc w:val="both"/>
        <w:rPr>
          <w:rFonts w:ascii="標楷體" w:hAnsi="標楷體"/>
          <w:kern w:val="0"/>
          <w:sz w:val="28"/>
          <w:szCs w:val="28"/>
        </w:rPr>
      </w:pPr>
      <w:r w:rsidRPr="005E0F09">
        <w:rPr>
          <w:rFonts w:hint="eastAsia"/>
          <w:b/>
          <w:bCs/>
          <w:sz w:val="28"/>
        </w:rPr>
        <w:t>（三）　分</w:t>
      </w:r>
      <w:r w:rsidRPr="005E0F09">
        <w:rPr>
          <w:rFonts w:hint="eastAsia"/>
          <w:b/>
          <w:bCs/>
          <w:spacing w:val="1"/>
          <w:sz w:val="28"/>
        </w:rPr>
        <w:t>配股息紅利</w:t>
      </w:r>
      <w:r w:rsidR="00DC5BE4" w:rsidRPr="005E0F09">
        <w:rPr>
          <w:rFonts w:ascii="標楷體" w:hAnsi="標楷體"/>
          <w:spacing w:val="1"/>
          <w:kern w:val="0"/>
          <w:sz w:val="28"/>
          <w:szCs w:val="28"/>
        </w:rPr>
        <w:t>2,</w:t>
      </w:r>
      <w:r w:rsidR="00EB6424" w:rsidRPr="005E0F09">
        <w:rPr>
          <w:rFonts w:ascii="標楷體" w:hAnsi="標楷體"/>
          <w:spacing w:val="1"/>
          <w:kern w:val="0"/>
          <w:sz w:val="28"/>
          <w:szCs w:val="28"/>
        </w:rPr>
        <w:t>2</w:t>
      </w:r>
      <w:r w:rsidR="003C34FE">
        <w:rPr>
          <w:rFonts w:ascii="標楷體" w:hAnsi="標楷體"/>
          <w:spacing w:val="1"/>
          <w:kern w:val="0"/>
          <w:sz w:val="28"/>
          <w:szCs w:val="28"/>
        </w:rPr>
        <w:t>56</w:t>
      </w:r>
      <w:r w:rsidR="00155EE6" w:rsidRPr="005E0F09">
        <w:rPr>
          <w:rFonts w:ascii="標楷體" w:hAnsi="標楷體" w:hint="eastAsia"/>
          <w:spacing w:val="1"/>
          <w:kern w:val="0"/>
          <w:sz w:val="28"/>
          <w:szCs w:val="28"/>
        </w:rPr>
        <w:t>億餘元，較預算數</w:t>
      </w:r>
      <w:r w:rsidR="00DC5BE4" w:rsidRPr="005E0F09">
        <w:rPr>
          <w:rFonts w:ascii="標楷體" w:hAnsi="標楷體"/>
          <w:spacing w:val="1"/>
          <w:kern w:val="0"/>
          <w:sz w:val="28"/>
          <w:szCs w:val="28"/>
        </w:rPr>
        <w:t>2,</w:t>
      </w:r>
      <w:r w:rsidR="00EB6424" w:rsidRPr="005E0F09">
        <w:rPr>
          <w:rFonts w:ascii="標楷體" w:hAnsi="標楷體"/>
          <w:spacing w:val="1"/>
          <w:kern w:val="0"/>
          <w:sz w:val="28"/>
          <w:szCs w:val="28"/>
        </w:rPr>
        <w:t>2</w:t>
      </w:r>
      <w:r w:rsidR="003C34FE">
        <w:rPr>
          <w:rFonts w:ascii="標楷體" w:hAnsi="標楷體"/>
          <w:spacing w:val="1"/>
          <w:kern w:val="0"/>
          <w:sz w:val="28"/>
          <w:szCs w:val="28"/>
        </w:rPr>
        <w:t>21</w:t>
      </w:r>
      <w:r w:rsidR="00155EE6" w:rsidRPr="005E0F09">
        <w:rPr>
          <w:rFonts w:ascii="標楷體" w:hAnsi="標楷體" w:hint="eastAsia"/>
          <w:spacing w:val="1"/>
          <w:kern w:val="0"/>
          <w:sz w:val="28"/>
          <w:szCs w:val="28"/>
        </w:rPr>
        <w:t>億餘元，</w:t>
      </w:r>
      <w:r w:rsidR="003C34FE">
        <w:rPr>
          <w:rFonts w:ascii="標楷體" w:hAnsi="標楷體" w:hint="eastAsia"/>
          <w:spacing w:val="1"/>
          <w:kern w:val="0"/>
          <w:sz w:val="28"/>
          <w:szCs w:val="28"/>
        </w:rPr>
        <w:t>增加35</w:t>
      </w:r>
      <w:r w:rsidR="00155EE6" w:rsidRPr="005E0F09">
        <w:rPr>
          <w:rFonts w:ascii="標楷體" w:hAnsi="標楷體" w:hint="eastAsia"/>
          <w:spacing w:val="1"/>
          <w:kern w:val="0"/>
          <w:sz w:val="28"/>
          <w:szCs w:val="28"/>
        </w:rPr>
        <w:t>億餘元，約</w:t>
      </w:r>
      <w:r w:rsidR="003C34FE">
        <w:rPr>
          <w:rFonts w:ascii="標楷體" w:hAnsi="標楷體" w:hint="eastAsia"/>
          <w:spacing w:val="1"/>
          <w:kern w:val="0"/>
          <w:sz w:val="28"/>
          <w:szCs w:val="28"/>
        </w:rPr>
        <w:t>1.58</w:t>
      </w:r>
      <w:r w:rsidR="00155EE6" w:rsidRPr="005E0F09">
        <w:rPr>
          <w:rFonts w:ascii="標楷體" w:hAnsi="標楷體" w:hint="eastAsia"/>
          <w:spacing w:val="1"/>
          <w:kern w:val="0"/>
          <w:sz w:val="28"/>
          <w:szCs w:val="28"/>
        </w:rPr>
        <w:t>％，其中</w:t>
      </w:r>
      <w:r w:rsidR="00155EE6" w:rsidRPr="005E0F09">
        <w:rPr>
          <w:rFonts w:ascii="標楷體" w:hAnsi="標楷體" w:hint="eastAsia"/>
          <w:spacing w:val="1"/>
          <w:kern w:val="0"/>
          <w:sz w:val="28"/>
          <w:szCs w:val="28"/>
          <w:lang w:eastAsia="zh-HK"/>
        </w:rPr>
        <w:t>撥付</w:t>
      </w:r>
      <w:r w:rsidR="00155EE6" w:rsidRPr="005E0F09">
        <w:rPr>
          <w:rFonts w:ascii="標楷體" w:hAnsi="標楷體" w:hint="eastAsia"/>
          <w:spacing w:val="1"/>
          <w:kern w:val="0"/>
          <w:sz w:val="28"/>
          <w:szCs w:val="28"/>
        </w:rPr>
        <w:t>中央政府</w:t>
      </w:r>
      <w:r w:rsidR="001C6AEB" w:rsidRPr="005E0F09">
        <w:rPr>
          <w:rFonts w:ascii="標楷體" w:hAnsi="標楷體"/>
          <w:spacing w:val="1"/>
          <w:kern w:val="0"/>
          <w:sz w:val="28"/>
          <w:szCs w:val="28"/>
        </w:rPr>
        <w:t>2,</w:t>
      </w:r>
      <w:r w:rsidR="00F165F0" w:rsidRPr="005E0F09">
        <w:rPr>
          <w:rFonts w:ascii="標楷體" w:hAnsi="標楷體" w:hint="eastAsia"/>
          <w:spacing w:val="1"/>
          <w:kern w:val="0"/>
          <w:sz w:val="28"/>
          <w:szCs w:val="28"/>
        </w:rPr>
        <w:t>2</w:t>
      </w:r>
      <w:r w:rsidR="00EC24C6" w:rsidRPr="005E0F09">
        <w:rPr>
          <w:rFonts w:ascii="標楷體" w:hAnsi="標楷體"/>
          <w:spacing w:val="1"/>
          <w:kern w:val="0"/>
          <w:sz w:val="28"/>
          <w:szCs w:val="28"/>
        </w:rPr>
        <w:t>5</w:t>
      </w:r>
      <w:r w:rsidR="003C34FE">
        <w:rPr>
          <w:rFonts w:ascii="標楷體" w:hAnsi="標楷體" w:hint="eastAsia"/>
          <w:spacing w:val="1"/>
          <w:kern w:val="0"/>
          <w:sz w:val="28"/>
          <w:szCs w:val="28"/>
        </w:rPr>
        <w:t>1</w:t>
      </w:r>
      <w:r w:rsidR="00155EE6" w:rsidRPr="005E0F09">
        <w:rPr>
          <w:rFonts w:ascii="標楷體" w:hAnsi="標楷體" w:hint="eastAsia"/>
          <w:spacing w:val="1"/>
          <w:kern w:val="0"/>
          <w:sz w:val="28"/>
          <w:szCs w:val="28"/>
        </w:rPr>
        <w:t>億餘元，地方政府</w:t>
      </w:r>
      <w:r w:rsidR="003C34FE">
        <w:rPr>
          <w:rFonts w:ascii="標楷體" w:hAnsi="標楷體" w:hint="eastAsia"/>
          <w:spacing w:val="1"/>
          <w:kern w:val="0"/>
          <w:sz w:val="28"/>
          <w:szCs w:val="28"/>
        </w:rPr>
        <w:t>4</w:t>
      </w:r>
      <w:r w:rsidR="00155EE6" w:rsidRPr="005E0F09">
        <w:rPr>
          <w:rFonts w:ascii="標楷體" w:hAnsi="標楷體" w:hint="eastAsia"/>
          <w:spacing w:val="1"/>
          <w:kern w:val="0"/>
          <w:sz w:val="28"/>
          <w:szCs w:val="28"/>
        </w:rPr>
        <w:t>萬餘元，其他政府機關</w:t>
      </w:r>
      <w:r w:rsidR="003C34FE">
        <w:rPr>
          <w:rFonts w:ascii="標楷體" w:hAnsi="標楷體" w:hint="eastAsia"/>
          <w:spacing w:val="1"/>
          <w:kern w:val="0"/>
          <w:sz w:val="28"/>
          <w:szCs w:val="28"/>
        </w:rPr>
        <w:t>2</w:t>
      </w:r>
      <w:r w:rsidR="00F165F0" w:rsidRPr="005E0F09">
        <w:rPr>
          <w:rFonts w:ascii="標楷體" w:hAnsi="標楷體" w:hint="eastAsia"/>
          <w:spacing w:val="1"/>
          <w:kern w:val="0"/>
          <w:sz w:val="28"/>
          <w:szCs w:val="28"/>
        </w:rPr>
        <w:t>億</w:t>
      </w:r>
      <w:r w:rsidR="00155EE6" w:rsidRPr="005E0F09">
        <w:rPr>
          <w:rFonts w:ascii="標楷體" w:hAnsi="標楷體" w:hint="eastAsia"/>
          <w:spacing w:val="1"/>
          <w:kern w:val="0"/>
          <w:sz w:val="28"/>
          <w:szCs w:val="28"/>
        </w:rPr>
        <w:t>餘元，民股股東</w:t>
      </w:r>
      <w:r w:rsidR="003C34FE">
        <w:rPr>
          <w:rFonts w:ascii="標楷體" w:hAnsi="標楷體" w:hint="eastAsia"/>
          <w:spacing w:val="1"/>
          <w:kern w:val="0"/>
          <w:sz w:val="28"/>
          <w:szCs w:val="28"/>
        </w:rPr>
        <w:t>2</w:t>
      </w:r>
      <w:r w:rsidR="00581534" w:rsidRPr="005E0F09">
        <w:rPr>
          <w:rFonts w:ascii="標楷體" w:hAnsi="標楷體" w:hint="eastAsia"/>
          <w:spacing w:val="1"/>
          <w:kern w:val="0"/>
          <w:sz w:val="28"/>
          <w:szCs w:val="28"/>
        </w:rPr>
        <w:t>億</w:t>
      </w:r>
      <w:r w:rsidR="00155EE6" w:rsidRPr="005E0F09">
        <w:rPr>
          <w:rFonts w:ascii="標楷體" w:hAnsi="標楷體" w:hint="eastAsia"/>
          <w:spacing w:val="1"/>
          <w:kern w:val="0"/>
          <w:sz w:val="28"/>
          <w:szCs w:val="28"/>
        </w:rPr>
        <w:t>餘元。</w:t>
      </w:r>
    </w:p>
    <w:p w14:paraId="254A1EC1" w14:textId="188757CB" w:rsidR="00155EE6" w:rsidRPr="005E0F09" w:rsidRDefault="00CD7018" w:rsidP="007709E5">
      <w:pPr>
        <w:pStyle w:val="af5"/>
        <w:tabs>
          <w:tab w:val="left" w:pos="1428"/>
        </w:tabs>
        <w:overflowPunct w:val="0"/>
        <w:spacing w:line="500" w:lineRule="exact"/>
        <w:ind w:leftChars="0" w:left="0" w:firstLineChars="200" w:firstLine="561"/>
        <w:jc w:val="both"/>
        <w:rPr>
          <w:rFonts w:ascii="標楷體" w:hAnsi="標楷體"/>
          <w:kern w:val="0"/>
          <w:sz w:val="28"/>
          <w:szCs w:val="28"/>
        </w:rPr>
      </w:pPr>
      <w:r w:rsidRPr="005E0F09">
        <w:rPr>
          <w:rFonts w:hint="eastAsia"/>
          <w:b/>
          <w:bCs/>
          <w:sz w:val="28"/>
        </w:rPr>
        <w:t xml:space="preserve">（四）　</w:t>
      </w:r>
      <w:r w:rsidR="00404BD0" w:rsidRPr="005E0F09">
        <w:rPr>
          <w:rFonts w:hint="eastAsia"/>
          <w:b/>
          <w:bCs/>
          <w:sz w:val="28"/>
        </w:rPr>
        <w:t>提撥地方政府</w:t>
      </w:r>
      <w:r w:rsidR="003C34FE">
        <w:rPr>
          <w:rFonts w:ascii="標楷體" w:hAnsi="標楷體" w:hint="eastAsia"/>
          <w:kern w:val="0"/>
          <w:sz w:val="28"/>
          <w:szCs w:val="28"/>
        </w:rPr>
        <w:t>24</w:t>
      </w:r>
      <w:r w:rsidR="0012563A" w:rsidRPr="005E0F09">
        <w:rPr>
          <w:rFonts w:ascii="標楷體" w:hAnsi="標楷體" w:hint="eastAsia"/>
          <w:kern w:val="0"/>
          <w:sz w:val="28"/>
          <w:szCs w:val="28"/>
        </w:rPr>
        <w:t>億餘元，係</w:t>
      </w:r>
      <w:r w:rsidR="000E266A" w:rsidRPr="005E0F09">
        <w:rPr>
          <w:rFonts w:ascii="標楷體" w:hAnsi="標楷體" w:hint="eastAsia"/>
          <w:kern w:val="0"/>
          <w:sz w:val="28"/>
          <w:szCs w:val="28"/>
        </w:rPr>
        <w:t>臺灣</w:t>
      </w:r>
      <w:r w:rsidR="0012563A" w:rsidRPr="005E0F09">
        <w:rPr>
          <w:rFonts w:ascii="標楷體" w:hAnsi="標楷體" w:hint="eastAsia"/>
          <w:kern w:val="0"/>
          <w:sz w:val="28"/>
          <w:szCs w:val="28"/>
        </w:rPr>
        <w:t>港務公司</w:t>
      </w:r>
      <w:r w:rsidR="000E266A" w:rsidRPr="005E0F09">
        <w:rPr>
          <w:rFonts w:ascii="標楷體" w:hAnsi="標楷體" w:hint="eastAsia"/>
          <w:kern w:val="0"/>
          <w:sz w:val="28"/>
          <w:szCs w:val="28"/>
        </w:rPr>
        <w:t>依其</w:t>
      </w:r>
      <w:r w:rsidR="0012563A" w:rsidRPr="005E0F09">
        <w:rPr>
          <w:rFonts w:ascii="標楷體" w:hAnsi="標楷體" w:hint="eastAsia"/>
          <w:kern w:val="0"/>
          <w:sz w:val="28"/>
          <w:szCs w:val="28"/>
        </w:rPr>
        <w:t>設置條例規定，提撥予港口所在地之直轄市、縣</w:t>
      </w:r>
      <w:r w:rsidR="006A2BB5" w:rsidRPr="005E0F09">
        <w:rPr>
          <w:rFonts w:ascii="標楷體" w:hAnsi="標楷體" w:hint="eastAsia"/>
          <w:kern w:val="0"/>
          <w:sz w:val="28"/>
          <w:szCs w:val="28"/>
        </w:rPr>
        <w:t>（</w:t>
      </w:r>
      <w:r w:rsidR="0012563A" w:rsidRPr="005E0F09">
        <w:rPr>
          <w:rFonts w:ascii="標楷體" w:hAnsi="標楷體" w:hint="eastAsia"/>
          <w:kern w:val="0"/>
          <w:sz w:val="28"/>
          <w:szCs w:val="28"/>
        </w:rPr>
        <w:t>市</w:t>
      </w:r>
      <w:r w:rsidR="006A2BB5" w:rsidRPr="005E0F09">
        <w:rPr>
          <w:rFonts w:ascii="標楷體" w:hAnsi="標楷體" w:hint="eastAsia"/>
          <w:kern w:val="0"/>
          <w:sz w:val="28"/>
          <w:szCs w:val="28"/>
        </w:rPr>
        <w:t>）</w:t>
      </w:r>
      <w:r w:rsidR="0012563A" w:rsidRPr="005E0F09">
        <w:rPr>
          <w:rFonts w:ascii="標楷體" w:hAnsi="標楷體" w:hint="eastAsia"/>
          <w:kern w:val="0"/>
          <w:sz w:val="28"/>
          <w:szCs w:val="28"/>
        </w:rPr>
        <w:t>政府</w:t>
      </w:r>
      <w:r w:rsidR="00490222" w:rsidRPr="005E0F09">
        <w:rPr>
          <w:rFonts w:ascii="標楷體" w:hAnsi="標楷體" w:hint="eastAsia"/>
          <w:kern w:val="0"/>
          <w:sz w:val="28"/>
          <w:szCs w:val="28"/>
        </w:rPr>
        <w:t>，</w:t>
      </w:r>
      <w:r w:rsidR="00BD2A5C" w:rsidRPr="005E0F09">
        <w:rPr>
          <w:rFonts w:ascii="標楷體" w:hAnsi="標楷體" w:hint="eastAsia"/>
          <w:kern w:val="0"/>
          <w:sz w:val="28"/>
          <w:szCs w:val="28"/>
        </w:rPr>
        <w:t>及桃園國際機場公司依國際機場園區發展條例規定，提撥予機場園區所在地之直轄市政府</w:t>
      </w:r>
      <w:r w:rsidR="0012563A" w:rsidRPr="005E0F09">
        <w:rPr>
          <w:rFonts w:ascii="標楷體" w:hAnsi="標楷體" w:hint="eastAsia"/>
          <w:kern w:val="0"/>
          <w:sz w:val="28"/>
          <w:szCs w:val="28"/>
        </w:rPr>
        <w:t>，較預算數</w:t>
      </w:r>
      <w:r w:rsidR="003C34FE">
        <w:rPr>
          <w:rFonts w:ascii="標楷體" w:hAnsi="標楷體" w:hint="eastAsia"/>
          <w:kern w:val="0"/>
          <w:sz w:val="28"/>
          <w:szCs w:val="28"/>
        </w:rPr>
        <w:t>19</w:t>
      </w:r>
      <w:r w:rsidR="0012563A" w:rsidRPr="005E0F09">
        <w:rPr>
          <w:rFonts w:ascii="標楷體" w:hAnsi="標楷體" w:hint="eastAsia"/>
          <w:kern w:val="0"/>
          <w:sz w:val="28"/>
          <w:szCs w:val="28"/>
        </w:rPr>
        <w:t>億餘元，增加</w:t>
      </w:r>
      <w:r w:rsidR="003C34FE">
        <w:rPr>
          <w:rFonts w:ascii="標楷體" w:hAnsi="標楷體" w:hint="eastAsia"/>
          <w:kern w:val="0"/>
          <w:sz w:val="28"/>
          <w:szCs w:val="28"/>
        </w:rPr>
        <w:t>5</w:t>
      </w:r>
      <w:r w:rsidR="0012563A" w:rsidRPr="005E0F09">
        <w:rPr>
          <w:rFonts w:ascii="標楷體" w:hAnsi="標楷體" w:hint="eastAsia"/>
          <w:kern w:val="0"/>
          <w:sz w:val="28"/>
          <w:szCs w:val="28"/>
        </w:rPr>
        <w:t>億餘元，約</w:t>
      </w:r>
      <w:r w:rsidR="007D61EB">
        <w:rPr>
          <w:rFonts w:ascii="標楷體" w:hAnsi="標楷體" w:hint="eastAsia"/>
          <w:kern w:val="0"/>
          <w:sz w:val="28"/>
          <w:szCs w:val="28"/>
        </w:rPr>
        <w:t>26.31</w:t>
      </w:r>
      <w:r w:rsidR="0012563A" w:rsidRPr="005E0F09">
        <w:rPr>
          <w:rFonts w:ascii="標楷體" w:hAnsi="標楷體" w:hint="eastAsia"/>
          <w:kern w:val="0"/>
          <w:sz w:val="28"/>
          <w:szCs w:val="28"/>
        </w:rPr>
        <w:t>％。</w:t>
      </w:r>
    </w:p>
    <w:p w14:paraId="278AA56F" w14:textId="546AEB34" w:rsidR="00155EE6" w:rsidRPr="005E0F09" w:rsidRDefault="00CD7018" w:rsidP="007709E5">
      <w:pPr>
        <w:pStyle w:val="af5"/>
        <w:tabs>
          <w:tab w:val="left" w:pos="1428"/>
        </w:tabs>
        <w:overflowPunct w:val="0"/>
        <w:spacing w:line="500" w:lineRule="exact"/>
        <w:ind w:leftChars="0" w:left="0" w:firstLineChars="200" w:firstLine="561"/>
        <w:jc w:val="both"/>
        <w:rPr>
          <w:rFonts w:ascii="標楷體" w:hAnsi="標楷體"/>
          <w:kern w:val="0"/>
          <w:sz w:val="28"/>
          <w:szCs w:val="28"/>
        </w:rPr>
      </w:pPr>
      <w:r w:rsidRPr="005E0F09">
        <w:rPr>
          <w:rFonts w:hint="eastAsia"/>
          <w:b/>
          <w:bCs/>
          <w:sz w:val="28"/>
        </w:rPr>
        <w:t xml:space="preserve">（五）　</w:t>
      </w:r>
      <w:r w:rsidR="00404BD0" w:rsidRPr="005E0F09">
        <w:rPr>
          <w:rFonts w:hint="eastAsia"/>
          <w:b/>
          <w:bCs/>
          <w:sz w:val="28"/>
        </w:rPr>
        <w:t>其</w:t>
      </w:r>
      <w:r w:rsidR="00404BD0" w:rsidRPr="005E0F09">
        <w:rPr>
          <w:rFonts w:hint="eastAsia"/>
          <w:b/>
          <w:bCs/>
          <w:spacing w:val="2"/>
          <w:sz w:val="28"/>
        </w:rPr>
        <w:t>他依法分配數</w:t>
      </w:r>
      <w:r w:rsidR="007D61EB">
        <w:rPr>
          <w:rFonts w:ascii="標楷體" w:hAnsi="標楷體" w:hint="eastAsia"/>
          <w:spacing w:val="4"/>
          <w:kern w:val="0"/>
          <w:sz w:val="28"/>
          <w:szCs w:val="28"/>
        </w:rPr>
        <w:t>65</w:t>
      </w:r>
      <w:r w:rsidR="0012563A" w:rsidRPr="005E0F09">
        <w:rPr>
          <w:rFonts w:ascii="標楷體" w:hAnsi="標楷體" w:hint="eastAsia"/>
          <w:spacing w:val="4"/>
          <w:kern w:val="0"/>
          <w:sz w:val="28"/>
          <w:szCs w:val="28"/>
          <w:lang w:eastAsia="zh-HK"/>
        </w:rPr>
        <w:t>億餘元</w:t>
      </w:r>
      <w:r w:rsidR="0012563A" w:rsidRPr="005E0F09">
        <w:rPr>
          <w:rFonts w:ascii="標楷體" w:hAnsi="標楷體" w:hint="eastAsia"/>
          <w:spacing w:val="4"/>
          <w:kern w:val="0"/>
          <w:sz w:val="28"/>
          <w:szCs w:val="28"/>
        </w:rPr>
        <w:t>，係</w:t>
      </w:r>
      <w:r w:rsidR="000E266A" w:rsidRPr="005E0F09">
        <w:rPr>
          <w:rFonts w:ascii="標楷體" w:hAnsi="標楷體" w:hint="eastAsia"/>
          <w:spacing w:val="4"/>
          <w:kern w:val="0"/>
          <w:sz w:val="28"/>
          <w:szCs w:val="28"/>
        </w:rPr>
        <w:t>臺灣港務公司依其</w:t>
      </w:r>
      <w:r w:rsidR="009E6B8D" w:rsidRPr="005E0F09">
        <w:rPr>
          <w:rFonts w:ascii="標楷體" w:hAnsi="標楷體" w:hint="eastAsia"/>
          <w:spacing w:val="4"/>
          <w:kern w:val="0"/>
          <w:sz w:val="28"/>
          <w:szCs w:val="28"/>
        </w:rPr>
        <w:t>設置條例規定</w:t>
      </w:r>
      <w:r w:rsidR="000E266A" w:rsidRPr="005E0F09">
        <w:rPr>
          <w:rFonts w:ascii="標楷體" w:hAnsi="標楷體" w:hint="eastAsia"/>
          <w:spacing w:val="4"/>
          <w:kern w:val="0"/>
          <w:sz w:val="28"/>
          <w:szCs w:val="28"/>
        </w:rPr>
        <w:t>，</w:t>
      </w:r>
      <w:r w:rsidR="0012563A" w:rsidRPr="005E0F09">
        <w:rPr>
          <w:rFonts w:ascii="標楷體" w:hAnsi="標楷體" w:hint="eastAsia"/>
          <w:spacing w:val="4"/>
          <w:kern w:val="0"/>
          <w:sz w:val="28"/>
          <w:szCs w:val="28"/>
        </w:rPr>
        <w:t>提撥</w:t>
      </w:r>
      <w:r w:rsidR="000E266A" w:rsidRPr="005E0F09">
        <w:rPr>
          <w:rFonts w:ascii="標楷體" w:hAnsi="標楷體" w:hint="eastAsia"/>
          <w:spacing w:val="4"/>
          <w:kern w:val="0"/>
          <w:sz w:val="28"/>
          <w:szCs w:val="28"/>
        </w:rPr>
        <w:t>予</w:t>
      </w:r>
      <w:r w:rsidR="0012563A" w:rsidRPr="005E0F09">
        <w:rPr>
          <w:rFonts w:ascii="標楷體" w:hAnsi="標楷體" w:hint="eastAsia"/>
          <w:spacing w:val="4"/>
          <w:kern w:val="0"/>
          <w:sz w:val="28"/>
          <w:szCs w:val="28"/>
        </w:rPr>
        <w:t>航港建設基金</w:t>
      </w:r>
      <w:r w:rsidR="00490222" w:rsidRPr="005E0F09">
        <w:rPr>
          <w:rFonts w:ascii="標楷體" w:hAnsi="標楷體" w:hint="eastAsia"/>
          <w:spacing w:val="4"/>
          <w:kern w:val="0"/>
          <w:sz w:val="28"/>
          <w:szCs w:val="28"/>
        </w:rPr>
        <w:t>，及桃園國際機場公司依國際機場園區發展條例規定，分配予</w:t>
      </w:r>
      <w:r w:rsidR="00135435" w:rsidRPr="005E0F09">
        <w:rPr>
          <w:rFonts w:ascii="標楷體" w:hAnsi="標楷體" w:hint="eastAsia"/>
          <w:spacing w:val="4"/>
          <w:kern w:val="0"/>
          <w:sz w:val="28"/>
          <w:szCs w:val="28"/>
        </w:rPr>
        <w:t>民航事業作業基金</w:t>
      </w:r>
      <w:r w:rsidR="0012563A" w:rsidRPr="005E0F09">
        <w:rPr>
          <w:rFonts w:ascii="標楷體" w:hAnsi="標楷體" w:hint="eastAsia"/>
          <w:spacing w:val="4"/>
          <w:kern w:val="0"/>
          <w:sz w:val="28"/>
          <w:szCs w:val="28"/>
        </w:rPr>
        <w:t>，較預算數</w:t>
      </w:r>
      <w:r w:rsidR="007D61EB">
        <w:rPr>
          <w:rFonts w:ascii="標楷體" w:hAnsi="標楷體" w:hint="eastAsia"/>
          <w:spacing w:val="4"/>
          <w:kern w:val="0"/>
          <w:sz w:val="28"/>
          <w:szCs w:val="28"/>
        </w:rPr>
        <w:t>53</w:t>
      </w:r>
      <w:r w:rsidR="0012563A" w:rsidRPr="005E0F09">
        <w:rPr>
          <w:rFonts w:ascii="標楷體" w:hAnsi="標楷體" w:hint="eastAsia"/>
          <w:spacing w:val="4"/>
          <w:kern w:val="0"/>
          <w:sz w:val="28"/>
          <w:szCs w:val="28"/>
        </w:rPr>
        <w:t>億餘元，增加</w:t>
      </w:r>
      <w:r w:rsidR="00135435" w:rsidRPr="005E0F09">
        <w:rPr>
          <w:rFonts w:ascii="標楷體" w:hAnsi="標楷體"/>
          <w:spacing w:val="4"/>
          <w:kern w:val="0"/>
          <w:sz w:val="28"/>
          <w:szCs w:val="28"/>
        </w:rPr>
        <w:t>1</w:t>
      </w:r>
      <w:r w:rsidR="007D61EB">
        <w:rPr>
          <w:rFonts w:ascii="標楷體" w:hAnsi="標楷體" w:hint="eastAsia"/>
          <w:spacing w:val="4"/>
          <w:kern w:val="0"/>
          <w:sz w:val="28"/>
          <w:szCs w:val="28"/>
        </w:rPr>
        <w:t>2</w:t>
      </w:r>
      <w:r w:rsidR="0012563A" w:rsidRPr="005E0F09">
        <w:rPr>
          <w:rFonts w:ascii="標楷體" w:hAnsi="標楷體" w:hint="eastAsia"/>
          <w:spacing w:val="4"/>
          <w:kern w:val="0"/>
          <w:sz w:val="28"/>
          <w:szCs w:val="28"/>
        </w:rPr>
        <w:t>億餘元，約</w:t>
      </w:r>
      <w:r w:rsidR="007D61EB">
        <w:rPr>
          <w:rFonts w:ascii="標楷體" w:hAnsi="標楷體" w:hint="eastAsia"/>
          <w:spacing w:val="4"/>
          <w:kern w:val="0"/>
          <w:sz w:val="28"/>
          <w:szCs w:val="28"/>
        </w:rPr>
        <w:t>23.72</w:t>
      </w:r>
      <w:r w:rsidR="0012563A" w:rsidRPr="005E0F09">
        <w:rPr>
          <w:rFonts w:ascii="標楷體" w:hAnsi="標楷體" w:hint="eastAsia"/>
          <w:spacing w:val="4"/>
          <w:kern w:val="0"/>
          <w:sz w:val="28"/>
          <w:szCs w:val="28"/>
        </w:rPr>
        <w:t>％</w:t>
      </w:r>
      <w:r w:rsidR="0012563A" w:rsidRPr="005E0F09">
        <w:rPr>
          <w:rFonts w:ascii="標楷體" w:hAnsi="標楷體" w:hint="eastAsia"/>
          <w:spacing w:val="2"/>
          <w:kern w:val="0"/>
          <w:sz w:val="28"/>
          <w:szCs w:val="28"/>
        </w:rPr>
        <w:t>。</w:t>
      </w:r>
    </w:p>
    <w:p w14:paraId="0CF96C91" w14:textId="59A975BD" w:rsidR="00155EE6" w:rsidRPr="005E0F09" w:rsidRDefault="00CD7018" w:rsidP="00926A7E">
      <w:pPr>
        <w:pStyle w:val="af5"/>
        <w:tabs>
          <w:tab w:val="left" w:pos="1428"/>
        </w:tabs>
        <w:overflowPunct w:val="0"/>
        <w:spacing w:line="520" w:lineRule="exact"/>
        <w:ind w:leftChars="0" w:left="0" w:firstLineChars="200" w:firstLine="561"/>
        <w:jc w:val="both"/>
        <w:rPr>
          <w:rFonts w:ascii="標楷體" w:hAnsi="標楷體"/>
          <w:spacing w:val="16"/>
          <w:kern w:val="0"/>
          <w:sz w:val="28"/>
          <w:szCs w:val="28"/>
        </w:rPr>
      </w:pPr>
      <w:r w:rsidRPr="005E0F09">
        <w:rPr>
          <w:rFonts w:hint="eastAsia"/>
          <w:b/>
          <w:bCs/>
          <w:sz w:val="28"/>
        </w:rPr>
        <w:lastRenderedPageBreak/>
        <w:t>（六）</w:t>
      </w:r>
      <w:r w:rsidRPr="005E0F09">
        <w:rPr>
          <w:rFonts w:hint="eastAsia"/>
          <w:b/>
          <w:bCs/>
          <w:spacing w:val="8"/>
          <w:sz w:val="28"/>
        </w:rPr>
        <w:t xml:space="preserve">　</w:t>
      </w:r>
      <w:r w:rsidRPr="005E0F09">
        <w:rPr>
          <w:rFonts w:hint="eastAsia"/>
          <w:b/>
          <w:bCs/>
          <w:spacing w:val="16"/>
          <w:sz w:val="28"/>
        </w:rPr>
        <w:t>未分配盈餘</w:t>
      </w:r>
      <w:r w:rsidR="007D61EB">
        <w:rPr>
          <w:rFonts w:ascii="標楷體" w:hAnsi="標楷體" w:hint="eastAsia"/>
          <w:spacing w:val="16"/>
          <w:kern w:val="0"/>
          <w:sz w:val="28"/>
          <w:szCs w:val="28"/>
        </w:rPr>
        <w:t>993</w:t>
      </w:r>
      <w:r w:rsidR="00155EE6" w:rsidRPr="005E0F09">
        <w:rPr>
          <w:rFonts w:ascii="標楷體" w:hAnsi="標楷體" w:hint="eastAsia"/>
          <w:spacing w:val="16"/>
          <w:kern w:val="0"/>
          <w:sz w:val="28"/>
          <w:szCs w:val="28"/>
        </w:rPr>
        <w:t>億餘</w:t>
      </w:r>
      <w:r w:rsidR="00155EE6" w:rsidRPr="005E0F09">
        <w:rPr>
          <w:rFonts w:ascii="標楷體" w:hAnsi="標楷體" w:hint="eastAsia"/>
          <w:spacing w:val="10"/>
          <w:kern w:val="0"/>
          <w:sz w:val="28"/>
          <w:szCs w:val="28"/>
        </w:rPr>
        <w:t>元，較預算數</w:t>
      </w:r>
      <w:r w:rsidR="003204D2" w:rsidRPr="005E0F09">
        <w:rPr>
          <w:rFonts w:ascii="標楷體" w:hAnsi="標楷體"/>
          <w:spacing w:val="10"/>
          <w:kern w:val="0"/>
          <w:sz w:val="28"/>
          <w:szCs w:val="28"/>
        </w:rPr>
        <w:t>2</w:t>
      </w:r>
      <w:r w:rsidR="007D61EB">
        <w:rPr>
          <w:rFonts w:ascii="標楷體" w:hAnsi="標楷體" w:hint="eastAsia"/>
          <w:spacing w:val="10"/>
          <w:kern w:val="0"/>
          <w:sz w:val="28"/>
          <w:szCs w:val="28"/>
        </w:rPr>
        <w:t>67</w:t>
      </w:r>
      <w:r w:rsidR="00155EE6" w:rsidRPr="005E0F09">
        <w:rPr>
          <w:rFonts w:ascii="標楷體" w:hAnsi="標楷體" w:hint="eastAsia"/>
          <w:spacing w:val="10"/>
          <w:kern w:val="0"/>
          <w:sz w:val="28"/>
          <w:szCs w:val="28"/>
        </w:rPr>
        <w:t>億餘元，增加</w:t>
      </w:r>
      <w:r w:rsidR="007D61EB">
        <w:rPr>
          <w:rFonts w:ascii="標楷體" w:hAnsi="標楷體" w:hint="eastAsia"/>
          <w:spacing w:val="10"/>
          <w:kern w:val="0"/>
          <w:sz w:val="28"/>
          <w:szCs w:val="28"/>
        </w:rPr>
        <w:t>725</w:t>
      </w:r>
      <w:r w:rsidR="00155EE6" w:rsidRPr="005E0F09">
        <w:rPr>
          <w:rFonts w:ascii="標楷體" w:hAnsi="標楷體" w:hint="eastAsia"/>
          <w:spacing w:val="10"/>
          <w:kern w:val="0"/>
          <w:sz w:val="28"/>
          <w:szCs w:val="28"/>
        </w:rPr>
        <w:t>億</w:t>
      </w:r>
      <w:r w:rsidR="00155EE6" w:rsidRPr="005E0F09">
        <w:rPr>
          <w:rFonts w:ascii="標楷體" w:hAnsi="標楷體" w:hint="eastAsia"/>
          <w:spacing w:val="16"/>
          <w:kern w:val="0"/>
          <w:sz w:val="28"/>
          <w:szCs w:val="28"/>
        </w:rPr>
        <w:t>餘元，約</w:t>
      </w:r>
      <w:r w:rsidR="007D61EB">
        <w:rPr>
          <w:rFonts w:ascii="標楷體" w:hAnsi="標楷體" w:hint="eastAsia"/>
          <w:spacing w:val="16"/>
          <w:kern w:val="0"/>
          <w:sz w:val="28"/>
          <w:szCs w:val="28"/>
        </w:rPr>
        <w:t>271.15</w:t>
      </w:r>
      <w:r w:rsidR="00155EE6" w:rsidRPr="005E0F09">
        <w:rPr>
          <w:rFonts w:ascii="標楷體" w:hAnsi="標楷體" w:hint="eastAsia"/>
          <w:spacing w:val="16"/>
          <w:kern w:val="0"/>
          <w:sz w:val="28"/>
          <w:szCs w:val="28"/>
        </w:rPr>
        <w:t>％。</w:t>
      </w:r>
    </w:p>
    <w:p w14:paraId="3BB10702" w14:textId="6C9DC8FF" w:rsidR="000F5B73" w:rsidRPr="005E0F09" w:rsidRDefault="007F1223" w:rsidP="00433C96">
      <w:pPr>
        <w:tabs>
          <w:tab w:val="left" w:pos="567"/>
          <w:tab w:val="left" w:pos="709"/>
        </w:tabs>
        <w:spacing w:line="480" w:lineRule="exact"/>
        <w:ind w:firstLineChars="220" w:firstLine="528"/>
        <w:jc w:val="both"/>
        <w:rPr>
          <w:rFonts w:ascii="標楷體" w:hAnsi="標楷體"/>
          <w:kern w:val="0"/>
          <w:sz w:val="28"/>
          <w:szCs w:val="28"/>
        </w:rPr>
      </w:pPr>
      <w:r w:rsidRPr="001F51BE">
        <w:rPr>
          <w:noProof/>
          <w:spacing w:val="-6"/>
        </w:rPr>
        <w:drawing>
          <wp:anchor distT="0" distB="0" distL="114300" distR="114300" simplePos="0" relativeHeight="251661312" behindDoc="0" locked="0" layoutInCell="1" allowOverlap="1" wp14:anchorId="4DB6D5D2" wp14:editId="72319BE8">
            <wp:simplePos x="0" y="0"/>
            <wp:positionH relativeFrom="column">
              <wp:posOffset>116840</wp:posOffset>
            </wp:positionH>
            <wp:positionV relativeFrom="paragraph">
              <wp:posOffset>982345</wp:posOffset>
            </wp:positionV>
            <wp:extent cx="6479540" cy="3933190"/>
            <wp:effectExtent l="0" t="0" r="0" b="0"/>
            <wp:wrapSquare wrapText="bothSides"/>
            <wp:docPr id="1" name="圖表 1">
              <a:extLst xmlns:a="http://schemas.openxmlformats.org/drawingml/2006/main">
                <a:ext uri="{FF2B5EF4-FFF2-40B4-BE49-F238E27FC236}">
                  <a16:creationId xmlns:a16="http://schemas.microsoft.com/office/drawing/2014/main" id="{B15EE983-8855-4249-B3A2-FB14E533F2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r w:rsidR="00F71391" w:rsidRPr="005E0F09">
        <w:rPr>
          <w:noProof/>
          <w:spacing w:val="-6"/>
        </w:rPr>
        <mc:AlternateContent>
          <mc:Choice Requires="wps">
            <w:drawing>
              <wp:anchor distT="0" distB="0" distL="114300" distR="114300" simplePos="0" relativeHeight="251660288" behindDoc="0" locked="0" layoutInCell="1" allowOverlap="1" wp14:anchorId="0336444F" wp14:editId="1BC8056D">
                <wp:simplePos x="0" y="0"/>
                <wp:positionH relativeFrom="column">
                  <wp:posOffset>1174115</wp:posOffset>
                </wp:positionH>
                <wp:positionV relativeFrom="paragraph">
                  <wp:posOffset>3887470</wp:posOffset>
                </wp:positionV>
                <wp:extent cx="219075" cy="561975"/>
                <wp:effectExtent l="0" t="0" r="28575" b="28575"/>
                <wp:wrapNone/>
                <wp:docPr id="11" name="直線接點 11"/>
                <wp:cNvGraphicFramePr/>
                <a:graphic xmlns:a="http://schemas.openxmlformats.org/drawingml/2006/main">
                  <a:graphicData uri="http://schemas.microsoft.com/office/word/2010/wordprocessingShape">
                    <wps:wsp>
                      <wps:cNvCnPr/>
                      <wps:spPr>
                        <a:xfrm>
                          <a:off x="0" y="0"/>
                          <a:ext cx="219075" cy="561975"/>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CA714E" id="直線接點 1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45pt,306.1pt" to="109.7pt,35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" strokecolor="gray [1629]" strokeweight=".5pt">
                <v:stroke joinstyle="miter"/>
              </v:line>
            </w:pict>
          </mc:Fallback>
        </mc:AlternateContent>
      </w:r>
      <w:r w:rsidR="00457D10" w:rsidRPr="005E0F09">
        <w:rPr>
          <w:noProof/>
          <w:spacing w:val="-6"/>
        </w:rPr>
        <mc:AlternateContent>
          <mc:Choice Requires="wps">
            <w:drawing>
              <wp:anchor distT="0" distB="0" distL="114300" distR="114300" simplePos="0" relativeHeight="251656192" behindDoc="0" locked="0" layoutInCell="1" allowOverlap="1" wp14:anchorId="0EE52704" wp14:editId="3B5E5622">
                <wp:simplePos x="0" y="0"/>
                <wp:positionH relativeFrom="column">
                  <wp:posOffset>1431290</wp:posOffset>
                </wp:positionH>
                <wp:positionV relativeFrom="paragraph">
                  <wp:posOffset>2287136</wp:posOffset>
                </wp:positionV>
                <wp:extent cx="966470" cy="422275"/>
                <wp:effectExtent l="0" t="0" r="0" b="0"/>
                <wp:wrapNone/>
                <wp:docPr id="16" name="文字方塊 1"/>
                <wp:cNvGraphicFramePr/>
                <a:graphic xmlns:a="http://schemas.openxmlformats.org/drawingml/2006/main">
                  <a:graphicData uri="http://schemas.microsoft.com/office/word/2010/wordprocessingShape">
                    <wps:wsp>
                      <wps:cNvSpPr txBox="1"/>
                      <wps:spPr>
                        <a:xfrm>
                          <a:off x="0" y="0"/>
                          <a:ext cx="966470" cy="422275"/>
                        </a:xfrm>
                        <a:prstGeom prst="rect">
                          <a:avLst/>
                        </a:prstGeom>
                      </wps:spPr>
                      <wps:txbx>
                        <w:txbxContent>
                          <w:p w14:paraId="083B7FED"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未分配盈餘</w:t>
                            </w:r>
                          </w:p>
                          <w:p w14:paraId="6DA76CEE"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693（18.18％）</w:t>
                            </w:r>
                          </w:p>
                        </w:txbxContent>
                      </wps:txbx>
                      <wps:bodyPr vertOverflow="clip"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0EE52704" id="_x0000_t202" coordsize="21600,21600" o:spt="202" path="m,l,21600r21600,l21600,xe">
                <v:stroke joinstyle="miter"/>
                <v:path gradientshapeok="t" o:connecttype="rect"/>
              </v:shapetype>
              <v:shape id="文字方塊 1" o:spid="_x0000_s1026" type="#_x0000_t202" style="position:absolute;left:0;text-align:left;margin-left:112.7pt;margin-top:180.1pt;width:76.1pt;height:33.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" filled="f" stroked="f">
                <v:textbox>
                  <w:txbxContent>
                    <w:p w14:paraId="083B7FED"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未分配盈餘</w:t>
                      </w:r>
                    </w:p>
                    <w:p w14:paraId="6DA76CEE"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693（18.18％）</w:t>
                      </w:r>
                    </w:p>
                  </w:txbxContent>
                </v:textbox>
              </v:shape>
            </w:pict>
          </mc:Fallback>
        </mc:AlternateContent>
      </w:r>
      <w:r w:rsidR="00457D10" w:rsidRPr="005E0F09">
        <w:rPr>
          <w:noProof/>
          <w:spacing w:val="-6"/>
        </w:rPr>
        <mc:AlternateContent>
          <mc:Choice Requires="wps">
            <w:drawing>
              <wp:anchor distT="0" distB="0" distL="114300" distR="114300" simplePos="0" relativeHeight="251653120" behindDoc="0" locked="0" layoutInCell="1" allowOverlap="1" wp14:anchorId="51B6AD74" wp14:editId="640BF5F5">
                <wp:simplePos x="0" y="0"/>
                <wp:positionH relativeFrom="column">
                  <wp:posOffset>2328545</wp:posOffset>
                </wp:positionH>
                <wp:positionV relativeFrom="paragraph">
                  <wp:posOffset>1935279</wp:posOffset>
                </wp:positionV>
                <wp:extent cx="970280" cy="422275"/>
                <wp:effectExtent l="0" t="0" r="0" b="0"/>
                <wp:wrapNone/>
                <wp:docPr id="15" name="文字方塊 1"/>
                <wp:cNvGraphicFramePr/>
                <a:graphic xmlns:a="http://schemas.openxmlformats.org/drawingml/2006/main">
                  <a:graphicData uri="http://schemas.microsoft.com/office/word/2010/wordprocessingShape">
                    <wps:wsp>
                      <wps:cNvSpPr txBox="1"/>
                      <wps:spPr>
                        <a:xfrm>
                          <a:off x="0" y="0"/>
                          <a:ext cx="970280" cy="422275"/>
                        </a:xfrm>
                        <a:prstGeom prst="rect">
                          <a:avLst/>
                        </a:prstGeom>
                      </wps:spPr>
                      <wps:txbx>
                        <w:txbxContent>
                          <w:p w14:paraId="52531C99"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提存公積</w:t>
                            </w:r>
                          </w:p>
                          <w:p w14:paraId="597CF96A"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719（18.87％）</w:t>
                            </w:r>
                          </w:p>
                        </w:txbxContent>
                      </wps:txbx>
                      <wps:bodyPr vertOverflow="clip" wrap="square" rtlCol="0">
                        <a:noAutofit/>
                      </wps:bodyPr>
                    </wps:wsp>
                  </a:graphicData>
                </a:graphic>
                <wp14:sizeRelH relativeFrom="margin">
                  <wp14:pctWidth>0</wp14:pctWidth>
                </wp14:sizeRelH>
                <wp14:sizeRelV relativeFrom="margin">
                  <wp14:pctHeight>0</wp14:pctHeight>
                </wp14:sizeRelV>
              </wp:anchor>
            </w:drawing>
          </mc:Choice>
          <mc:Fallback>
            <w:pict>
              <v:shape w14:anchorId="51B6AD74" id="_x0000_s1027" type="#_x0000_t202" style="position:absolute;left:0;text-align:left;margin-left:183.35pt;margin-top:152.4pt;width:76.4pt;height:33.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" filled="f" stroked="f">
                <v:textbox>
                  <w:txbxContent>
                    <w:p w14:paraId="52531C99"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提存公積</w:t>
                      </w:r>
                    </w:p>
                    <w:p w14:paraId="597CF96A"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719（18.87％）</w:t>
                      </w:r>
                    </w:p>
                  </w:txbxContent>
                </v:textbox>
              </v:shape>
            </w:pict>
          </mc:Fallback>
        </mc:AlternateContent>
      </w:r>
      <w:r w:rsidR="00155EE6" w:rsidRPr="005E0F09">
        <w:rPr>
          <w:rFonts w:ascii="標楷體" w:hAnsi="標楷體" w:hint="eastAsia"/>
          <w:spacing w:val="-6"/>
          <w:kern w:val="0"/>
          <w:sz w:val="28"/>
          <w:szCs w:val="28"/>
        </w:rPr>
        <w:t>以上</w:t>
      </w:r>
      <w:r w:rsidR="00155EE6" w:rsidRPr="005E0F09">
        <w:rPr>
          <w:rFonts w:ascii="標楷體" w:hAnsi="標楷體" w:hint="eastAsia"/>
          <w:spacing w:val="-6"/>
          <w:sz w:val="28"/>
          <w:szCs w:val="28"/>
        </w:rPr>
        <w:t>分配</w:t>
      </w:r>
      <w:r w:rsidR="009D1158" w:rsidRPr="005E0F09">
        <w:rPr>
          <w:rFonts w:ascii="標楷體" w:hAnsi="標楷體" w:hint="eastAsia"/>
          <w:spacing w:val="-6"/>
          <w:kern w:val="0"/>
          <w:sz w:val="28"/>
          <w:szCs w:val="28"/>
        </w:rPr>
        <w:t>結果，</w:t>
      </w:r>
      <w:r w:rsidR="00A32DA8" w:rsidRPr="005E0F09">
        <w:rPr>
          <w:rFonts w:ascii="標楷體" w:hAnsi="標楷體" w:hint="eastAsia"/>
          <w:spacing w:val="-6"/>
          <w:kern w:val="0"/>
          <w:sz w:val="28"/>
          <w:szCs w:val="28"/>
        </w:rPr>
        <w:t>分配股息紅利占</w:t>
      </w:r>
      <w:r w:rsidR="00D24AAE" w:rsidRPr="005E0F09">
        <w:rPr>
          <w:rFonts w:ascii="標楷體" w:hAnsi="標楷體" w:hint="eastAsia"/>
          <w:spacing w:val="-2"/>
          <w:kern w:val="0"/>
          <w:sz w:val="28"/>
          <w:szCs w:val="28"/>
        </w:rPr>
        <w:t>可分配盈餘</w:t>
      </w:r>
      <w:r w:rsidR="00676778">
        <w:rPr>
          <w:rFonts w:ascii="標楷體" w:hAnsi="標楷體"/>
          <w:spacing w:val="-6"/>
          <w:kern w:val="0"/>
          <w:sz w:val="28"/>
          <w:szCs w:val="28"/>
        </w:rPr>
        <w:t>40.28</w:t>
      </w:r>
      <w:r w:rsidR="00A32DA8" w:rsidRPr="005E0F09">
        <w:rPr>
          <w:rFonts w:ascii="標楷體" w:hAnsi="標楷體" w:hint="eastAsia"/>
          <w:spacing w:val="-6"/>
          <w:kern w:val="0"/>
          <w:sz w:val="28"/>
          <w:szCs w:val="28"/>
        </w:rPr>
        <w:t>％，</w:t>
      </w:r>
      <w:r w:rsidR="00676778" w:rsidRPr="005E0F09">
        <w:rPr>
          <w:rFonts w:ascii="標楷體" w:hAnsi="標楷體" w:hint="eastAsia"/>
          <w:spacing w:val="-6"/>
          <w:kern w:val="0"/>
          <w:sz w:val="28"/>
          <w:szCs w:val="28"/>
        </w:rPr>
        <w:t>填補累積虧損占</w:t>
      </w:r>
      <w:r w:rsidR="00676778">
        <w:rPr>
          <w:rFonts w:ascii="標楷體" w:hAnsi="標楷體"/>
          <w:spacing w:val="-2"/>
          <w:kern w:val="0"/>
          <w:sz w:val="28"/>
          <w:szCs w:val="28"/>
        </w:rPr>
        <w:t>22.73</w:t>
      </w:r>
      <w:r w:rsidR="00676778" w:rsidRPr="005E0F09">
        <w:rPr>
          <w:rFonts w:ascii="標楷體" w:hAnsi="標楷體" w:hint="eastAsia"/>
          <w:spacing w:val="-2"/>
          <w:kern w:val="0"/>
          <w:sz w:val="28"/>
          <w:szCs w:val="28"/>
        </w:rPr>
        <w:t>％，</w:t>
      </w:r>
      <w:r w:rsidR="00A32DA8" w:rsidRPr="005E0F09">
        <w:rPr>
          <w:rFonts w:ascii="標楷體" w:hAnsi="標楷體" w:hint="eastAsia"/>
          <w:spacing w:val="-6"/>
          <w:kern w:val="0"/>
          <w:sz w:val="28"/>
          <w:szCs w:val="28"/>
        </w:rPr>
        <w:t>未分配盈餘占</w:t>
      </w:r>
      <w:r w:rsidR="00676778">
        <w:rPr>
          <w:rFonts w:ascii="標楷體" w:hAnsi="標楷體"/>
          <w:spacing w:val="-6"/>
          <w:kern w:val="0"/>
          <w:sz w:val="28"/>
          <w:szCs w:val="28"/>
        </w:rPr>
        <w:t>17.73</w:t>
      </w:r>
      <w:r w:rsidR="00A32DA8" w:rsidRPr="005E0F09">
        <w:rPr>
          <w:rFonts w:ascii="標楷體" w:hAnsi="標楷體" w:hint="eastAsia"/>
          <w:spacing w:val="-6"/>
          <w:kern w:val="0"/>
          <w:sz w:val="28"/>
          <w:szCs w:val="28"/>
        </w:rPr>
        <w:t>％，提存公積占1</w:t>
      </w:r>
      <w:r w:rsidR="00676778">
        <w:rPr>
          <w:rFonts w:ascii="標楷體" w:hAnsi="標楷體"/>
          <w:spacing w:val="-6"/>
          <w:kern w:val="0"/>
          <w:sz w:val="28"/>
          <w:szCs w:val="28"/>
        </w:rPr>
        <w:t>7.66</w:t>
      </w:r>
      <w:r w:rsidR="00A32DA8" w:rsidRPr="005E0F09">
        <w:rPr>
          <w:rFonts w:ascii="標楷體" w:hAnsi="標楷體" w:hint="eastAsia"/>
          <w:spacing w:val="-6"/>
          <w:kern w:val="0"/>
          <w:sz w:val="28"/>
          <w:szCs w:val="28"/>
        </w:rPr>
        <w:t>％</w:t>
      </w:r>
      <w:r w:rsidR="00A32DA8" w:rsidRPr="005E0F09">
        <w:rPr>
          <w:rFonts w:ascii="標楷體" w:hAnsi="標楷體" w:hint="eastAsia"/>
          <w:kern w:val="0"/>
          <w:sz w:val="28"/>
          <w:szCs w:val="28"/>
        </w:rPr>
        <w:t>，</w:t>
      </w:r>
      <w:r w:rsidR="00155EE6" w:rsidRPr="005E0F09">
        <w:rPr>
          <w:rFonts w:ascii="標楷體" w:hAnsi="標楷體" w:hint="eastAsia"/>
          <w:kern w:val="0"/>
          <w:sz w:val="28"/>
          <w:szCs w:val="28"/>
        </w:rPr>
        <w:t>其他依法分配數占</w:t>
      </w:r>
      <w:r w:rsidR="00676778">
        <w:rPr>
          <w:rFonts w:ascii="標楷體" w:hAnsi="標楷體"/>
          <w:kern w:val="0"/>
          <w:sz w:val="28"/>
          <w:szCs w:val="28"/>
        </w:rPr>
        <w:t>1.1</w:t>
      </w:r>
      <w:r w:rsidR="000F5B73" w:rsidRPr="005E0F09">
        <w:rPr>
          <w:rFonts w:ascii="標楷體" w:hAnsi="標楷體" w:hint="eastAsia"/>
          <w:kern w:val="0"/>
          <w:sz w:val="28"/>
          <w:szCs w:val="28"/>
        </w:rPr>
        <w:t>7</w:t>
      </w:r>
      <w:r w:rsidR="00155EE6" w:rsidRPr="005E0F09">
        <w:rPr>
          <w:rFonts w:ascii="標楷體" w:hAnsi="標楷體" w:hint="eastAsia"/>
          <w:kern w:val="0"/>
          <w:sz w:val="28"/>
          <w:szCs w:val="28"/>
        </w:rPr>
        <w:t>％</w:t>
      </w:r>
      <w:r w:rsidR="00155EE6" w:rsidRPr="005E0F09">
        <w:rPr>
          <w:rFonts w:ascii="標楷體" w:hAnsi="標楷體" w:hint="eastAsia"/>
          <w:kern w:val="0"/>
          <w:sz w:val="28"/>
          <w:szCs w:val="28"/>
          <w:lang w:eastAsia="zh-HK"/>
        </w:rPr>
        <w:t>、</w:t>
      </w:r>
      <w:r w:rsidR="00155EE6" w:rsidRPr="005E0F09">
        <w:rPr>
          <w:rFonts w:ascii="標楷體" w:hAnsi="標楷體" w:hint="eastAsia"/>
          <w:kern w:val="0"/>
          <w:sz w:val="28"/>
          <w:szCs w:val="28"/>
        </w:rPr>
        <w:t>提撥地方政府占</w:t>
      </w:r>
      <w:r w:rsidR="002329CC" w:rsidRPr="005E0F09">
        <w:rPr>
          <w:rFonts w:ascii="標楷體" w:hAnsi="標楷體"/>
          <w:kern w:val="0"/>
          <w:sz w:val="28"/>
          <w:szCs w:val="28"/>
        </w:rPr>
        <w:t>0.</w:t>
      </w:r>
      <w:r w:rsidR="00676778">
        <w:rPr>
          <w:rFonts w:ascii="標楷體" w:hAnsi="標楷體"/>
          <w:kern w:val="0"/>
          <w:sz w:val="28"/>
          <w:szCs w:val="28"/>
        </w:rPr>
        <w:t>43</w:t>
      </w:r>
      <w:r w:rsidR="00155EE6" w:rsidRPr="005E0F09">
        <w:rPr>
          <w:rFonts w:ascii="標楷體" w:hAnsi="標楷體" w:hint="eastAsia"/>
          <w:kern w:val="0"/>
          <w:sz w:val="28"/>
          <w:szCs w:val="28"/>
        </w:rPr>
        <w:t>％</w:t>
      </w:r>
      <w:r w:rsidR="00155EE6" w:rsidRPr="005E0F09">
        <w:rPr>
          <w:rFonts w:ascii="標楷體" w:hAnsi="標楷體" w:hint="eastAsia"/>
          <w:sz w:val="28"/>
          <w:szCs w:val="28"/>
        </w:rPr>
        <w:t>（</w:t>
      </w:r>
      <w:r w:rsidR="00C33594" w:rsidRPr="005E0F09">
        <w:rPr>
          <w:rFonts w:ascii="標楷體" w:hAnsi="標楷體" w:hint="eastAsia"/>
          <w:sz w:val="28"/>
          <w:szCs w:val="28"/>
        </w:rPr>
        <w:t>如下</w:t>
      </w:r>
      <w:r w:rsidR="00155EE6" w:rsidRPr="005E0F09">
        <w:rPr>
          <w:rFonts w:ascii="標楷體" w:hAnsi="標楷體" w:hint="eastAsia"/>
          <w:sz w:val="28"/>
          <w:szCs w:val="28"/>
        </w:rPr>
        <w:t>圖）</w:t>
      </w:r>
      <w:r w:rsidR="00155EE6" w:rsidRPr="005E0F09">
        <w:rPr>
          <w:rFonts w:ascii="標楷體" w:hAnsi="標楷體" w:hint="eastAsia"/>
          <w:kern w:val="0"/>
          <w:sz w:val="28"/>
          <w:szCs w:val="28"/>
        </w:rPr>
        <w:t>。</w:t>
      </w:r>
    </w:p>
    <w:p w14:paraId="5818699F" w14:textId="44ED7A31" w:rsidR="000F5B73" w:rsidRPr="005E0F09" w:rsidRDefault="000F5B73" w:rsidP="007709E5">
      <w:pPr>
        <w:pStyle w:val="aff9"/>
        <w:tabs>
          <w:tab w:val="left" w:pos="3686"/>
          <w:tab w:val="left" w:pos="3828"/>
        </w:tabs>
        <w:overflowPunct w:val="0"/>
        <w:spacing w:before="72" w:after="72" w:line="500" w:lineRule="exact"/>
        <w:ind w:leftChars="0" w:left="0" w:firstLineChars="100" w:firstLine="320"/>
        <w:rPr>
          <w:kern w:val="0"/>
        </w:rPr>
      </w:pPr>
      <w:r w:rsidRPr="005E0F09">
        <w:rPr>
          <w:rFonts w:hint="eastAsia"/>
          <w:kern w:val="0"/>
        </w:rPr>
        <w:t>二、虧損填補</w:t>
      </w:r>
    </w:p>
    <w:p w14:paraId="4B90ABCC" w14:textId="007D1C8C" w:rsidR="00155EE6" w:rsidRPr="005E0F09" w:rsidRDefault="00125934" w:rsidP="007709E5">
      <w:pPr>
        <w:overflowPunct w:val="0"/>
        <w:spacing w:line="480" w:lineRule="exact"/>
        <w:ind w:leftChars="9" w:left="22" w:firstLineChars="200" w:firstLine="560"/>
        <w:jc w:val="both"/>
        <w:rPr>
          <w:rFonts w:ascii="標楷體" w:hAnsi="標楷體"/>
          <w:kern w:val="0"/>
          <w:sz w:val="28"/>
          <w:szCs w:val="28"/>
        </w:rPr>
      </w:pPr>
      <w:r w:rsidRPr="005E0F09">
        <w:rPr>
          <w:rFonts w:ascii="標楷體" w:hAnsi="標楷體" w:hint="eastAsia"/>
          <w:kern w:val="0"/>
          <w:sz w:val="28"/>
          <w:szCs w:val="28"/>
        </w:rPr>
        <w:t>11</w:t>
      </w:r>
      <w:r w:rsidR="00255799">
        <w:rPr>
          <w:rFonts w:ascii="標楷體" w:hAnsi="標楷體"/>
          <w:kern w:val="0"/>
          <w:sz w:val="28"/>
          <w:szCs w:val="28"/>
        </w:rPr>
        <w:t>4</w:t>
      </w:r>
      <w:r w:rsidRPr="005E0F09">
        <w:rPr>
          <w:rFonts w:ascii="標楷體" w:hAnsi="標楷體" w:hint="eastAsia"/>
          <w:kern w:val="0"/>
          <w:sz w:val="28"/>
          <w:szCs w:val="28"/>
        </w:rPr>
        <w:t>年度審定決算列有虧損者</w:t>
      </w:r>
      <w:r w:rsidRPr="005E0F09">
        <w:rPr>
          <w:rFonts w:ascii="標楷體" w:hAnsi="標楷體" w:hint="eastAsia"/>
          <w:kern w:val="0"/>
          <w:sz w:val="28"/>
          <w:szCs w:val="28"/>
          <w:lang w:eastAsia="zh-HK"/>
        </w:rPr>
        <w:t>，</w:t>
      </w:r>
      <w:r w:rsidRPr="005E0F09">
        <w:rPr>
          <w:rFonts w:ascii="標楷體" w:hAnsi="標楷體" w:hint="eastAsia"/>
          <w:kern w:val="0"/>
          <w:sz w:val="28"/>
          <w:szCs w:val="28"/>
        </w:rPr>
        <w:t>有台灣中油公司</w:t>
      </w:r>
      <w:r w:rsidRPr="005E0F09">
        <w:rPr>
          <w:rFonts w:ascii="標楷體" w:hAnsi="標楷體" w:hint="eastAsia"/>
          <w:kern w:val="0"/>
          <w:sz w:val="28"/>
          <w:szCs w:val="28"/>
          <w:lang w:eastAsia="zh-HK"/>
        </w:rPr>
        <w:t>、</w:t>
      </w:r>
      <w:r w:rsidR="00400ED8" w:rsidRPr="005E0F09">
        <w:rPr>
          <w:rFonts w:ascii="標楷體" w:hAnsi="標楷體" w:hint="eastAsia"/>
          <w:kern w:val="0"/>
          <w:sz w:val="28"/>
          <w:szCs w:val="28"/>
        </w:rPr>
        <w:t>台灣自來水公司、</w:t>
      </w:r>
      <w:bookmarkStart w:id="1" w:name="_Hlk201224685"/>
      <w:r w:rsidR="00754EC6" w:rsidRPr="005E0F09">
        <w:rPr>
          <w:rFonts w:ascii="標楷體" w:hAnsi="標楷體" w:hint="eastAsia"/>
          <w:kern w:val="0"/>
          <w:sz w:val="28"/>
          <w:szCs w:val="28"/>
        </w:rPr>
        <w:t>臺灣鐵路公司</w:t>
      </w:r>
      <w:bookmarkEnd w:id="1"/>
      <w:r w:rsidRPr="005E0F09">
        <w:rPr>
          <w:rFonts w:ascii="標楷體" w:hAnsi="標楷體" w:hint="eastAsia"/>
          <w:kern w:val="0"/>
          <w:sz w:val="28"/>
          <w:szCs w:val="28"/>
        </w:rPr>
        <w:t>等</w:t>
      </w:r>
      <w:r w:rsidR="00255799">
        <w:rPr>
          <w:rFonts w:ascii="標楷體" w:hAnsi="標楷體"/>
          <w:kern w:val="0"/>
          <w:sz w:val="28"/>
          <w:szCs w:val="28"/>
        </w:rPr>
        <w:t>3</w:t>
      </w:r>
      <w:r w:rsidRPr="005E0F09">
        <w:rPr>
          <w:rFonts w:ascii="標楷體" w:hAnsi="標楷體" w:hint="eastAsia"/>
          <w:kern w:val="0"/>
          <w:sz w:val="28"/>
          <w:szCs w:val="28"/>
        </w:rPr>
        <w:t>家，</w:t>
      </w:r>
      <w:r w:rsidRPr="005E0F09">
        <w:rPr>
          <w:rFonts w:ascii="標楷體" w:hAnsi="標楷體" w:hint="eastAsia"/>
          <w:kern w:val="0"/>
          <w:sz w:val="28"/>
          <w:szCs w:val="28"/>
          <w:lang w:eastAsia="zh-HK"/>
        </w:rPr>
        <w:t>計</w:t>
      </w:r>
      <w:r w:rsidRPr="005E0F09">
        <w:rPr>
          <w:rFonts w:ascii="標楷體" w:hAnsi="標楷體" w:hint="eastAsia"/>
          <w:kern w:val="0"/>
          <w:sz w:val="28"/>
          <w:szCs w:val="28"/>
        </w:rPr>
        <w:t>虧損</w:t>
      </w:r>
      <w:r w:rsidR="005A3C74">
        <w:rPr>
          <w:rFonts w:ascii="標楷體" w:hAnsi="標楷體"/>
          <w:kern w:val="0"/>
          <w:sz w:val="28"/>
          <w:szCs w:val="28"/>
        </w:rPr>
        <w:t>256</w:t>
      </w:r>
      <w:r w:rsidRPr="005E0F09">
        <w:rPr>
          <w:rFonts w:ascii="標楷體" w:hAnsi="標楷體" w:hint="eastAsia"/>
          <w:kern w:val="0"/>
          <w:sz w:val="28"/>
          <w:szCs w:val="28"/>
        </w:rPr>
        <w:t>億餘元，連同歷年累積虧損</w:t>
      </w:r>
      <w:r w:rsidR="005A3C74">
        <w:rPr>
          <w:rFonts w:ascii="標楷體" w:hAnsi="標楷體" w:hint="eastAsia"/>
          <w:kern w:val="0"/>
          <w:sz w:val="28"/>
          <w:szCs w:val="28"/>
        </w:rPr>
        <w:t>5</w:t>
      </w:r>
      <w:r w:rsidR="00FD7190" w:rsidRPr="005E0F09">
        <w:rPr>
          <w:rFonts w:ascii="標楷體" w:hAnsi="標楷體"/>
          <w:kern w:val="0"/>
          <w:sz w:val="28"/>
          <w:szCs w:val="28"/>
        </w:rPr>
        <w:t>,</w:t>
      </w:r>
      <w:r w:rsidR="005A3C74">
        <w:rPr>
          <w:rFonts w:ascii="標楷體" w:hAnsi="標楷體"/>
          <w:kern w:val="0"/>
          <w:sz w:val="28"/>
          <w:szCs w:val="28"/>
        </w:rPr>
        <w:t>523</w:t>
      </w:r>
      <w:r w:rsidRPr="005E0F09">
        <w:rPr>
          <w:rFonts w:ascii="標楷體" w:hAnsi="標楷體" w:hint="eastAsia"/>
          <w:kern w:val="0"/>
          <w:sz w:val="28"/>
          <w:szCs w:val="28"/>
        </w:rPr>
        <w:t>億餘元</w:t>
      </w:r>
      <w:r w:rsidR="00773D2F" w:rsidRPr="005E0F09">
        <w:rPr>
          <w:rFonts w:ascii="標楷體" w:hAnsi="標楷體" w:hint="eastAsia"/>
          <w:kern w:val="0"/>
          <w:sz w:val="28"/>
          <w:szCs w:val="28"/>
        </w:rPr>
        <w:t>、</w:t>
      </w:r>
      <w:r w:rsidRPr="005E0F09">
        <w:rPr>
          <w:rFonts w:ascii="標楷體" w:hAnsi="標楷體" w:hint="eastAsia"/>
          <w:kern w:val="0"/>
          <w:sz w:val="28"/>
          <w:szCs w:val="28"/>
        </w:rPr>
        <w:t>其他綜合損益轉入數</w:t>
      </w:r>
      <w:r w:rsidR="005A3C74">
        <w:rPr>
          <w:rFonts w:ascii="標楷體" w:hAnsi="標楷體" w:hint="eastAsia"/>
          <w:kern w:val="0"/>
          <w:sz w:val="28"/>
          <w:szCs w:val="28"/>
        </w:rPr>
        <w:t>9</w:t>
      </w:r>
      <w:r w:rsidR="005A3C74">
        <w:rPr>
          <w:rFonts w:ascii="標楷體" w:hAnsi="標楷體"/>
          <w:kern w:val="0"/>
          <w:sz w:val="28"/>
          <w:szCs w:val="28"/>
        </w:rPr>
        <w:t>5</w:t>
      </w:r>
      <w:r w:rsidRPr="005E0F09">
        <w:rPr>
          <w:rFonts w:ascii="標楷體" w:hAnsi="標楷體" w:hint="eastAsia"/>
          <w:kern w:val="0"/>
          <w:sz w:val="28"/>
          <w:szCs w:val="28"/>
        </w:rPr>
        <w:t>億餘元，合計虧損</w:t>
      </w:r>
      <w:r w:rsidR="00585E69" w:rsidRPr="005E0F09">
        <w:rPr>
          <w:rFonts w:ascii="標楷體" w:hAnsi="標楷體" w:hint="eastAsia"/>
          <w:kern w:val="0"/>
          <w:sz w:val="28"/>
          <w:szCs w:val="28"/>
        </w:rPr>
        <w:t>5</w:t>
      </w:r>
      <w:r w:rsidR="00C3167B" w:rsidRPr="005E0F09">
        <w:rPr>
          <w:rFonts w:ascii="標楷體" w:hAnsi="標楷體"/>
          <w:kern w:val="0"/>
          <w:sz w:val="28"/>
          <w:szCs w:val="28"/>
        </w:rPr>
        <w:t>,</w:t>
      </w:r>
      <w:r w:rsidR="005A3C74">
        <w:rPr>
          <w:rFonts w:ascii="標楷體" w:hAnsi="標楷體"/>
          <w:kern w:val="0"/>
          <w:sz w:val="28"/>
          <w:szCs w:val="28"/>
        </w:rPr>
        <w:t>875</w:t>
      </w:r>
      <w:r w:rsidRPr="005E0F09">
        <w:rPr>
          <w:rFonts w:ascii="標楷體" w:hAnsi="標楷體" w:hint="eastAsia"/>
          <w:kern w:val="0"/>
          <w:sz w:val="28"/>
          <w:szCs w:val="28"/>
        </w:rPr>
        <w:t>億餘元，經</w:t>
      </w:r>
      <w:r w:rsidR="00E50D81">
        <w:rPr>
          <w:rFonts w:ascii="標楷體" w:hAnsi="標楷體" w:hint="eastAsia"/>
          <w:kern w:val="0"/>
          <w:sz w:val="28"/>
          <w:szCs w:val="28"/>
        </w:rPr>
        <w:t>中央銀行、</w:t>
      </w:r>
      <w:r w:rsidR="006E2A17" w:rsidRPr="005E0F09">
        <w:rPr>
          <w:rFonts w:ascii="標楷體" w:hAnsi="標楷體" w:hint="eastAsia"/>
          <w:kern w:val="0"/>
          <w:sz w:val="28"/>
          <w:szCs w:val="28"/>
        </w:rPr>
        <w:t>台灣糖業公司、</w:t>
      </w:r>
      <w:r w:rsidR="00B30532" w:rsidRPr="005E0F09">
        <w:rPr>
          <w:rFonts w:ascii="標楷體" w:hAnsi="標楷體" w:hint="eastAsia"/>
          <w:kern w:val="0"/>
          <w:sz w:val="28"/>
          <w:szCs w:val="28"/>
        </w:rPr>
        <w:t>台灣中油公司、</w:t>
      </w:r>
      <w:r w:rsidRPr="005E0F09">
        <w:rPr>
          <w:rFonts w:ascii="標楷體" w:hAnsi="標楷體" w:hint="eastAsia"/>
          <w:kern w:val="0"/>
          <w:sz w:val="28"/>
          <w:szCs w:val="28"/>
        </w:rPr>
        <w:t>台灣電力公司、台灣自來水公司、</w:t>
      </w:r>
      <w:r w:rsidR="00E50D81">
        <w:rPr>
          <w:rFonts w:ascii="標楷體" w:hAnsi="標楷體" w:hint="eastAsia"/>
          <w:kern w:val="0"/>
          <w:sz w:val="28"/>
          <w:szCs w:val="28"/>
        </w:rPr>
        <w:t>中國輸出入銀行、臺灣金融控股公司及</w:t>
      </w:r>
      <w:r w:rsidR="00B07AE1" w:rsidRPr="005E0F09">
        <w:rPr>
          <w:rFonts w:ascii="標楷體" w:hAnsi="標楷體" w:hint="eastAsia"/>
          <w:kern w:val="0"/>
          <w:sz w:val="28"/>
          <w:szCs w:val="28"/>
        </w:rPr>
        <w:t>臺</w:t>
      </w:r>
      <w:r w:rsidR="00B30532" w:rsidRPr="005E0F09">
        <w:rPr>
          <w:rFonts w:ascii="標楷體" w:hAnsi="標楷體" w:hint="eastAsia"/>
          <w:kern w:val="0"/>
          <w:sz w:val="28"/>
          <w:szCs w:val="28"/>
        </w:rPr>
        <w:t>灣</w:t>
      </w:r>
      <w:r w:rsidR="00DA5BDD" w:rsidRPr="005E0F09">
        <w:rPr>
          <w:rFonts w:ascii="標楷體" w:hAnsi="標楷體" w:hint="eastAsia"/>
          <w:kern w:val="0"/>
          <w:sz w:val="28"/>
          <w:szCs w:val="28"/>
        </w:rPr>
        <w:t>土地銀行</w:t>
      </w:r>
      <w:r w:rsidR="006F6344">
        <w:rPr>
          <w:rFonts w:ascii="標楷體" w:hAnsi="標楷體" w:hint="eastAsia"/>
          <w:kern w:val="0"/>
          <w:sz w:val="28"/>
          <w:szCs w:val="28"/>
        </w:rPr>
        <w:t>公司</w:t>
      </w:r>
      <w:r w:rsidRPr="005E0F09">
        <w:rPr>
          <w:rFonts w:ascii="標楷體" w:hAnsi="標楷體" w:hint="eastAsia"/>
          <w:kern w:val="0"/>
          <w:sz w:val="28"/>
          <w:szCs w:val="28"/>
        </w:rPr>
        <w:t>等</w:t>
      </w:r>
      <w:r w:rsidR="00DA5BDD" w:rsidRPr="005E0F09">
        <w:rPr>
          <w:rFonts w:ascii="標楷體" w:hAnsi="標楷體"/>
          <w:kern w:val="0"/>
          <w:sz w:val="28"/>
          <w:szCs w:val="28"/>
        </w:rPr>
        <w:t>8</w:t>
      </w:r>
      <w:r w:rsidR="001D7141" w:rsidRPr="005E0F09">
        <w:rPr>
          <w:rFonts w:ascii="標楷體" w:hAnsi="標楷體" w:hint="eastAsia"/>
          <w:kern w:val="0"/>
          <w:sz w:val="28"/>
          <w:szCs w:val="28"/>
        </w:rPr>
        <w:t>家</w:t>
      </w:r>
      <w:r w:rsidRPr="005E0F09">
        <w:rPr>
          <w:rFonts w:ascii="標楷體" w:hAnsi="標楷體" w:hint="eastAsia"/>
          <w:kern w:val="0"/>
          <w:sz w:val="28"/>
          <w:szCs w:val="28"/>
        </w:rPr>
        <w:t>撥用盈餘</w:t>
      </w:r>
      <w:r w:rsidR="00DA5BDD" w:rsidRPr="005E0F09">
        <w:rPr>
          <w:rFonts w:ascii="標楷體" w:hAnsi="標楷體"/>
          <w:kern w:val="0"/>
          <w:sz w:val="28"/>
          <w:szCs w:val="28"/>
        </w:rPr>
        <w:t>1</w:t>
      </w:r>
      <w:r w:rsidR="00E50D81">
        <w:rPr>
          <w:rFonts w:ascii="標楷體" w:hAnsi="標楷體"/>
          <w:kern w:val="0"/>
          <w:sz w:val="28"/>
          <w:szCs w:val="28"/>
        </w:rPr>
        <w:t>,</w:t>
      </w:r>
      <w:r w:rsidR="00E50D81">
        <w:rPr>
          <w:rFonts w:ascii="標楷體" w:hAnsi="標楷體" w:hint="eastAsia"/>
          <w:kern w:val="0"/>
          <w:sz w:val="28"/>
          <w:szCs w:val="28"/>
        </w:rPr>
        <w:t>273</w:t>
      </w:r>
      <w:r w:rsidRPr="005E0F09">
        <w:rPr>
          <w:rFonts w:ascii="標楷體" w:hAnsi="標楷體" w:hint="eastAsia"/>
          <w:kern w:val="0"/>
          <w:sz w:val="28"/>
          <w:szCs w:val="28"/>
        </w:rPr>
        <w:t>億餘元</w:t>
      </w:r>
      <w:r w:rsidR="001D7141" w:rsidRPr="005E0F09">
        <w:rPr>
          <w:rFonts w:ascii="標楷體" w:hAnsi="標楷體" w:hint="eastAsia"/>
          <w:kern w:val="0"/>
          <w:sz w:val="28"/>
          <w:szCs w:val="28"/>
        </w:rPr>
        <w:t>，及台灣自來水公司撥用特別公積</w:t>
      </w:r>
      <w:r w:rsidR="00E50D81">
        <w:rPr>
          <w:rFonts w:ascii="標楷體" w:hAnsi="標楷體" w:hint="eastAsia"/>
          <w:kern w:val="0"/>
          <w:sz w:val="28"/>
          <w:szCs w:val="28"/>
        </w:rPr>
        <w:t>43</w:t>
      </w:r>
      <w:r w:rsidR="001D7141" w:rsidRPr="005E0F09">
        <w:rPr>
          <w:rFonts w:ascii="標楷體" w:hAnsi="標楷體" w:hint="eastAsia"/>
          <w:kern w:val="0"/>
          <w:sz w:val="28"/>
          <w:szCs w:val="28"/>
        </w:rPr>
        <w:t>億餘元填補</w:t>
      </w:r>
      <w:r w:rsidRPr="005E0F09">
        <w:rPr>
          <w:rFonts w:ascii="標楷體" w:hAnsi="標楷體" w:hint="eastAsia"/>
          <w:kern w:val="0"/>
          <w:sz w:val="28"/>
          <w:szCs w:val="28"/>
        </w:rPr>
        <w:t>外，尚有待填補之虧損</w:t>
      </w:r>
      <w:r w:rsidR="00E50D81">
        <w:rPr>
          <w:rFonts w:ascii="標楷體" w:hAnsi="標楷體" w:hint="eastAsia"/>
          <w:kern w:val="0"/>
          <w:sz w:val="28"/>
          <w:szCs w:val="28"/>
        </w:rPr>
        <w:t>4</w:t>
      </w:r>
      <w:r w:rsidR="00C3167B" w:rsidRPr="005E0F09">
        <w:rPr>
          <w:rFonts w:ascii="標楷體" w:hAnsi="標楷體"/>
          <w:kern w:val="0"/>
          <w:sz w:val="28"/>
          <w:szCs w:val="28"/>
        </w:rPr>
        <w:t>,</w:t>
      </w:r>
      <w:r w:rsidR="00DA5BDD" w:rsidRPr="005E0F09">
        <w:rPr>
          <w:rFonts w:ascii="標楷體" w:hAnsi="標楷體"/>
          <w:kern w:val="0"/>
          <w:sz w:val="28"/>
          <w:szCs w:val="28"/>
        </w:rPr>
        <w:t>5</w:t>
      </w:r>
      <w:r w:rsidR="00E50D81">
        <w:rPr>
          <w:rFonts w:ascii="標楷體" w:hAnsi="標楷體" w:hint="eastAsia"/>
          <w:kern w:val="0"/>
          <w:sz w:val="28"/>
          <w:szCs w:val="28"/>
        </w:rPr>
        <w:t>58</w:t>
      </w:r>
      <w:r w:rsidRPr="005E0F09">
        <w:rPr>
          <w:rFonts w:ascii="標楷體" w:hAnsi="標楷體" w:hint="eastAsia"/>
          <w:kern w:val="0"/>
          <w:sz w:val="28"/>
          <w:szCs w:val="28"/>
        </w:rPr>
        <w:t>億餘元，留待以後年度填補。</w:t>
      </w:r>
    </w:p>
    <w:p w14:paraId="081B990A" w14:textId="4F23AF2F" w:rsidR="00155EE6" w:rsidRPr="005E0F09" w:rsidRDefault="00155EE6" w:rsidP="0042679A">
      <w:pPr>
        <w:pStyle w:val="aff9"/>
        <w:tabs>
          <w:tab w:val="left" w:pos="3686"/>
          <w:tab w:val="left" w:pos="3828"/>
        </w:tabs>
        <w:overflowPunct w:val="0"/>
        <w:spacing w:before="72" w:after="72" w:line="500" w:lineRule="exact"/>
        <w:ind w:leftChars="0" w:left="0" w:firstLineChars="100" w:firstLine="320"/>
        <w:rPr>
          <w:kern w:val="0"/>
        </w:rPr>
      </w:pPr>
      <w:r w:rsidRPr="005E0F09">
        <w:rPr>
          <w:rFonts w:hint="eastAsia"/>
          <w:kern w:val="0"/>
        </w:rPr>
        <w:t>三、盈餘繳庫</w:t>
      </w:r>
    </w:p>
    <w:p w14:paraId="25CAC5A3" w14:textId="5B4F62A2" w:rsidR="00155EE6" w:rsidRPr="00E05E7D" w:rsidRDefault="00125934" w:rsidP="00DB1298">
      <w:pPr>
        <w:overflowPunct w:val="0"/>
        <w:spacing w:line="480" w:lineRule="exact"/>
        <w:ind w:leftChars="9" w:left="22" w:firstLineChars="203" w:firstLine="544"/>
        <w:jc w:val="both"/>
        <w:rPr>
          <w:rFonts w:ascii="標楷體" w:hAnsi="標楷體"/>
          <w:color w:val="FF0000"/>
          <w:spacing w:val="-6"/>
          <w:kern w:val="0"/>
          <w:sz w:val="28"/>
          <w:szCs w:val="28"/>
        </w:rPr>
      </w:pPr>
      <w:r w:rsidRPr="005E0F09">
        <w:rPr>
          <w:rFonts w:ascii="標楷體" w:hAnsi="標楷體" w:hint="eastAsia"/>
          <w:spacing w:val="-6"/>
          <w:kern w:val="0"/>
          <w:sz w:val="28"/>
          <w:szCs w:val="28"/>
        </w:rPr>
        <w:t>11</w:t>
      </w:r>
      <w:r w:rsidR="00E50D81">
        <w:rPr>
          <w:rFonts w:ascii="標楷體" w:hAnsi="標楷體" w:hint="eastAsia"/>
          <w:spacing w:val="-6"/>
          <w:kern w:val="0"/>
          <w:sz w:val="28"/>
          <w:szCs w:val="28"/>
        </w:rPr>
        <w:t>4</w:t>
      </w:r>
      <w:r w:rsidRPr="005E0F09">
        <w:rPr>
          <w:rFonts w:ascii="標楷體" w:hAnsi="標楷體" w:hint="eastAsia"/>
          <w:spacing w:val="-6"/>
          <w:kern w:val="0"/>
          <w:sz w:val="28"/>
          <w:szCs w:val="28"/>
        </w:rPr>
        <w:t>年度審定決算共計繳納國庫</w:t>
      </w:r>
      <w:r w:rsidR="009C576E" w:rsidRPr="005E0F09">
        <w:rPr>
          <w:rFonts w:ascii="標楷體" w:hAnsi="標楷體"/>
          <w:spacing w:val="-6"/>
          <w:kern w:val="0"/>
          <w:sz w:val="28"/>
          <w:szCs w:val="28"/>
        </w:rPr>
        <w:t>2,</w:t>
      </w:r>
      <w:r w:rsidR="00036B05" w:rsidRPr="005E0F09">
        <w:rPr>
          <w:rFonts w:ascii="標楷體" w:hAnsi="標楷體" w:hint="eastAsia"/>
          <w:spacing w:val="-6"/>
          <w:kern w:val="0"/>
          <w:sz w:val="28"/>
          <w:szCs w:val="28"/>
        </w:rPr>
        <w:t>2</w:t>
      </w:r>
      <w:r w:rsidR="00E1262D">
        <w:rPr>
          <w:rFonts w:ascii="標楷體" w:hAnsi="標楷體" w:hint="eastAsia"/>
          <w:spacing w:val="-6"/>
          <w:kern w:val="0"/>
          <w:sz w:val="28"/>
          <w:szCs w:val="28"/>
        </w:rPr>
        <w:t>51</w:t>
      </w:r>
      <w:r w:rsidRPr="005E0F09">
        <w:rPr>
          <w:rFonts w:ascii="標楷體" w:hAnsi="標楷體" w:hint="eastAsia"/>
          <w:spacing w:val="-6"/>
          <w:kern w:val="0"/>
          <w:sz w:val="28"/>
          <w:szCs w:val="28"/>
        </w:rPr>
        <w:t>億餘元，較預算數</w:t>
      </w:r>
      <w:r w:rsidR="00036B05" w:rsidRPr="005E0F09">
        <w:rPr>
          <w:rFonts w:ascii="標楷體" w:hAnsi="標楷體"/>
          <w:spacing w:val="-6"/>
          <w:kern w:val="0"/>
          <w:sz w:val="28"/>
          <w:szCs w:val="28"/>
        </w:rPr>
        <w:t>2,</w:t>
      </w:r>
      <w:r w:rsidR="00990AB6" w:rsidRPr="005E0F09">
        <w:rPr>
          <w:rFonts w:ascii="標楷體" w:hAnsi="標楷體"/>
          <w:spacing w:val="-6"/>
          <w:kern w:val="0"/>
          <w:sz w:val="28"/>
          <w:szCs w:val="28"/>
        </w:rPr>
        <w:t>2</w:t>
      </w:r>
      <w:r w:rsidR="00E1262D">
        <w:rPr>
          <w:rFonts w:ascii="標楷體" w:hAnsi="標楷體" w:hint="eastAsia"/>
          <w:spacing w:val="-6"/>
          <w:kern w:val="0"/>
          <w:sz w:val="28"/>
          <w:szCs w:val="28"/>
        </w:rPr>
        <w:t>17</w:t>
      </w:r>
      <w:r w:rsidRPr="005E0F09">
        <w:rPr>
          <w:rFonts w:ascii="標楷體" w:hAnsi="標楷體" w:hint="eastAsia"/>
          <w:spacing w:val="-6"/>
          <w:kern w:val="0"/>
          <w:sz w:val="28"/>
          <w:szCs w:val="28"/>
        </w:rPr>
        <w:t>億餘元，</w:t>
      </w:r>
      <w:r w:rsidR="00E1262D">
        <w:rPr>
          <w:rFonts w:ascii="標楷體" w:hAnsi="標楷體" w:hint="eastAsia"/>
          <w:spacing w:val="-6"/>
          <w:kern w:val="0"/>
          <w:sz w:val="28"/>
          <w:szCs w:val="28"/>
        </w:rPr>
        <w:t>增加3</w:t>
      </w:r>
      <w:r w:rsidR="00990AB6" w:rsidRPr="005E0F09">
        <w:rPr>
          <w:rFonts w:ascii="標楷體" w:hAnsi="標楷體"/>
          <w:spacing w:val="-6"/>
          <w:kern w:val="0"/>
          <w:sz w:val="28"/>
          <w:szCs w:val="28"/>
        </w:rPr>
        <w:t>3</w:t>
      </w:r>
      <w:r w:rsidRPr="005E0F09">
        <w:rPr>
          <w:rFonts w:ascii="標楷體" w:hAnsi="標楷體" w:hint="eastAsia"/>
          <w:spacing w:val="-6"/>
          <w:kern w:val="0"/>
          <w:sz w:val="28"/>
          <w:szCs w:val="28"/>
        </w:rPr>
        <w:t>億餘元，約</w:t>
      </w:r>
      <w:r w:rsidR="00E1262D">
        <w:rPr>
          <w:rFonts w:ascii="標楷體" w:hAnsi="標楷體" w:hint="eastAsia"/>
          <w:spacing w:val="-6"/>
          <w:kern w:val="0"/>
          <w:sz w:val="28"/>
          <w:szCs w:val="28"/>
        </w:rPr>
        <w:t>1.53</w:t>
      </w:r>
      <w:r w:rsidRPr="00831733">
        <w:rPr>
          <w:rFonts w:ascii="標楷體" w:hAnsi="標楷體" w:hint="eastAsia"/>
          <w:spacing w:val="-6"/>
          <w:kern w:val="0"/>
          <w:sz w:val="28"/>
          <w:szCs w:val="28"/>
        </w:rPr>
        <w:t>％，占中央政府投資之資本額1兆</w:t>
      </w:r>
      <w:r w:rsidR="00990AB6" w:rsidRPr="00831733">
        <w:rPr>
          <w:rFonts w:ascii="標楷體" w:hAnsi="標楷體"/>
          <w:spacing w:val="-6"/>
          <w:kern w:val="0"/>
          <w:sz w:val="28"/>
          <w:szCs w:val="28"/>
        </w:rPr>
        <w:t>8</w:t>
      </w:r>
      <w:r w:rsidRPr="00831733">
        <w:rPr>
          <w:rFonts w:ascii="標楷體" w:hAnsi="標楷體" w:hint="eastAsia"/>
          <w:spacing w:val="-6"/>
          <w:kern w:val="0"/>
          <w:sz w:val="28"/>
          <w:szCs w:val="28"/>
        </w:rPr>
        <w:t>,</w:t>
      </w:r>
      <w:r w:rsidR="009C576E" w:rsidRPr="00831733">
        <w:rPr>
          <w:rFonts w:ascii="標楷體" w:hAnsi="標楷體"/>
          <w:spacing w:val="-6"/>
          <w:kern w:val="0"/>
          <w:sz w:val="28"/>
          <w:szCs w:val="28"/>
        </w:rPr>
        <w:t>9</w:t>
      </w:r>
      <w:r w:rsidR="00E1262D">
        <w:rPr>
          <w:rFonts w:ascii="標楷體" w:hAnsi="標楷體" w:hint="eastAsia"/>
          <w:spacing w:val="-6"/>
          <w:kern w:val="0"/>
          <w:sz w:val="28"/>
          <w:szCs w:val="28"/>
        </w:rPr>
        <w:t>83</w:t>
      </w:r>
      <w:r w:rsidRPr="00831733">
        <w:rPr>
          <w:rFonts w:ascii="標楷體" w:hAnsi="標楷體" w:hint="eastAsia"/>
          <w:spacing w:val="-6"/>
          <w:kern w:val="0"/>
          <w:sz w:val="28"/>
          <w:szCs w:val="28"/>
        </w:rPr>
        <w:t>億餘元之1</w:t>
      </w:r>
      <w:r w:rsidR="00831733" w:rsidRPr="00831733">
        <w:rPr>
          <w:rFonts w:ascii="標楷體" w:hAnsi="標楷體"/>
          <w:spacing w:val="-6"/>
          <w:kern w:val="0"/>
          <w:sz w:val="28"/>
          <w:szCs w:val="28"/>
        </w:rPr>
        <w:t>1</w:t>
      </w:r>
      <w:r w:rsidR="009C576E" w:rsidRPr="00831733">
        <w:rPr>
          <w:rFonts w:ascii="標楷體" w:hAnsi="標楷體"/>
          <w:spacing w:val="-6"/>
          <w:kern w:val="0"/>
          <w:sz w:val="28"/>
          <w:szCs w:val="28"/>
        </w:rPr>
        <w:t>.</w:t>
      </w:r>
      <w:r w:rsidR="00831733" w:rsidRPr="00831733">
        <w:rPr>
          <w:rFonts w:ascii="標楷體" w:hAnsi="標楷體"/>
          <w:spacing w:val="-6"/>
          <w:kern w:val="0"/>
          <w:sz w:val="28"/>
          <w:szCs w:val="28"/>
        </w:rPr>
        <w:t>8</w:t>
      </w:r>
      <w:r w:rsidR="00D16B23">
        <w:rPr>
          <w:rFonts w:ascii="標楷體" w:hAnsi="標楷體" w:hint="eastAsia"/>
          <w:spacing w:val="-6"/>
          <w:kern w:val="0"/>
          <w:sz w:val="28"/>
          <w:szCs w:val="28"/>
        </w:rPr>
        <w:t>6</w:t>
      </w:r>
      <w:r w:rsidRPr="00831733">
        <w:rPr>
          <w:rFonts w:ascii="標楷體" w:hAnsi="標楷體" w:hint="eastAsia"/>
          <w:spacing w:val="-6"/>
          <w:kern w:val="0"/>
          <w:sz w:val="28"/>
          <w:szCs w:val="28"/>
        </w:rPr>
        <w:t>％。</w:t>
      </w:r>
      <w:bookmarkEnd w:id="0"/>
    </w:p>
    <w:sectPr w:rsidR="00155EE6" w:rsidRPr="00E05E7D" w:rsidSect="00533F7F">
      <w:footerReference w:type="even" r:id="rId9"/>
      <w:footerReference w:type="default" r:id="rId10"/>
      <w:pgSz w:w="11906" w:h="16838" w:code="9"/>
      <w:pgMar w:top="1418" w:right="851" w:bottom="1418" w:left="851" w:header="1021" w:footer="737" w:gutter="0"/>
      <w:pgNumType w:start="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4CB12" w14:textId="77777777" w:rsidR="00086084" w:rsidRDefault="00086084" w:rsidP="00087D33">
      <w:r>
        <w:separator/>
      </w:r>
    </w:p>
  </w:endnote>
  <w:endnote w:type="continuationSeparator" w:id="0">
    <w:p w14:paraId="6D367BE7" w14:textId="77777777" w:rsidR="00086084" w:rsidRDefault="00086084" w:rsidP="0008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稈...">
    <w:altName w:val="新細明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4F39D" w14:textId="0F2F9FFB" w:rsidR="006A2BB5" w:rsidRPr="0095512C" w:rsidRDefault="006A2BB5" w:rsidP="0095512C">
    <w:pPr>
      <w:pStyle w:val="a7"/>
      <w:jc w:val="center"/>
      <w:rPr>
        <w:rFonts w:ascii="標楷體" w:hAnsi="標楷體"/>
      </w:rPr>
    </w:pPr>
    <w:r w:rsidRPr="006A2BB5">
      <w:rPr>
        <w:rFonts w:ascii="標楷體" w:hAnsi="標楷體" w:hint="eastAsia"/>
      </w:rPr>
      <w:t>甲－</w:t>
    </w:r>
    <w:sdt>
      <w:sdtPr>
        <w:rPr>
          <w:rFonts w:ascii="標楷體" w:hAnsi="標楷體"/>
        </w:rPr>
        <w:id w:val="-1451466739"/>
        <w:docPartObj>
          <w:docPartGallery w:val="Page Numbers (Bottom of Page)"/>
          <w:docPartUnique/>
        </w:docPartObj>
      </w:sdtPr>
      <w:sdtContent>
        <w:r w:rsidRPr="006A2BB5">
          <w:rPr>
            <w:rFonts w:ascii="標楷體" w:hAnsi="標楷體"/>
          </w:rPr>
          <w:fldChar w:fldCharType="begin"/>
        </w:r>
        <w:r w:rsidRPr="006A2BB5">
          <w:rPr>
            <w:rFonts w:ascii="標楷體" w:hAnsi="標楷體"/>
          </w:rPr>
          <w:instrText>PAGE   \* MERGEFORMAT</w:instrText>
        </w:r>
        <w:r w:rsidRPr="006A2BB5">
          <w:rPr>
            <w:rFonts w:ascii="標楷體" w:hAnsi="標楷體"/>
          </w:rPr>
          <w:fldChar w:fldCharType="separate"/>
        </w:r>
        <w:r w:rsidR="00F36A94" w:rsidRPr="00F36A94">
          <w:rPr>
            <w:rFonts w:ascii="標楷體" w:hAnsi="標楷體"/>
            <w:noProof/>
            <w:lang w:val="zh-TW"/>
          </w:rPr>
          <w:t>4</w:t>
        </w:r>
        <w:r w:rsidRPr="006A2BB5">
          <w:rPr>
            <w:rFonts w:ascii="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7255868"/>
      <w:docPartObj>
        <w:docPartGallery w:val="Page Numbers (Bottom of Page)"/>
        <w:docPartUnique/>
      </w:docPartObj>
    </w:sdtPr>
    <w:sdtEndPr>
      <w:rPr>
        <w:rFonts w:ascii="標楷體" w:hAnsi="標楷體"/>
      </w:rPr>
    </w:sdtEndPr>
    <w:sdtContent>
      <w:p w14:paraId="5340E96A" w14:textId="625DEC3B" w:rsidR="0039197C" w:rsidRPr="00A80D0A" w:rsidRDefault="00A1490A" w:rsidP="0050375A">
        <w:pPr>
          <w:pStyle w:val="a7"/>
          <w:jc w:val="center"/>
          <w:rPr>
            <w:rFonts w:ascii="標楷體" w:hAnsi="標楷體"/>
          </w:rPr>
        </w:pPr>
        <w:r w:rsidRPr="00A80D0A">
          <w:rPr>
            <w:rFonts w:ascii="標楷體" w:hAnsi="標楷體" w:hint="eastAsia"/>
          </w:rPr>
          <w:t>甲－</w:t>
        </w:r>
        <w:r w:rsidR="0039197C" w:rsidRPr="00A80D0A">
          <w:rPr>
            <w:rFonts w:ascii="標楷體" w:hAnsi="標楷體"/>
          </w:rPr>
          <w:fldChar w:fldCharType="begin"/>
        </w:r>
        <w:r w:rsidR="0039197C" w:rsidRPr="00A80D0A">
          <w:rPr>
            <w:rFonts w:ascii="標楷體" w:hAnsi="標楷體"/>
          </w:rPr>
          <w:instrText>PAGE   \* MERGEFORMAT</w:instrText>
        </w:r>
        <w:r w:rsidR="0039197C" w:rsidRPr="00A80D0A">
          <w:rPr>
            <w:rFonts w:ascii="標楷體" w:hAnsi="標楷體"/>
          </w:rPr>
          <w:fldChar w:fldCharType="separate"/>
        </w:r>
        <w:r w:rsidR="00F36A94" w:rsidRPr="00F36A94">
          <w:rPr>
            <w:rFonts w:ascii="標楷體" w:hAnsi="標楷體"/>
            <w:noProof/>
            <w:lang w:val="zh-TW"/>
          </w:rPr>
          <w:t>3</w:t>
        </w:r>
        <w:r w:rsidR="0039197C" w:rsidRPr="00A80D0A">
          <w:rPr>
            <w:rFonts w:ascii="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16B83" w14:textId="77777777" w:rsidR="00086084" w:rsidRDefault="00086084" w:rsidP="00087D33">
      <w:r>
        <w:separator/>
      </w:r>
    </w:p>
  </w:footnote>
  <w:footnote w:type="continuationSeparator" w:id="0">
    <w:p w14:paraId="776EE80A" w14:textId="77777777" w:rsidR="00086084" w:rsidRDefault="00086084" w:rsidP="00087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2F5B"/>
    <w:multiLevelType w:val="hybridMultilevel"/>
    <w:tmpl w:val="4BDC9EBC"/>
    <w:lvl w:ilvl="0" w:tplc="0D1EA388">
      <w:start w:val="4"/>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E45E14"/>
    <w:multiLevelType w:val="hybridMultilevel"/>
    <w:tmpl w:val="EBA81DCA"/>
    <w:lvl w:ilvl="0" w:tplc="E92AB67C">
      <w:start w:val="1"/>
      <w:numFmt w:val="ideographTraditional"/>
      <w:suff w:val="nothing"/>
      <w:lvlText w:val="%1、"/>
      <w:lvlJc w:val="left"/>
      <w:pPr>
        <w:ind w:left="480" w:hanging="480"/>
      </w:pPr>
      <w:rPr>
        <w:rFonts w:hint="default"/>
      </w:rPr>
    </w:lvl>
    <w:lvl w:ilvl="1" w:tplc="01AEE050">
      <w:start w:val="1"/>
      <w:numFmt w:val="ideographLegalTraditional"/>
      <w:suff w:val="nothing"/>
      <w:lvlText w:val="%2、"/>
      <w:lvlJc w:val="left"/>
      <w:pPr>
        <w:ind w:left="1200" w:hanging="720"/>
      </w:pPr>
      <w:rPr>
        <w:rFonts w:hint="default"/>
      </w:rPr>
    </w:lvl>
    <w:lvl w:ilvl="2" w:tplc="4E2C3D48">
      <w:start w:val="4"/>
      <w:numFmt w:val="ideographTraditional"/>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645118"/>
    <w:multiLevelType w:val="hybridMultilevel"/>
    <w:tmpl w:val="FE8491BA"/>
    <w:lvl w:ilvl="0" w:tplc="2F50855A">
      <w:start w:val="1"/>
      <w:numFmt w:val="taiwaneseCountingThousand"/>
      <w:lvlText w:val="%1、"/>
      <w:lvlJc w:val="left"/>
      <w:pPr>
        <w:ind w:left="1361" w:hanging="720"/>
      </w:pPr>
      <w:rPr>
        <w:rFonts w:hint="default"/>
        <w:b/>
        <w:sz w:val="32"/>
        <w:szCs w:val="32"/>
      </w:rPr>
    </w:lvl>
    <w:lvl w:ilvl="1" w:tplc="3C248C34">
      <w:start w:val="1"/>
      <w:numFmt w:val="taiwaneseCountingThousand"/>
      <w:lvlText w:val="(%2)"/>
      <w:lvlJc w:val="left"/>
      <w:pPr>
        <w:ind w:left="1841" w:hanging="720"/>
      </w:pPr>
      <w:rPr>
        <w:rFonts w:hint="default"/>
        <w:b/>
        <w:sz w:val="32"/>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 w15:restartNumberingAfterBreak="0">
    <w:nsid w:val="0AA46F07"/>
    <w:multiLevelType w:val="hybridMultilevel"/>
    <w:tmpl w:val="1C762E6C"/>
    <w:lvl w:ilvl="0" w:tplc="79B0B5EE">
      <w:start w:val="1"/>
      <w:numFmt w:val="ideographTraditional"/>
      <w:lvlText w:val="%1、"/>
      <w:lvlJc w:val="left"/>
      <w:pPr>
        <w:tabs>
          <w:tab w:val="num" w:pos="810"/>
        </w:tabs>
        <w:ind w:left="810" w:hanging="810"/>
      </w:pPr>
      <w:rPr>
        <w:sz w:val="40"/>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15:restartNumberingAfterBreak="0">
    <w:nsid w:val="0F642216"/>
    <w:multiLevelType w:val="hybridMultilevel"/>
    <w:tmpl w:val="07968530"/>
    <w:lvl w:ilvl="0" w:tplc="01AEE050">
      <w:start w:val="1"/>
      <w:numFmt w:val="ideographLegalTraditional"/>
      <w:lvlText w:val="%1、"/>
      <w:lvlJc w:val="left"/>
      <w:pPr>
        <w:ind w:left="480" w:hanging="480"/>
      </w:pPr>
      <w:rPr>
        <w:rFonts w:hint="default"/>
      </w:rPr>
    </w:lvl>
    <w:lvl w:ilvl="1" w:tplc="267A9C0C">
      <w:start w:val="1"/>
      <w:numFmt w:val="ideographLegalTraditional"/>
      <w:suff w:val="nothing"/>
      <w:lvlText w:val="%2、"/>
      <w:lvlJc w:val="left"/>
      <w:pPr>
        <w:ind w:left="960" w:hanging="480"/>
      </w:pPr>
      <w:rPr>
        <w:rFonts w:hint="default"/>
        <w:b/>
        <w:color w:val="auto"/>
        <w:sz w:val="32"/>
        <w:szCs w:val="32"/>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B45FB7"/>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327DB7"/>
    <w:multiLevelType w:val="hybridMultilevel"/>
    <w:tmpl w:val="6302BBEE"/>
    <w:lvl w:ilvl="0" w:tplc="38BA9BC0">
      <w:start w:val="1"/>
      <w:numFmt w:val="taiwaneseCountingThousand"/>
      <w:lvlText w:val="%1、"/>
      <w:lvlJc w:val="left"/>
      <w:pPr>
        <w:ind w:left="1466" w:hanging="756"/>
      </w:pPr>
      <w:rPr>
        <w:rFonts w:hint="default"/>
        <w:b/>
        <w:color w:val="auto"/>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7" w15:restartNumberingAfterBreak="0">
    <w:nsid w:val="200E6519"/>
    <w:multiLevelType w:val="hybridMultilevel"/>
    <w:tmpl w:val="3FC86546"/>
    <w:lvl w:ilvl="0" w:tplc="9F3AE5D0">
      <w:start w:val="1"/>
      <w:numFmt w:val="taiwaneseCountingThousand"/>
      <w:lvlText w:val="（%1）"/>
      <w:lvlJc w:val="left"/>
      <w:pPr>
        <w:ind w:left="1453" w:hanging="840"/>
      </w:pPr>
      <w:rPr>
        <w:rFonts w:ascii="標楷體" w:eastAsia="標楷體" w:hAnsi="標楷體" w:cstheme="minorBidi"/>
      </w:rPr>
    </w:lvl>
    <w:lvl w:ilvl="1" w:tplc="04090019" w:tentative="1">
      <w:start w:val="1"/>
      <w:numFmt w:val="ideographTraditional"/>
      <w:lvlText w:val="%2、"/>
      <w:lvlJc w:val="left"/>
      <w:pPr>
        <w:ind w:left="1573" w:hanging="480"/>
      </w:pPr>
    </w:lvl>
    <w:lvl w:ilvl="2" w:tplc="0409001B" w:tentative="1">
      <w:start w:val="1"/>
      <w:numFmt w:val="lowerRoman"/>
      <w:lvlText w:val="%3."/>
      <w:lvlJc w:val="right"/>
      <w:pPr>
        <w:ind w:left="2053" w:hanging="480"/>
      </w:pPr>
    </w:lvl>
    <w:lvl w:ilvl="3" w:tplc="0409000F" w:tentative="1">
      <w:start w:val="1"/>
      <w:numFmt w:val="decimal"/>
      <w:lvlText w:val="%4."/>
      <w:lvlJc w:val="left"/>
      <w:pPr>
        <w:ind w:left="2533" w:hanging="480"/>
      </w:pPr>
    </w:lvl>
    <w:lvl w:ilvl="4" w:tplc="04090019" w:tentative="1">
      <w:start w:val="1"/>
      <w:numFmt w:val="ideographTraditional"/>
      <w:lvlText w:val="%5、"/>
      <w:lvlJc w:val="left"/>
      <w:pPr>
        <w:ind w:left="3013" w:hanging="480"/>
      </w:pPr>
    </w:lvl>
    <w:lvl w:ilvl="5" w:tplc="0409001B" w:tentative="1">
      <w:start w:val="1"/>
      <w:numFmt w:val="lowerRoman"/>
      <w:lvlText w:val="%6."/>
      <w:lvlJc w:val="right"/>
      <w:pPr>
        <w:ind w:left="3493" w:hanging="480"/>
      </w:pPr>
    </w:lvl>
    <w:lvl w:ilvl="6" w:tplc="0409000F" w:tentative="1">
      <w:start w:val="1"/>
      <w:numFmt w:val="decimal"/>
      <w:lvlText w:val="%7."/>
      <w:lvlJc w:val="left"/>
      <w:pPr>
        <w:ind w:left="3973" w:hanging="480"/>
      </w:pPr>
    </w:lvl>
    <w:lvl w:ilvl="7" w:tplc="04090019" w:tentative="1">
      <w:start w:val="1"/>
      <w:numFmt w:val="ideographTraditional"/>
      <w:lvlText w:val="%8、"/>
      <w:lvlJc w:val="left"/>
      <w:pPr>
        <w:ind w:left="4453" w:hanging="480"/>
      </w:pPr>
    </w:lvl>
    <w:lvl w:ilvl="8" w:tplc="0409001B" w:tentative="1">
      <w:start w:val="1"/>
      <w:numFmt w:val="lowerRoman"/>
      <w:lvlText w:val="%9."/>
      <w:lvlJc w:val="right"/>
      <w:pPr>
        <w:ind w:left="4933" w:hanging="480"/>
      </w:pPr>
    </w:lvl>
  </w:abstractNum>
  <w:abstractNum w:abstractNumId="8" w15:restartNumberingAfterBreak="0">
    <w:nsid w:val="202D1E5A"/>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03F39A2"/>
    <w:multiLevelType w:val="hybridMultilevel"/>
    <w:tmpl w:val="228CAC4C"/>
    <w:lvl w:ilvl="0" w:tplc="7D580580">
      <w:start w:val="1"/>
      <w:numFmt w:val="ideographTraditional"/>
      <w:suff w:val="nothing"/>
      <w:lvlText w:val="%1、"/>
      <w:lvlJc w:val="left"/>
      <w:pPr>
        <w:ind w:left="480" w:hanging="480"/>
      </w:pPr>
      <w:rPr>
        <w:rFonts w:ascii="標楷體" w:eastAsia="標楷體" w:hAnsi="標楷體" w:cstheme="minorBidi"/>
        <w:lang w:val="en-US"/>
      </w:rPr>
    </w:lvl>
    <w:lvl w:ilvl="1" w:tplc="01AEE050">
      <w:start w:val="1"/>
      <w:numFmt w:val="ideographLegalTraditional"/>
      <w:suff w:val="nothing"/>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3A116F2"/>
    <w:multiLevelType w:val="hybridMultilevel"/>
    <w:tmpl w:val="FC725352"/>
    <w:lvl w:ilvl="0" w:tplc="5FCCAA7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6733CB2"/>
    <w:multiLevelType w:val="hybridMultilevel"/>
    <w:tmpl w:val="603064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9EC042A"/>
    <w:multiLevelType w:val="hybridMultilevel"/>
    <w:tmpl w:val="C5DC245C"/>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FC263E2"/>
    <w:multiLevelType w:val="hybridMultilevel"/>
    <w:tmpl w:val="6DD05208"/>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2F773D1"/>
    <w:multiLevelType w:val="hybridMultilevel"/>
    <w:tmpl w:val="E25C9E40"/>
    <w:lvl w:ilvl="0" w:tplc="EB92CA7E">
      <w:start w:val="1"/>
      <w:numFmt w:val="ideographTraditional"/>
      <w:suff w:val="nothing"/>
      <w:lvlText w:val="%1、"/>
      <w:lvlJc w:val="left"/>
      <w:pPr>
        <w:ind w:left="480" w:hanging="480"/>
      </w:pPr>
      <w:rPr>
        <w:rFonts w:hint="default"/>
        <w:lang w:val="en-US"/>
      </w:rPr>
    </w:lvl>
    <w:lvl w:ilvl="1" w:tplc="937EB9A2">
      <w:start w:val="1"/>
      <w:numFmt w:val="ideographLegalTraditional"/>
      <w:suff w:val="nothing"/>
      <w:lvlText w:val="%2、"/>
      <w:lvlJc w:val="left"/>
      <w:pPr>
        <w:ind w:left="1200" w:hanging="720"/>
      </w:pPr>
      <w:rPr>
        <w:rFonts w:hint="default"/>
        <w:color w:val="FF0000"/>
        <w:u w:val="singl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436292C"/>
    <w:multiLevelType w:val="hybridMultilevel"/>
    <w:tmpl w:val="7456A658"/>
    <w:lvl w:ilvl="0" w:tplc="00A6176A">
      <w:start w:val="1"/>
      <w:numFmt w:val="ideographLegalTraditional"/>
      <w:suff w:val="nothing"/>
      <w:lvlText w:val="%1、"/>
      <w:lvlJc w:val="left"/>
      <w:pPr>
        <w:ind w:left="120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8543B4D"/>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8F37D25"/>
    <w:multiLevelType w:val="hybridMultilevel"/>
    <w:tmpl w:val="3154A872"/>
    <w:lvl w:ilvl="0" w:tplc="0BA07238">
      <w:start w:val="1"/>
      <w:numFmt w:val="decimal"/>
      <w:lvlText w:val="(%1)"/>
      <w:lvlJc w:val="left"/>
      <w:pPr>
        <w:ind w:left="1649" w:hanging="360"/>
      </w:pPr>
      <w:rPr>
        <w:rFonts w:ascii="標楷體" w:hAnsi="標楷體" w:hint="default"/>
      </w:rPr>
    </w:lvl>
    <w:lvl w:ilvl="1" w:tplc="04090019" w:tentative="1">
      <w:start w:val="1"/>
      <w:numFmt w:val="ideographTraditional"/>
      <w:lvlText w:val="%2、"/>
      <w:lvlJc w:val="left"/>
      <w:pPr>
        <w:ind w:left="2249" w:hanging="480"/>
      </w:pPr>
    </w:lvl>
    <w:lvl w:ilvl="2" w:tplc="0409001B" w:tentative="1">
      <w:start w:val="1"/>
      <w:numFmt w:val="lowerRoman"/>
      <w:lvlText w:val="%3."/>
      <w:lvlJc w:val="right"/>
      <w:pPr>
        <w:ind w:left="2729" w:hanging="480"/>
      </w:pPr>
    </w:lvl>
    <w:lvl w:ilvl="3" w:tplc="0409000F" w:tentative="1">
      <w:start w:val="1"/>
      <w:numFmt w:val="decimal"/>
      <w:lvlText w:val="%4."/>
      <w:lvlJc w:val="left"/>
      <w:pPr>
        <w:ind w:left="3209" w:hanging="480"/>
      </w:pPr>
    </w:lvl>
    <w:lvl w:ilvl="4" w:tplc="04090019" w:tentative="1">
      <w:start w:val="1"/>
      <w:numFmt w:val="ideographTraditional"/>
      <w:lvlText w:val="%5、"/>
      <w:lvlJc w:val="left"/>
      <w:pPr>
        <w:ind w:left="3689" w:hanging="480"/>
      </w:pPr>
    </w:lvl>
    <w:lvl w:ilvl="5" w:tplc="0409001B" w:tentative="1">
      <w:start w:val="1"/>
      <w:numFmt w:val="lowerRoman"/>
      <w:lvlText w:val="%6."/>
      <w:lvlJc w:val="right"/>
      <w:pPr>
        <w:ind w:left="4169" w:hanging="480"/>
      </w:pPr>
    </w:lvl>
    <w:lvl w:ilvl="6" w:tplc="0409000F" w:tentative="1">
      <w:start w:val="1"/>
      <w:numFmt w:val="decimal"/>
      <w:lvlText w:val="%7."/>
      <w:lvlJc w:val="left"/>
      <w:pPr>
        <w:ind w:left="4649" w:hanging="480"/>
      </w:pPr>
    </w:lvl>
    <w:lvl w:ilvl="7" w:tplc="04090019" w:tentative="1">
      <w:start w:val="1"/>
      <w:numFmt w:val="ideographTraditional"/>
      <w:lvlText w:val="%8、"/>
      <w:lvlJc w:val="left"/>
      <w:pPr>
        <w:ind w:left="5129" w:hanging="480"/>
      </w:pPr>
    </w:lvl>
    <w:lvl w:ilvl="8" w:tplc="0409001B" w:tentative="1">
      <w:start w:val="1"/>
      <w:numFmt w:val="lowerRoman"/>
      <w:lvlText w:val="%9."/>
      <w:lvlJc w:val="right"/>
      <w:pPr>
        <w:ind w:left="5609" w:hanging="480"/>
      </w:pPr>
    </w:lvl>
  </w:abstractNum>
  <w:abstractNum w:abstractNumId="18" w15:restartNumberingAfterBreak="0">
    <w:nsid w:val="399E2D25"/>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9A24CB8"/>
    <w:multiLevelType w:val="hybridMultilevel"/>
    <w:tmpl w:val="A6AA4CFE"/>
    <w:lvl w:ilvl="0" w:tplc="3312CB00">
      <w:start w:val="1"/>
      <w:numFmt w:val="ideographLegalTraditional"/>
      <w:suff w:val="nothing"/>
      <w:lvlText w:val="%1、"/>
      <w:lvlJc w:val="left"/>
      <w:pPr>
        <w:ind w:left="1200" w:hanging="720"/>
      </w:pPr>
      <w:rPr>
        <w:rFonts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8C345B"/>
    <w:multiLevelType w:val="hybridMultilevel"/>
    <w:tmpl w:val="3850AE1C"/>
    <w:lvl w:ilvl="0" w:tplc="0744FB4E">
      <w:start w:val="1"/>
      <w:numFmt w:val="taiwaneseCountingThousand"/>
      <w:lvlText w:val="%1、"/>
      <w:lvlJc w:val="left"/>
      <w:pPr>
        <w:ind w:left="1318" w:hanging="720"/>
      </w:pPr>
      <w:rPr>
        <w:rFonts w:hint="default"/>
        <w:lang w:val="en-US"/>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21" w15:restartNumberingAfterBreak="0">
    <w:nsid w:val="3BA9760F"/>
    <w:multiLevelType w:val="hybridMultilevel"/>
    <w:tmpl w:val="3880D5A0"/>
    <w:lvl w:ilvl="0" w:tplc="698EDC5E">
      <w:start w:val="1"/>
      <w:numFmt w:val="taiwaneseCountingThousand"/>
      <w:lvlText w:val="%1、"/>
      <w:lvlJc w:val="left"/>
      <w:pPr>
        <w:ind w:left="1358" w:hanging="720"/>
      </w:pPr>
      <w:rPr>
        <w:rFonts w:cs="Times New Roman" w:hint="default"/>
      </w:rPr>
    </w:lvl>
    <w:lvl w:ilvl="1" w:tplc="04090019" w:tentative="1">
      <w:start w:val="1"/>
      <w:numFmt w:val="ideographTraditional"/>
      <w:lvlText w:val="%2、"/>
      <w:lvlJc w:val="left"/>
      <w:pPr>
        <w:ind w:left="1598" w:hanging="480"/>
      </w:pPr>
    </w:lvl>
    <w:lvl w:ilvl="2" w:tplc="0409001B" w:tentative="1">
      <w:start w:val="1"/>
      <w:numFmt w:val="lowerRoman"/>
      <w:lvlText w:val="%3."/>
      <w:lvlJc w:val="right"/>
      <w:pPr>
        <w:ind w:left="2078" w:hanging="480"/>
      </w:pPr>
    </w:lvl>
    <w:lvl w:ilvl="3" w:tplc="0409000F" w:tentative="1">
      <w:start w:val="1"/>
      <w:numFmt w:val="decimal"/>
      <w:lvlText w:val="%4."/>
      <w:lvlJc w:val="left"/>
      <w:pPr>
        <w:ind w:left="2558" w:hanging="480"/>
      </w:pPr>
    </w:lvl>
    <w:lvl w:ilvl="4" w:tplc="04090019" w:tentative="1">
      <w:start w:val="1"/>
      <w:numFmt w:val="ideographTraditional"/>
      <w:lvlText w:val="%5、"/>
      <w:lvlJc w:val="left"/>
      <w:pPr>
        <w:ind w:left="3038" w:hanging="480"/>
      </w:pPr>
    </w:lvl>
    <w:lvl w:ilvl="5" w:tplc="0409001B" w:tentative="1">
      <w:start w:val="1"/>
      <w:numFmt w:val="lowerRoman"/>
      <w:lvlText w:val="%6."/>
      <w:lvlJc w:val="right"/>
      <w:pPr>
        <w:ind w:left="3518" w:hanging="480"/>
      </w:pPr>
    </w:lvl>
    <w:lvl w:ilvl="6" w:tplc="0409000F" w:tentative="1">
      <w:start w:val="1"/>
      <w:numFmt w:val="decimal"/>
      <w:lvlText w:val="%7."/>
      <w:lvlJc w:val="left"/>
      <w:pPr>
        <w:ind w:left="3998" w:hanging="480"/>
      </w:pPr>
    </w:lvl>
    <w:lvl w:ilvl="7" w:tplc="04090019" w:tentative="1">
      <w:start w:val="1"/>
      <w:numFmt w:val="ideographTraditional"/>
      <w:lvlText w:val="%8、"/>
      <w:lvlJc w:val="left"/>
      <w:pPr>
        <w:ind w:left="4478" w:hanging="480"/>
      </w:pPr>
    </w:lvl>
    <w:lvl w:ilvl="8" w:tplc="0409001B" w:tentative="1">
      <w:start w:val="1"/>
      <w:numFmt w:val="lowerRoman"/>
      <w:lvlText w:val="%9."/>
      <w:lvlJc w:val="right"/>
      <w:pPr>
        <w:ind w:left="4958" w:hanging="480"/>
      </w:pPr>
    </w:lvl>
  </w:abstractNum>
  <w:abstractNum w:abstractNumId="22" w15:restartNumberingAfterBreak="0">
    <w:nsid w:val="3D7F6E5A"/>
    <w:multiLevelType w:val="hybridMultilevel"/>
    <w:tmpl w:val="51DA814E"/>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F83E45"/>
    <w:multiLevelType w:val="hybridMultilevel"/>
    <w:tmpl w:val="19DA0A90"/>
    <w:lvl w:ilvl="0" w:tplc="58B813EA">
      <w:start w:val="1"/>
      <w:numFmt w:val="taiwaneseCountingThousand"/>
      <w:lvlText w:val="（%1）"/>
      <w:lvlJc w:val="left"/>
      <w:pPr>
        <w:ind w:left="120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45157072"/>
    <w:multiLevelType w:val="hybridMultilevel"/>
    <w:tmpl w:val="4D74BCC8"/>
    <w:lvl w:ilvl="0" w:tplc="32BEF414">
      <w:start w:val="1"/>
      <w:numFmt w:val="taiwaneseCountingThousand"/>
      <w:lvlText w:val="（%1）"/>
      <w:lvlJc w:val="left"/>
      <w:pPr>
        <w:ind w:left="1788" w:hanging="850"/>
      </w:pPr>
      <w:rPr>
        <w:rFonts w:hint="default"/>
        <w:b/>
      </w:rPr>
    </w:lvl>
    <w:lvl w:ilvl="1" w:tplc="04090019" w:tentative="1">
      <w:start w:val="1"/>
      <w:numFmt w:val="ideographTraditional"/>
      <w:lvlText w:val="%2、"/>
      <w:lvlJc w:val="left"/>
      <w:pPr>
        <w:ind w:left="1898" w:hanging="480"/>
      </w:pPr>
    </w:lvl>
    <w:lvl w:ilvl="2" w:tplc="0409001B" w:tentative="1">
      <w:start w:val="1"/>
      <w:numFmt w:val="lowerRoman"/>
      <w:lvlText w:val="%3."/>
      <w:lvlJc w:val="right"/>
      <w:pPr>
        <w:ind w:left="2378" w:hanging="480"/>
      </w:pPr>
    </w:lvl>
    <w:lvl w:ilvl="3" w:tplc="0409000F" w:tentative="1">
      <w:start w:val="1"/>
      <w:numFmt w:val="decimal"/>
      <w:lvlText w:val="%4."/>
      <w:lvlJc w:val="left"/>
      <w:pPr>
        <w:ind w:left="2858" w:hanging="480"/>
      </w:pPr>
    </w:lvl>
    <w:lvl w:ilvl="4" w:tplc="04090019" w:tentative="1">
      <w:start w:val="1"/>
      <w:numFmt w:val="ideographTraditional"/>
      <w:lvlText w:val="%5、"/>
      <w:lvlJc w:val="left"/>
      <w:pPr>
        <w:ind w:left="3338" w:hanging="480"/>
      </w:pPr>
    </w:lvl>
    <w:lvl w:ilvl="5" w:tplc="0409001B" w:tentative="1">
      <w:start w:val="1"/>
      <w:numFmt w:val="lowerRoman"/>
      <w:lvlText w:val="%6."/>
      <w:lvlJc w:val="right"/>
      <w:pPr>
        <w:ind w:left="3818" w:hanging="480"/>
      </w:pPr>
    </w:lvl>
    <w:lvl w:ilvl="6" w:tplc="0409000F" w:tentative="1">
      <w:start w:val="1"/>
      <w:numFmt w:val="decimal"/>
      <w:lvlText w:val="%7."/>
      <w:lvlJc w:val="left"/>
      <w:pPr>
        <w:ind w:left="4298" w:hanging="480"/>
      </w:pPr>
    </w:lvl>
    <w:lvl w:ilvl="7" w:tplc="04090019" w:tentative="1">
      <w:start w:val="1"/>
      <w:numFmt w:val="ideographTraditional"/>
      <w:lvlText w:val="%8、"/>
      <w:lvlJc w:val="left"/>
      <w:pPr>
        <w:ind w:left="4778" w:hanging="480"/>
      </w:pPr>
    </w:lvl>
    <w:lvl w:ilvl="8" w:tplc="0409001B" w:tentative="1">
      <w:start w:val="1"/>
      <w:numFmt w:val="lowerRoman"/>
      <w:lvlText w:val="%9."/>
      <w:lvlJc w:val="right"/>
      <w:pPr>
        <w:ind w:left="5258" w:hanging="480"/>
      </w:pPr>
    </w:lvl>
  </w:abstractNum>
  <w:abstractNum w:abstractNumId="25" w15:restartNumberingAfterBreak="0">
    <w:nsid w:val="4A0C6DA6"/>
    <w:multiLevelType w:val="hybridMultilevel"/>
    <w:tmpl w:val="12B6286C"/>
    <w:lvl w:ilvl="0" w:tplc="F8B4C1FA">
      <w:start w:val="1"/>
      <w:numFmt w:val="taiwaneseCountingThousand"/>
      <w:lvlText w:val="%1、"/>
      <w:lvlJc w:val="left"/>
      <w:pPr>
        <w:ind w:left="1318" w:hanging="720"/>
      </w:pPr>
    </w:lvl>
    <w:lvl w:ilvl="1" w:tplc="04090019">
      <w:start w:val="1"/>
      <w:numFmt w:val="ideographTraditional"/>
      <w:lvlText w:val="%2、"/>
      <w:lvlJc w:val="left"/>
      <w:pPr>
        <w:ind w:left="1558" w:hanging="480"/>
      </w:pPr>
    </w:lvl>
    <w:lvl w:ilvl="2" w:tplc="0409001B">
      <w:start w:val="1"/>
      <w:numFmt w:val="lowerRoman"/>
      <w:lvlText w:val="%3."/>
      <w:lvlJc w:val="right"/>
      <w:pPr>
        <w:ind w:left="2038" w:hanging="480"/>
      </w:pPr>
    </w:lvl>
    <w:lvl w:ilvl="3" w:tplc="0409000F">
      <w:start w:val="1"/>
      <w:numFmt w:val="decimal"/>
      <w:lvlText w:val="%4."/>
      <w:lvlJc w:val="left"/>
      <w:pPr>
        <w:ind w:left="2518" w:hanging="480"/>
      </w:pPr>
    </w:lvl>
    <w:lvl w:ilvl="4" w:tplc="04090019">
      <w:start w:val="1"/>
      <w:numFmt w:val="ideographTraditional"/>
      <w:lvlText w:val="%5、"/>
      <w:lvlJc w:val="left"/>
      <w:pPr>
        <w:ind w:left="2998" w:hanging="480"/>
      </w:pPr>
    </w:lvl>
    <w:lvl w:ilvl="5" w:tplc="0409001B">
      <w:start w:val="1"/>
      <w:numFmt w:val="lowerRoman"/>
      <w:lvlText w:val="%6."/>
      <w:lvlJc w:val="right"/>
      <w:pPr>
        <w:ind w:left="3478" w:hanging="480"/>
      </w:pPr>
    </w:lvl>
    <w:lvl w:ilvl="6" w:tplc="0409000F">
      <w:start w:val="1"/>
      <w:numFmt w:val="decimal"/>
      <w:lvlText w:val="%7."/>
      <w:lvlJc w:val="left"/>
      <w:pPr>
        <w:ind w:left="3958" w:hanging="480"/>
      </w:pPr>
    </w:lvl>
    <w:lvl w:ilvl="7" w:tplc="04090019">
      <w:start w:val="1"/>
      <w:numFmt w:val="ideographTraditional"/>
      <w:lvlText w:val="%8、"/>
      <w:lvlJc w:val="left"/>
      <w:pPr>
        <w:ind w:left="4438" w:hanging="480"/>
      </w:pPr>
    </w:lvl>
    <w:lvl w:ilvl="8" w:tplc="0409001B">
      <w:start w:val="1"/>
      <w:numFmt w:val="lowerRoman"/>
      <w:lvlText w:val="%9."/>
      <w:lvlJc w:val="right"/>
      <w:pPr>
        <w:ind w:left="4918" w:hanging="480"/>
      </w:pPr>
    </w:lvl>
  </w:abstractNum>
  <w:abstractNum w:abstractNumId="26" w15:restartNumberingAfterBreak="0">
    <w:nsid w:val="4BC57BEF"/>
    <w:multiLevelType w:val="hybridMultilevel"/>
    <w:tmpl w:val="F70ACB40"/>
    <w:lvl w:ilvl="0" w:tplc="C2524A32">
      <w:start w:val="1"/>
      <w:numFmt w:val="decimal"/>
      <w:lvlText w:val="(%1)"/>
      <w:lvlJc w:val="left"/>
      <w:pPr>
        <w:ind w:left="1750" w:hanging="432"/>
      </w:pPr>
      <w:rPr>
        <w:rFonts w:hint="default"/>
        <w:b w:val="0"/>
      </w:rPr>
    </w:lvl>
    <w:lvl w:ilvl="1" w:tplc="04090019" w:tentative="1">
      <w:start w:val="1"/>
      <w:numFmt w:val="ideographTraditional"/>
      <w:lvlText w:val="%2、"/>
      <w:lvlJc w:val="left"/>
      <w:pPr>
        <w:ind w:left="2278" w:hanging="480"/>
      </w:pPr>
    </w:lvl>
    <w:lvl w:ilvl="2" w:tplc="0409001B" w:tentative="1">
      <w:start w:val="1"/>
      <w:numFmt w:val="lowerRoman"/>
      <w:lvlText w:val="%3."/>
      <w:lvlJc w:val="right"/>
      <w:pPr>
        <w:ind w:left="2758" w:hanging="480"/>
      </w:pPr>
    </w:lvl>
    <w:lvl w:ilvl="3" w:tplc="0409000F" w:tentative="1">
      <w:start w:val="1"/>
      <w:numFmt w:val="decimal"/>
      <w:lvlText w:val="%4."/>
      <w:lvlJc w:val="left"/>
      <w:pPr>
        <w:ind w:left="3238" w:hanging="480"/>
      </w:pPr>
    </w:lvl>
    <w:lvl w:ilvl="4" w:tplc="04090019" w:tentative="1">
      <w:start w:val="1"/>
      <w:numFmt w:val="ideographTraditional"/>
      <w:lvlText w:val="%5、"/>
      <w:lvlJc w:val="left"/>
      <w:pPr>
        <w:ind w:left="3718" w:hanging="480"/>
      </w:pPr>
    </w:lvl>
    <w:lvl w:ilvl="5" w:tplc="0409001B" w:tentative="1">
      <w:start w:val="1"/>
      <w:numFmt w:val="lowerRoman"/>
      <w:lvlText w:val="%6."/>
      <w:lvlJc w:val="right"/>
      <w:pPr>
        <w:ind w:left="4198" w:hanging="480"/>
      </w:pPr>
    </w:lvl>
    <w:lvl w:ilvl="6" w:tplc="0409000F" w:tentative="1">
      <w:start w:val="1"/>
      <w:numFmt w:val="decimal"/>
      <w:lvlText w:val="%7."/>
      <w:lvlJc w:val="left"/>
      <w:pPr>
        <w:ind w:left="4678" w:hanging="480"/>
      </w:pPr>
    </w:lvl>
    <w:lvl w:ilvl="7" w:tplc="04090019" w:tentative="1">
      <w:start w:val="1"/>
      <w:numFmt w:val="ideographTraditional"/>
      <w:lvlText w:val="%8、"/>
      <w:lvlJc w:val="left"/>
      <w:pPr>
        <w:ind w:left="5158" w:hanging="480"/>
      </w:pPr>
    </w:lvl>
    <w:lvl w:ilvl="8" w:tplc="0409001B" w:tentative="1">
      <w:start w:val="1"/>
      <w:numFmt w:val="lowerRoman"/>
      <w:lvlText w:val="%9."/>
      <w:lvlJc w:val="right"/>
      <w:pPr>
        <w:ind w:left="5638" w:hanging="480"/>
      </w:pPr>
    </w:lvl>
  </w:abstractNum>
  <w:abstractNum w:abstractNumId="27" w15:restartNumberingAfterBreak="0">
    <w:nsid w:val="4D921A1B"/>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52166F4C"/>
    <w:multiLevelType w:val="hybridMultilevel"/>
    <w:tmpl w:val="134E12F8"/>
    <w:lvl w:ilvl="0" w:tplc="2F50855A">
      <w:start w:val="1"/>
      <w:numFmt w:val="taiwaneseCountingThousand"/>
      <w:lvlText w:val="%1、"/>
      <w:lvlJc w:val="left"/>
      <w:pPr>
        <w:ind w:left="1016" w:hanging="480"/>
      </w:pPr>
      <w:rPr>
        <w:rFonts w:hint="default"/>
        <w:b/>
        <w:sz w:val="32"/>
        <w:szCs w:val="32"/>
      </w:rPr>
    </w:lvl>
    <w:lvl w:ilvl="1" w:tplc="04090019" w:tentative="1">
      <w:start w:val="1"/>
      <w:numFmt w:val="ideographTraditional"/>
      <w:lvlText w:val="%2、"/>
      <w:lvlJc w:val="left"/>
      <w:pPr>
        <w:ind w:left="1496" w:hanging="480"/>
      </w:pPr>
    </w:lvl>
    <w:lvl w:ilvl="2" w:tplc="0409001B" w:tentative="1">
      <w:start w:val="1"/>
      <w:numFmt w:val="lowerRoman"/>
      <w:lvlText w:val="%3."/>
      <w:lvlJc w:val="right"/>
      <w:pPr>
        <w:ind w:left="1976" w:hanging="480"/>
      </w:pPr>
    </w:lvl>
    <w:lvl w:ilvl="3" w:tplc="0409000F" w:tentative="1">
      <w:start w:val="1"/>
      <w:numFmt w:val="decimal"/>
      <w:lvlText w:val="%4."/>
      <w:lvlJc w:val="left"/>
      <w:pPr>
        <w:ind w:left="2456" w:hanging="480"/>
      </w:pPr>
    </w:lvl>
    <w:lvl w:ilvl="4" w:tplc="04090019" w:tentative="1">
      <w:start w:val="1"/>
      <w:numFmt w:val="ideographTraditional"/>
      <w:lvlText w:val="%5、"/>
      <w:lvlJc w:val="left"/>
      <w:pPr>
        <w:ind w:left="2936" w:hanging="480"/>
      </w:pPr>
    </w:lvl>
    <w:lvl w:ilvl="5" w:tplc="0409001B" w:tentative="1">
      <w:start w:val="1"/>
      <w:numFmt w:val="lowerRoman"/>
      <w:lvlText w:val="%6."/>
      <w:lvlJc w:val="right"/>
      <w:pPr>
        <w:ind w:left="3416" w:hanging="480"/>
      </w:pPr>
    </w:lvl>
    <w:lvl w:ilvl="6" w:tplc="0409000F" w:tentative="1">
      <w:start w:val="1"/>
      <w:numFmt w:val="decimal"/>
      <w:lvlText w:val="%7."/>
      <w:lvlJc w:val="left"/>
      <w:pPr>
        <w:ind w:left="3896" w:hanging="480"/>
      </w:pPr>
    </w:lvl>
    <w:lvl w:ilvl="7" w:tplc="04090019" w:tentative="1">
      <w:start w:val="1"/>
      <w:numFmt w:val="ideographTraditional"/>
      <w:lvlText w:val="%8、"/>
      <w:lvlJc w:val="left"/>
      <w:pPr>
        <w:ind w:left="4376" w:hanging="480"/>
      </w:pPr>
    </w:lvl>
    <w:lvl w:ilvl="8" w:tplc="0409001B" w:tentative="1">
      <w:start w:val="1"/>
      <w:numFmt w:val="lowerRoman"/>
      <w:lvlText w:val="%9."/>
      <w:lvlJc w:val="right"/>
      <w:pPr>
        <w:ind w:left="4856" w:hanging="480"/>
      </w:pPr>
    </w:lvl>
  </w:abstractNum>
  <w:abstractNum w:abstractNumId="29" w15:restartNumberingAfterBreak="0">
    <w:nsid w:val="53005FAC"/>
    <w:multiLevelType w:val="hybridMultilevel"/>
    <w:tmpl w:val="26C499B8"/>
    <w:lvl w:ilvl="0" w:tplc="BB2C2C98">
      <w:start w:val="1"/>
      <w:numFmt w:val="decimal"/>
      <w:lvlText w:val="%1."/>
      <w:lvlJc w:val="left"/>
      <w:pPr>
        <w:ind w:left="1412" w:hanging="852"/>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0" w15:restartNumberingAfterBreak="0">
    <w:nsid w:val="54975C74"/>
    <w:multiLevelType w:val="hybridMultilevel"/>
    <w:tmpl w:val="339AFF3A"/>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78B4224"/>
    <w:multiLevelType w:val="hybridMultilevel"/>
    <w:tmpl w:val="64662300"/>
    <w:lvl w:ilvl="0" w:tplc="BF2C98DC">
      <w:start w:val="1"/>
      <w:numFmt w:val="taiwaneseCountingThousand"/>
      <w:suff w:val="nothing"/>
      <w:lvlText w:val="(%1)"/>
      <w:lvlJc w:val="left"/>
      <w:pPr>
        <w:ind w:left="1073" w:hanging="720"/>
      </w:pPr>
      <w:rPr>
        <w:rFonts w:hint="default"/>
        <w:color w:val="auto"/>
      </w:rPr>
    </w:lvl>
    <w:lvl w:ilvl="1" w:tplc="2F86AFFA">
      <w:start w:val="1"/>
      <w:numFmt w:val="ideographLegalTraditional"/>
      <w:lvlText w:val="%2、"/>
      <w:lvlJc w:val="left"/>
      <w:pPr>
        <w:ind w:left="2273" w:hanging="720"/>
      </w:pPr>
      <w:rPr>
        <w:rFonts w:hint="default"/>
      </w:r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2" w15:restartNumberingAfterBreak="0">
    <w:nsid w:val="5BEC3D4E"/>
    <w:multiLevelType w:val="hybridMultilevel"/>
    <w:tmpl w:val="011023F8"/>
    <w:lvl w:ilvl="0" w:tplc="07BE5324">
      <w:start w:val="1"/>
      <w:numFmt w:val="ideographLegalTradition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15:restartNumberingAfterBreak="0">
    <w:nsid w:val="645137EA"/>
    <w:multiLevelType w:val="hybridMultilevel"/>
    <w:tmpl w:val="77789DE4"/>
    <w:lvl w:ilvl="0" w:tplc="BF2C98DC">
      <w:start w:val="1"/>
      <w:numFmt w:val="taiwaneseCountingThousand"/>
      <w:suff w:val="nothing"/>
      <w:lvlText w:val="(%1)"/>
      <w:lvlJc w:val="left"/>
      <w:pPr>
        <w:ind w:left="1073" w:hanging="72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4" w15:restartNumberingAfterBreak="0">
    <w:nsid w:val="68CA646D"/>
    <w:multiLevelType w:val="hybridMultilevel"/>
    <w:tmpl w:val="DBE8F092"/>
    <w:lvl w:ilvl="0" w:tplc="7DC2F7E0">
      <w:start w:val="1"/>
      <w:numFmt w:val="decimal"/>
      <w:lvlText w:val="%1."/>
      <w:lvlJc w:val="left"/>
      <w:pPr>
        <w:ind w:left="2669" w:hanging="1524"/>
      </w:pPr>
      <w:rPr>
        <w:rFonts w:hint="default"/>
      </w:rPr>
    </w:lvl>
    <w:lvl w:ilvl="1" w:tplc="04090019" w:tentative="1">
      <w:start w:val="1"/>
      <w:numFmt w:val="ideographTraditional"/>
      <w:lvlText w:val="%2、"/>
      <w:lvlJc w:val="left"/>
      <w:pPr>
        <w:ind w:left="2105" w:hanging="480"/>
      </w:pPr>
    </w:lvl>
    <w:lvl w:ilvl="2" w:tplc="0409001B" w:tentative="1">
      <w:start w:val="1"/>
      <w:numFmt w:val="lowerRoman"/>
      <w:lvlText w:val="%3."/>
      <w:lvlJc w:val="right"/>
      <w:pPr>
        <w:ind w:left="2585" w:hanging="480"/>
      </w:pPr>
    </w:lvl>
    <w:lvl w:ilvl="3" w:tplc="0409000F" w:tentative="1">
      <w:start w:val="1"/>
      <w:numFmt w:val="decimal"/>
      <w:lvlText w:val="%4."/>
      <w:lvlJc w:val="left"/>
      <w:pPr>
        <w:ind w:left="3065" w:hanging="480"/>
      </w:pPr>
    </w:lvl>
    <w:lvl w:ilvl="4" w:tplc="04090019" w:tentative="1">
      <w:start w:val="1"/>
      <w:numFmt w:val="ideographTraditional"/>
      <w:lvlText w:val="%5、"/>
      <w:lvlJc w:val="left"/>
      <w:pPr>
        <w:ind w:left="3545" w:hanging="480"/>
      </w:pPr>
    </w:lvl>
    <w:lvl w:ilvl="5" w:tplc="0409001B" w:tentative="1">
      <w:start w:val="1"/>
      <w:numFmt w:val="lowerRoman"/>
      <w:lvlText w:val="%6."/>
      <w:lvlJc w:val="right"/>
      <w:pPr>
        <w:ind w:left="4025" w:hanging="480"/>
      </w:pPr>
    </w:lvl>
    <w:lvl w:ilvl="6" w:tplc="0409000F" w:tentative="1">
      <w:start w:val="1"/>
      <w:numFmt w:val="decimal"/>
      <w:lvlText w:val="%7."/>
      <w:lvlJc w:val="left"/>
      <w:pPr>
        <w:ind w:left="4505" w:hanging="480"/>
      </w:pPr>
    </w:lvl>
    <w:lvl w:ilvl="7" w:tplc="04090019" w:tentative="1">
      <w:start w:val="1"/>
      <w:numFmt w:val="ideographTraditional"/>
      <w:lvlText w:val="%8、"/>
      <w:lvlJc w:val="left"/>
      <w:pPr>
        <w:ind w:left="4985" w:hanging="480"/>
      </w:pPr>
    </w:lvl>
    <w:lvl w:ilvl="8" w:tplc="0409001B" w:tentative="1">
      <w:start w:val="1"/>
      <w:numFmt w:val="lowerRoman"/>
      <w:lvlText w:val="%9."/>
      <w:lvlJc w:val="right"/>
      <w:pPr>
        <w:ind w:left="5465" w:hanging="480"/>
      </w:pPr>
    </w:lvl>
  </w:abstractNum>
  <w:abstractNum w:abstractNumId="35" w15:restartNumberingAfterBreak="0">
    <w:nsid w:val="6AC7269C"/>
    <w:multiLevelType w:val="hybridMultilevel"/>
    <w:tmpl w:val="CD20E8B8"/>
    <w:lvl w:ilvl="0" w:tplc="7B32AB0A">
      <w:start w:val="1"/>
      <w:numFmt w:val="taiwaneseCountingThousand"/>
      <w:lvlText w:val="(%1)"/>
      <w:lvlJc w:val="left"/>
      <w:pPr>
        <w:ind w:left="1841"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1372133"/>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4443750"/>
    <w:multiLevelType w:val="hybridMultilevel"/>
    <w:tmpl w:val="DA347A2C"/>
    <w:lvl w:ilvl="0" w:tplc="A76C4ABE">
      <w:start w:val="1"/>
      <w:numFmt w:val="taiwaneseCountingThousand"/>
      <w:suff w:val="nothing"/>
      <w:lvlText w:val="%1、"/>
      <w:lvlJc w:val="left"/>
      <w:pPr>
        <w:ind w:left="1073" w:hanging="720"/>
      </w:pPr>
      <w:rPr>
        <w:rFonts w:hint="default"/>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38" w15:restartNumberingAfterBreak="0">
    <w:nsid w:val="74DC7E3A"/>
    <w:multiLevelType w:val="hybridMultilevel"/>
    <w:tmpl w:val="087A7B62"/>
    <w:lvl w:ilvl="0" w:tplc="67F0D9AA">
      <w:start w:val="1"/>
      <w:numFmt w:val="taiwaneseCountingThousand"/>
      <w:lvlText w:val="（%1）"/>
      <w:lvlJc w:val="left"/>
      <w:pPr>
        <w:ind w:left="876" w:hanging="87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5075DCC"/>
    <w:multiLevelType w:val="hybridMultilevel"/>
    <w:tmpl w:val="DD908C0C"/>
    <w:lvl w:ilvl="0" w:tplc="85C44BA2">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6A156EA"/>
    <w:multiLevelType w:val="hybridMultilevel"/>
    <w:tmpl w:val="2FE833E8"/>
    <w:lvl w:ilvl="0" w:tplc="2C309854">
      <w:start w:val="1"/>
      <w:numFmt w:val="taiwaneseCountingThousand"/>
      <w:lvlText w:val="%1、"/>
      <w:lvlJc w:val="left"/>
      <w:pPr>
        <w:ind w:left="1073" w:hanging="720"/>
      </w:pPr>
      <w:rPr>
        <w:rFonts w:hint="default"/>
        <w:b w:val="0"/>
        <w:color w:val="auto"/>
      </w:rPr>
    </w:lvl>
    <w:lvl w:ilvl="1" w:tplc="04090019" w:tentative="1">
      <w:start w:val="1"/>
      <w:numFmt w:val="ideographTraditional"/>
      <w:lvlText w:val="%2、"/>
      <w:lvlJc w:val="left"/>
      <w:pPr>
        <w:ind w:left="1313" w:hanging="480"/>
      </w:pPr>
    </w:lvl>
    <w:lvl w:ilvl="2" w:tplc="0409001B" w:tentative="1">
      <w:start w:val="1"/>
      <w:numFmt w:val="lowerRoman"/>
      <w:lvlText w:val="%3."/>
      <w:lvlJc w:val="right"/>
      <w:pPr>
        <w:ind w:left="1793" w:hanging="480"/>
      </w:pPr>
    </w:lvl>
    <w:lvl w:ilvl="3" w:tplc="0409000F" w:tentative="1">
      <w:start w:val="1"/>
      <w:numFmt w:val="decimal"/>
      <w:lvlText w:val="%4."/>
      <w:lvlJc w:val="left"/>
      <w:pPr>
        <w:ind w:left="2273" w:hanging="480"/>
      </w:pPr>
    </w:lvl>
    <w:lvl w:ilvl="4" w:tplc="04090019" w:tentative="1">
      <w:start w:val="1"/>
      <w:numFmt w:val="ideographTraditional"/>
      <w:lvlText w:val="%5、"/>
      <w:lvlJc w:val="left"/>
      <w:pPr>
        <w:ind w:left="2753" w:hanging="480"/>
      </w:pPr>
    </w:lvl>
    <w:lvl w:ilvl="5" w:tplc="0409001B" w:tentative="1">
      <w:start w:val="1"/>
      <w:numFmt w:val="lowerRoman"/>
      <w:lvlText w:val="%6."/>
      <w:lvlJc w:val="right"/>
      <w:pPr>
        <w:ind w:left="3233" w:hanging="480"/>
      </w:pPr>
    </w:lvl>
    <w:lvl w:ilvl="6" w:tplc="0409000F" w:tentative="1">
      <w:start w:val="1"/>
      <w:numFmt w:val="decimal"/>
      <w:lvlText w:val="%7."/>
      <w:lvlJc w:val="left"/>
      <w:pPr>
        <w:ind w:left="3713" w:hanging="480"/>
      </w:pPr>
    </w:lvl>
    <w:lvl w:ilvl="7" w:tplc="04090019" w:tentative="1">
      <w:start w:val="1"/>
      <w:numFmt w:val="ideographTraditional"/>
      <w:lvlText w:val="%8、"/>
      <w:lvlJc w:val="left"/>
      <w:pPr>
        <w:ind w:left="4193" w:hanging="480"/>
      </w:pPr>
    </w:lvl>
    <w:lvl w:ilvl="8" w:tplc="0409001B" w:tentative="1">
      <w:start w:val="1"/>
      <w:numFmt w:val="lowerRoman"/>
      <w:lvlText w:val="%9."/>
      <w:lvlJc w:val="right"/>
      <w:pPr>
        <w:ind w:left="4673" w:hanging="480"/>
      </w:pPr>
    </w:lvl>
  </w:abstractNum>
  <w:abstractNum w:abstractNumId="41" w15:restartNumberingAfterBreak="0">
    <w:nsid w:val="76B26891"/>
    <w:multiLevelType w:val="hybridMultilevel"/>
    <w:tmpl w:val="EEFE14DE"/>
    <w:lvl w:ilvl="0" w:tplc="B8AE8230">
      <w:start w:val="1"/>
      <w:numFmt w:val="taiwaneseCountingThousand"/>
      <w:suff w:val="nothing"/>
      <w:lvlText w:val="(%1)"/>
      <w:lvlJc w:val="left"/>
      <w:pPr>
        <w:ind w:left="833" w:hanging="48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42" w15:restartNumberingAfterBreak="0">
    <w:nsid w:val="76DF08AF"/>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74C6BC6"/>
    <w:multiLevelType w:val="hybridMultilevel"/>
    <w:tmpl w:val="681EC1E6"/>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86C257D"/>
    <w:multiLevelType w:val="hybridMultilevel"/>
    <w:tmpl w:val="E7265798"/>
    <w:lvl w:ilvl="0" w:tplc="04090015">
      <w:start w:val="1"/>
      <w:numFmt w:val="taiwaneseCountingThousand"/>
      <w:lvlText w:val="%1、"/>
      <w:lvlJc w:val="left"/>
      <w:pPr>
        <w:ind w:left="76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7E7C37B9"/>
    <w:multiLevelType w:val="hybridMultilevel"/>
    <w:tmpl w:val="D80C04F2"/>
    <w:lvl w:ilvl="0" w:tplc="04090015">
      <w:start w:val="1"/>
      <w:numFmt w:val="taiwaneseCountingThousand"/>
      <w:lvlText w:val="%1、"/>
      <w:lvlJc w:val="left"/>
      <w:pPr>
        <w:ind w:left="1079" w:hanging="480"/>
      </w:pPr>
      <w:rPr>
        <w:rFonts w:hint="default"/>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num w:numId="1" w16cid:durableId="1650285020">
    <w:abstractNumId w:val="24"/>
  </w:num>
  <w:num w:numId="2" w16cid:durableId="1437598843">
    <w:abstractNumId w:val="7"/>
  </w:num>
  <w:num w:numId="3" w16cid:durableId="981807550">
    <w:abstractNumId w:val="29"/>
  </w:num>
  <w:num w:numId="4" w16cid:durableId="1541820630">
    <w:abstractNumId w:val="38"/>
  </w:num>
  <w:num w:numId="5" w16cid:durableId="765346192">
    <w:abstractNumId w:val="10"/>
  </w:num>
  <w:num w:numId="6" w16cid:durableId="1345788846">
    <w:abstractNumId w:val="26"/>
  </w:num>
  <w:num w:numId="7" w16cid:durableId="1466898380">
    <w:abstractNumId w:val="17"/>
  </w:num>
  <w:num w:numId="8" w16cid:durableId="546642743">
    <w:abstractNumId w:val="34"/>
  </w:num>
  <w:num w:numId="9" w16cid:durableId="1102922199">
    <w:abstractNumId w:val="36"/>
  </w:num>
  <w:num w:numId="10" w16cid:durableId="181164058">
    <w:abstractNumId w:val="16"/>
  </w:num>
  <w:num w:numId="11" w16cid:durableId="1806120562">
    <w:abstractNumId w:val="18"/>
  </w:num>
  <w:num w:numId="12" w16cid:durableId="1927613355">
    <w:abstractNumId w:val="11"/>
  </w:num>
  <w:num w:numId="13" w16cid:durableId="321546285">
    <w:abstractNumId w:val="21"/>
  </w:num>
  <w:num w:numId="14" w16cid:durableId="20739178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533094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7181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67549337">
    <w:abstractNumId w:val="20"/>
  </w:num>
  <w:num w:numId="18" w16cid:durableId="21063438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7639779">
    <w:abstractNumId w:val="1"/>
  </w:num>
  <w:num w:numId="20" w16cid:durableId="1320502660">
    <w:abstractNumId w:val="32"/>
  </w:num>
  <w:num w:numId="21" w16cid:durableId="1003780296">
    <w:abstractNumId w:val="14"/>
  </w:num>
  <w:num w:numId="22" w16cid:durableId="785272949">
    <w:abstractNumId w:val="5"/>
  </w:num>
  <w:num w:numId="23" w16cid:durableId="398553078">
    <w:abstractNumId w:val="0"/>
  </w:num>
  <w:num w:numId="24" w16cid:durableId="306131726">
    <w:abstractNumId w:val="40"/>
  </w:num>
  <w:num w:numId="25" w16cid:durableId="1098453707">
    <w:abstractNumId w:val="9"/>
  </w:num>
  <w:num w:numId="26" w16cid:durableId="98721186">
    <w:abstractNumId w:val="43"/>
  </w:num>
  <w:num w:numId="27" w16cid:durableId="134028364">
    <w:abstractNumId w:val="12"/>
  </w:num>
  <w:num w:numId="28" w16cid:durableId="16783262">
    <w:abstractNumId w:val="30"/>
  </w:num>
  <w:num w:numId="29" w16cid:durableId="1005783981">
    <w:abstractNumId w:val="15"/>
  </w:num>
  <w:num w:numId="30" w16cid:durableId="164633586">
    <w:abstractNumId w:val="22"/>
  </w:num>
  <w:num w:numId="31" w16cid:durableId="2100979260">
    <w:abstractNumId w:val="19"/>
  </w:num>
  <w:num w:numId="32" w16cid:durableId="285238609">
    <w:abstractNumId w:val="31"/>
  </w:num>
  <w:num w:numId="33" w16cid:durableId="778640280">
    <w:abstractNumId w:val="41"/>
  </w:num>
  <w:num w:numId="34" w16cid:durableId="475924758">
    <w:abstractNumId w:val="13"/>
  </w:num>
  <w:num w:numId="35" w16cid:durableId="1807551192">
    <w:abstractNumId w:val="42"/>
  </w:num>
  <w:num w:numId="36" w16cid:durableId="697237631">
    <w:abstractNumId w:val="33"/>
  </w:num>
  <w:num w:numId="37" w16cid:durableId="1348603752">
    <w:abstractNumId w:val="39"/>
  </w:num>
  <w:num w:numId="38" w16cid:durableId="807287877">
    <w:abstractNumId w:val="4"/>
  </w:num>
  <w:num w:numId="39" w16cid:durableId="803889750">
    <w:abstractNumId w:val="2"/>
  </w:num>
  <w:num w:numId="40" w16cid:durableId="681592568">
    <w:abstractNumId w:val="37"/>
  </w:num>
  <w:num w:numId="41" w16cid:durableId="1485707692">
    <w:abstractNumId w:val="27"/>
  </w:num>
  <w:num w:numId="42" w16cid:durableId="881094454">
    <w:abstractNumId w:val="35"/>
  </w:num>
  <w:num w:numId="43" w16cid:durableId="1632126521">
    <w:abstractNumId w:val="45"/>
  </w:num>
  <w:num w:numId="44" w16cid:durableId="310713762">
    <w:abstractNumId w:val="28"/>
  </w:num>
  <w:num w:numId="45" w16cid:durableId="1588688299">
    <w:abstractNumId w:val="8"/>
  </w:num>
  <w:num w:numId="46" w16cid:durableId="17343072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bordersDoNotSurroundHeader/>
  <w:bordersDoNotSurroundFooter/>
  <w:hideSpellingErrors/>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B42"/>
    <w:rsid w:val="000015EF"/>
    <w:rsid w:val="0000268E"/>
    <w:rsid w:val="00002FE8"/>
    <w:rsid w:val="00004551"/>
    <w:rsid w:val="0000562E"/>
    <w:rsid w:val="000063D6"/>
    <w:rsid w:val="00012ADB"/>
    <w:rsid w:val="00014BBF"/>
    <w:rsid w:val="00014FBF"/>
    <w:rsid w:val="00015D21"/>
    <w:rsid w:val="00016E92"/>
    <w:rsid w:val="00023563"/>
    <w:rsid w:val="00027269"/>
    <w:rsid w:val="000300BB"/>
    <w:rsid w:val="00032FAA"/>
    <w:rsid w:val="00036B05"/>
    <w:rsid w:val="0004033B"/>
    <w:rsid w:val="0004133E"/>
    <w:rsid w:val="0004205E"/>
    <w:rsid w:val="000454FD"/>
    <w:rsid w:val="0004551C"/>
    <w:rsid w:val="00046AF6"/>
    <w:rsid w:val="00046EAE"/>
    <w:rsid w:val="00047A5C"/>
    <w:rsid w:val="00047F9C"/>
    <w:rsid w:val="000525F7"/>
    <w:rsid w:val="00053399"/>
    <w:rsid w:val="00054139"/>
    <w:rsid w:val="00054345"/>
    <w:rsid w:val="00055174"/>
    <w:rsid w:val="00055701"/>
    <w:rsid w:val="0005701B"/>
    <w:rsid w:val="00057E3C"/>
    <w:rsid w:val="0006109D"/>
    <w:rsid w:val="000614FA"/>
    <w:rsid w:val="00064A0D"/>
    <w:rsid w:val="00074C85"/>
    <w:rsid w:val="00077F53"/>
    <w:rsid w:val="00081955"/>
    <w:rsid w:val="00083083"/>
    <w:rsid w:val="00086084"/>
    <w:rsid w:val="00086833"/>
    <w:rsid w:val="00087533"/>
    <w:rsid w:val="0008759A"/>
    <w:rsid w:val="00087706"/>
    <w:rsid w:val="00087D33"/>
    <w:rsid w:val="00090870"/>
    <w:rsid w:val="00096107"/>
    <w:rsid w:val="000A07F4"/>
    <w:rsid w:val="000A34FA"/>
    <w:rsid w:val="000A4B95"/>
    <w:rsid w:val="000A4E5A"/>
    <w:rsid w:val="000A5108"/>
    <w:rsid w:val="000A515E"/>
    <w:rsid w:val="000A5C92"/>
    <w:rsid w:val="000A6892"/>
    <w:rsid w:val="000A694A"/>
    <w:rsid w:val="000A726B"/>
    <w:rsid w:val="000B59E8"/>
    <w:rsid w:val="000B5CCB"/>
    <w:rsid w:val="000B7745"/>
    <w:rsid w:val="000C33BF"/>
    <w:rsid w:val="000C36A9"/>
    <w:rsid w:val="000C45D9"/>
    <w:rsid w:val="000C49BD"/>
    <w:rsid w:val="000C5047"/>
    <w:rsid w:val="000C5A94"/>
    <w:rsid w:val="000C6BAD"/>
    <w:rsid w:val="000C6C28"/>
    <w:rsid w:val="000D5D28"/>
    <w:rsid w:val="000D7433"/>
    <w:rsid w:val="000E266A"/>
    <w:rsid w:val="000E3D9E"/>
    <w:rsid w:val="000E75A9"/>
    <w:rsid w:val="000F1ECA"/>
    <w:rsid w:val="000F2D36"/>
    <w:rsid w:val="000F472C"/>
    <w:rsid w:val="000F56AC"/>
    <w:rsid w:val="000F5B73"/>
    <w:rsid w:val="001063E3"/>
    <w:rsid w:val="00106A5D"/>
    <w:rsid w:val="001076B5"/>
    <w:rsid w:val="00113906"/>
    <w:rsid w:val="001213BC"/>
    <w:rsid w:val="0012563A"/>
    <w:rsid w:val="00125934"/>
    <w:rsid w:val="00135435"/>
    <w:rsid w:val="00140A11"/>
    <w:rsid w:val="00143516"/>
    <w:rsid w:val="001445F3"/>
    <w:rsid w:val="00151810"/>
    <w:rsid w:val="00154580"/>
    <w:rsid w:val="00154866"/>
    <w:rsid w:val="00154B34"/>
    <w:rsid w:val="00155EE6"/>
    <w:rsid w:val="00156076"/>
    <w:rsid w:val="00156A98"/>
    <w:rsid w:val="00161718"/>
    <w:rsid w:val="0016264F"/>
    <w:rsid w:val="00162B72"/>
    <w:rsid w:val="001652B8"/>
    <w:rsid w:val="00171455"/>
    <w:rsid w:val="0017491C"/>
    <w:rsid w:val="00176192"/>
    <w:rsid w:val="00182BDC"/>
    <w:rsid w:val="001848F7"/>
    <w:rsid w:val="00186285"/>
    <w:rsid w:val="001868D2"/>
    <w:rsid w:val="001913FB"/>
    <w:rsid w:val="001A1AB8"/>
    <w:rsid w:val="001A1E7F"/>
    <w:rsid w:val="001A4AFC"/>
    <w:rsid w:val="001A4E03"/>
    <w:rsid w:val="001A5648"/>
    <w:rsid w:val="001A79EA"/>
    <w:rsid w:val="001B072B"/>
    <w:rsid w:val="001B2AC4"/>
    <w:rsid w:val="001B2F58"/>
    <w:rsid w:val="001B31A3"/>
    <w:rsid w:val="001B34EB"/>
    <w:rsid w:val="001B40F4"/>
    <w:rsid w:val="001B52A4"/>
    <w:rsid w:val="001B587B"/>
    <w:rsid w:val="001C6AEB"/>
    <w:rsid w:val="001D1878"/>
    <w:rsid w:val="001D1997"/>
    <w:rsid w:val="001D2FBB"/>
    <w:rsid w:val="001D4D83"/>
    <w:rsid w:val="001D4F2C"/>
    <w:rsid w:val="001D5DE9"/>
    <w:rsid w:val="001D7141"/>
    <w:rsid w:val="001E00EA"/>
    <w:rsid w:val="001E2D59"/>
    <w:rsid w:val="001E627D"/>
    <w:rsid w:val="001E790E"/>
    <w:rsid w:val="001E79F2"/>
    <w:rsid w:val="001F2974"/>
    <w:rsid w:val="001F51BE"/>
    <w:rsid w:val="002028AA"/>
    <w:rsid w:val="00202CD8"/>
    <w:rsid w:val="00203959"/>
    <w:rsid w:val="00203B45"/>
    <w:rsid w:val="00207D59"/>
    <w:rsid w:val="0021057E"/>
    <w:rsid w:val="0021058E"/>
    <w:rsid w:val="00210789"/>
    <w:rsid w:val="00211736"/>
    <w:rsid w:val="00212683"/>
    <w:rsid w:val="00213E0E"/>
    <w:rsid w:val="002172B6"/>
    <w:rsid w:val="00223E57"/>
    <w:rsid w:val="00224348"/>
    <w:rsid w:val="00224E8D"/>
    <w:rsid w:val="002277FA"/>
    <w:rsid w:val="00227CD8"/>
    <w:rsid w:val="00230F6E"/>
    <w:rsid w:val="002329CC"/>
    <w:rsid w:val="00234C35"/>
    <w:rsid w:val="00236DAB"/>
    <w:rsid w:val="00247517"/>
    <w:rsid w:val="00250256"/>
    <w:rsid w:val="00253115"/>
    <w:rsid w:val="002535C3"/>
    <w:rsid w:val="00255799"/>
    <w:rsid w:val="00255B85"/>
    <w:rsid w:val="00257E15"/>
    <w:rsid w:val="00261CF7"/>
    <w:rsid w:val="002635C3"/>
    <w:rsid w:val="00263F02"/>
    <w:rsid w:val="00264929"/>
    <w:rsid w:val="00265975"/>
    <w:rsid w:val="002679F5"/>
    <w:rsid w:val="00270C49"/>
    <w:rsid w:val="0027744D"/>
    <w:rsid w:val="002824ED"/>
    <w:rsid w:val="00283607"/>
    <w:rsid w:val="00290271"/>
    <w:rsid w:val="00290F13"/>
    <w:rsid w:val="00291AED"/>
    <w:rsid w:val="00292A68"/>
    <w:rsid w:val="00292F73"/>
    <w:rsid w:val="00294CB7"/>
    <w:rsid w:val="00294DD0"/>
    <w:rsid w:val="002958B0"/>
    <w:rsid w:val="0029639F"/>
    <w:rsid w:val="002A208D"/>
    <w:rsid w:val="002A49A7"/>
    <w:rsid w:val="002B1683"/>
    <w:rsid w:val="002B1F6A"/>
    <w:rsid w:val="002B35B0"/>
    <w:rsid w:val="002B3E2D"/>
    <w:rsid w:val="002C0692"/>
    <w:rsid w:val="002C3F3A"/>
    <w:rsid w:val="002C5956"/>
    <w:rsid w:val="002C6910"/>
    <w:rsid w:val="002C72F6"/>
    <w:rsid w:val="002C793F"/>
    <w:rsid w:val="002D40A4"/>
    <w:rsid w:val="002E4D17"/>
    <w:rsid w:val="002F0EFA"/>
    <w:rsid w:val="002F1694"/>
    <w:rsid w:val="002F2AA3"/>
    <w:rsid w:val="002F561A"/>
    <w:rsid w:val="002F78F0"/>
    <w:rsid w:val="003016CB"/>
    <w:rsid w:val="003054EC"/>
    <w:rsid w:val="0030585B"/>
    <w:rsid w:val="0030615F"/>
    <w:rsid w:val="00307956"/>
    <w:rsid w:val="00311ACE"/>
    <w:rsid w:val="00311B27"/>
    <w:rsid w:val="00314C9D"/>
    <w:rsid w:val="0031574D"/>
    <w:rsid w:val="00315CD5"/>
    <w:rsid w:val="003165EC"/>
    <w:rsid w:val="003204D2"/>
    <w:rsid w:val="0032075D"/>
    <w:rsid w:val="00327FBF"/>
    <w:rsid w:val="0033207D"/>
    <w:rsid w:val="00333B6F"/>
    <w:rsid w:val="003344FA"/>
    <w:rsid w:val="00337CB8"/>
    <w:rsid w:val="00340007"/>
    <w:rsid w:val="0034200D"/>
    <w:rsid w:val="00342778"/>
    <w:rsid w:val="00344C59"/>
    <w:rsid w:val="00347F0A"/>
    <w:rsid w:val="00350B44"/>
    <w:rsid w:val="0035315C"/>
    <w:rsid w:val="00353DCC"/>
    <w:rsid w:val="00353F53"/>
    <w:rsid w:val="003559B9"/>
    <w:rsid w:val="00356B51"/>
    <w:rsid w:val="003645F7"/>
    <w:rsid w:val="0036464E"/>
    <w:rsid w:val="003706CD"/>
    <w:rsid w:val="00371B35"/>
    <w:rsid w:val="0037297C"/>
    <w:rsid w:val="00374642"/>
    <w:rsid w:val="00377AB9"/>
    <w:rsid w:val="003823B9"/>
    <w:rsid w:val="00382B80"/>
    <w:rsid w:val="00387399"/>
    <w:rsid w:val="003875D3"/>
    <w:rsid w:val="0039197C"/>
    <w:rsid w:val="00393004"/>
    <w:rsid w:val="00396375"/>
    <w:rsid w:val="003977D7"/>
    <w:rsid w:val="003A1F1E"/>
    <w:rsid w:val="003A3845"/>
    <w:rsid w:val="003B2B85"/>
    <w:rsid w:val="003B501E"/>
    <w:rsid w:val="003C2671"/>
    <w:rsid w:val="003C34FE"/>
    <w:rsid w:val="003D07AB"/>
    <w:rsid w:val="003D514B"/>
    <w:rsid w:val="003D7BFD"/>
    <w:rsid w:val="003D7F6C"/>
    <w:rsid w:val="003E0B20"/>
    <w:rsid w:val="003E1BA2"/>
    <w:rsid w:val="003E72AA"/>
    <w:rsid w:val="003F2146"/>
    <w:rsid w:val="003F21EE"/>
    <w:rsid w:val="003F24EF"/>
    <w:rsid w:val="003F58DF"/>
    <w:rsid w:val="003F69FE"/>
    <w:rsid w:val="003F74F9"/>
    <w:rsid w:val="003F75A8"/>
    <w:rsid w:val="003F764B"/>
    <w:rsid w:val="00400ED8"/>
    <w:rsid w:val="00401B4D"/>
    <w:rsid w:val="00403C1B"/>
    <w:rsid w:val="00404BD0"/>
    <w:rsid w:val="004056E9"/>
    <w:rsid w:val="004076EF"/>
    <w:rsid w:val="004109FB"/>
    <w:rsid w:val="00410DDA"/>
    <w:rsid w:val="00413887"/>
    <w:rsid w:val="0041630F"/>
    <w:rsid w:val="00417931"/>
    <w:rsid w:val="00421C5B"/>
    <w:rsid w:val="00422426"/>
    <w:rsid w:val="004227EA"/>
    <w:rsid w:val="00423E48"/>
    <w:rsid w:val="0042679A"/>
    <w:rsid w:val="00433C96"/>
    <w:rsid w:val="0043509C"/>
    <w:rsid w:val="004433B4"/>
    <w:rsid w:val="00444CB3"/>
    <w:rsid w:val="0044603B"/>
    <w:rsid w:val="00450E55"/>
    <w:rsid w:val="00452ED9"/>
    <w:rsid w:val="00455DDB"/>
    <w:rsid w:val="00456C1E"/>
    <w:rsid w:val="00457AF8"/>
    <w:rsid w:val="00457D10"/>
    <w:rsid w:val="00457D1E"/>
    <w:rsid w:val="00457F3B"/>
    <w:rsid w:val="004607C6"/>
    <w:rsid w:val="004622F1"/>
    <w:rsid w:val="0046496A"/>
    <w:rsid w:val="004657A5"/>
    <w:rsid w:val="004720A2"/>
    <w:rsid w:val="004735C0"/>
    <w:rsid w:val="004767BD"/>
    <w:rsid w:val="00481003"/>
    <w:rsid w:val="00484ADB"/>
    <w:rsid w:val="00484F13"/>
    <w:rsid w:val="00486286"/>
    <w:rsid w:val="00490222"/>
    <w:rsid w:val="0049181B"/>
    <w:rsid w:val="00491AA4"/>
    <w:rsid w:val="0049484E"/>
    <w:rsid w:val="00496C8C"/>
    <w:rsid w:val="004A0AE1"/>
    <w:rsid w:val="004A2689"/>
    <w:rsid w:val="004A7F7E"/>
    <w:rsid w:val="004B24E1"/>
    <w:rsid w:val="004C1183"/>
    <w:rsid w:val="004C510A"/>
    <w:rsid w:val="004C6D3B"/>
    <w:rsid w:val="004C6FA5"/>
    <w:rsid w:val="004D1560"/>
    <w:rsid w:val="004D724C"/>
    <w:rsid w:val="004E09A3"/>
    <w:rsid w:val="004E393A"/>
    <w:rsid w:val="004E6C6F"/>
    <w:rsid w:val="004F0DD7"/>
    <w:rsid w:val="004F2248"/>
    <w:rsid w:val="0050273E"/>
    <w:rsid w:val="0050375A"/>
    <w:rsid w:val="00504C26"/>
    <w:rsid w:val="00505006"/>
    <w:rsid w:val="005077E0"/>
    <w:rsid w:val="00510847"/>
    <w:rsid w:val="0051190A"/>
    <w:rsid w:val="005156B1"/>
    <w:rsid w:val="00517C6C"/>
    <w:rsid w:val="00520ADF"/>
    <w:rsid w:val="00524003"/>
    <w:rsid w:val="00533F7F"/>
    <w:rsid w:val="0053435B"/>
    <w:rsid w:val="00534560"/>
    <w:rsid w:val="0053620A"/>
    <w:rsid w:val="0054202E"/>
    <w:rsid w:val="005429A6"/>
    <w:rsid w:val="00550B05"/>
    <w:rsid w:val="00553E31"/>
    <w:rsid w:val="00556678"/>
    <w:rsid w:val="005569A7"/>
    <w:rsid w:val="00561839"/>
    <w:rsid w:val="005619A2"/>
    <w:rsid w:val="00566EE6"/>
    <w:rsid w:val="00572D74"/>
    <w:rsid w:val="00573686"/>
    <w:rsid w:val="0057447A"/>
    <w:rsid w:val="00576727"/>
    <w:rsid w:val="00580D28"/>
    <w:rsid w:val="00581534"/>
    <w:rsid w:val="00583D7A"/>
    <w:rsid w:val="00585E69"/>
    <w:rsid w:val="00587450"/>
    <w:rsid w:val="00590020"/>
    <w:rsid w:val="00591C3B"/>
    <w:rsid w:val="005958DF"/>
    <w:rsid w:val="005A085F"/>
    <w:rsid w:val="005A22D2"/>
    <w:rsid w:val="005A2643"/>
    <w:rsid w:val="005A3C74"/>
    <w:rsid w:val="005B1358"/>
    <w:rsid w:val="005B53D6"/>
    <w:rsid w:val="005B60DC"/>
    <w:rsid w:val="005C0290"/>
    <w:rsid w:val="005C0A41"/>
    <w:rsid w:val="005C291B"/>
    <w:rsid w:val="005C2B42"/>
    <w:rsid w:val="005D0C00"/>
    <w:rsid w:val="005D7538"/>
    <w:rsid w:val="005D790B"/>
    <w:rsid w:val="005E0E6D"/>
    <w:rsid w:val="005E0F09"/>
    <w:rsid w:val="005E124C"/>
    <w:rsid w:val="005E187C"/>
    <w:rsid w:val="005E269A"/>
    <w:rsid w:val="005E31E5"/>
    <w:rsid w:val="005E4486"/>
    <w:rsid w:val="005E76DE"/>
    <w:rsid w:val="005F6C70"/>
    <w:rsid w:val="00600E67"/>
    <w:rsid w:val="00602218"/>
    <w:rsid w:val="0060569D"/>
    <w:rsid w:val="00607F3F"/>
    <w:rsid w:val="00607FC5"/>
    <w:rsid w:val="00613B79"/>
    <w:rsid w:val="00614606"/>
    <w:rsid w:val="00614A4E"/>
    <w:rsid w:val="00622967"/>
    <w:rsid w:val="00623326"/>
    <w:rsid w:val="00626746"/>
    <w:rsid w:val="006270C5"/>
    <w:rsid w:val="006272BB"/>
    <w:rsid w:val="006302A4"/>
    <w:rsid w:val="00630530"/>
    <w:rsid w:val="0063147C"/>
    <w:rsid w:val="0063641C"/>
    <w:rsid w:val="006402E5"/>
    <w:rsid w:val="00641EF5"/>
    <w:rsid w:val="006429C0"/>
    <w:rsid w:val="006432F9"/>
    <w:rsid w:val="00644420"/>
    <w:rsid w:val="00644EFF"/>
    <w:rsid w:val="00646440"/>
    <w:rsid w:val="00650715"/>
    <w:rsid w:val="00650B43"/>
    <w:rsid w:val="00651084"/>
    <w:rsid w:val="006524D1"/>
    <w:rsid w:val="0065476D"/>
    <w:rsid w:val="00655536"/>
    <w:rsid w:val="00655C42"/>
    <w:rsid w:val="006565D7"/>
    <w:rsid w:val="00657B9B"/>
    <w:rsid w:val="00661ABF"/>
    <w:rsid w:val="0066460A"/>
    <w:rsid w:val="00664BFA"/>
    <w:rsid w:val="00664FBC"/>
    <w:rsid w:val="00665B46"/>
    <w:rsid w:val="00667BEF"/>
    <w:rsid w:val="00676434"/>
    <w:rsid w:val="00676778"/>
    <w:rsid w:val="006772E1"/>
    <w:rsid w:val="006816EE"/>
    <w:rsid w:val="006819D1"/>
    <w:rsid w:val="00692EF9"/>
    <w:rsid w:val="00693B1C"/>
    <w:rsid w:val="00693C8C"/>
    <w:rsid w:val="006951E8"/>
    <w:rsid w:val="0069701B"/>
    <w:rsid w:val="006A1427"/>
    <w:rsid w:val="006A28BF"/>
    <w:rsid w:val="006A2BB5"/>
    <w:rsid w:val="006A3499"/>
    <w:rsid w:val="006A3518"/>
    <w:rsid w:val="006A3584"/>
    <w:rsid w:val="006A44FC"/>
    <w:rsid w:val="006A4D53"/>
    <w:rsid w:val="006A5381"/>
    <w:rsid w:val="006A7A10"/>
    <w:rsid w:val="006B087B"/>
    <w:rsid w:val="006B353C"/>
    <w:rsid w:val="006B44A6"/>
    <w:rsid w:val="006B4A77"/>
    <w:rsid w:val="006C20F3"/>
    <w:rsid w:val="006C4CC4"/>
    <w:rsid w:val="006C58A0"/>
    <w:rsid w:val="006C6054"/>
    <w:rsid w:val="006C7290"/>
    <w:rsid w:val="006C7DE0"/>
    <w:rsid w:val="006D13FB"/>
    <w:rsid w:val="006D290D"/>
    <w:rsid w:val="006D3F50"/>
    <w:rsid w:val="006D54CD"/>
    <w:rsid w:val="006D5635"/>
    <w:rsid w:val="006D6039"/>
    <w:rsid w:val="006D6611"/>
    <w:rsid w:val="006D6692"/>
    <w:rsid w:val="006E2A17"/>
    <w:rsid w:val="006E3AC9"/>
    <w:rsid w:val="006E410E"/>
    <w:rsid w:val="006F6344"/>
    <w:rsid w:val="006F66CE"/>
    <w:rsid w:val="007004DC"/>
    <w:rsid w:val="00701AFF"/>
    <w:rsid w:val="00701C53"/>
    <w:rsid w:val="007037D8"/>
    <w:rsid w:val="0070588F"/>
    <w:rsid w:val="00710E68"/>
    <w:rsid w:val="00711BED"/>
    <w:rsid w:val="00712E8D"/>
    <w:rsid w:val="00714925"/>
    <w:rsid w:val="00715F88"/>
    <w:rsid w:val="00724684"/>
    <w:rsid w:val="007250D4"/>
    <w:rsid w:val="00726868"/>
    <w:rsid w:val="00731A60"/>
    <w:rsid w:val="007324D7"/>
    <w:rsid w:val="00733FD9"/>
    <w:rsid w:val="00734FB5"/>
    <w:rsid w:val="00737137"/>
    <w:rsid w:val="00737A1E"/>
    <w:rsid w:val="00737E9D"/>
    <w:rsid w:val="00740DD9"/>
    <w:rsid w:val="007413D7"/>
    <w:rsid w:val="007421F2"/>
    <w:rsid w:val="007433DB"/>
    <w:rsid w:val="007463FB"/>
    <w:rsid w:val="00754EC6"/>
    <w:rsid w:val="00762967"/>
    <w:rsid w:val="00763BD3"/>
    <w:rsid w:val="0076693D"/>
    <w:rsid w:val="00766FDB"/>
    <w:rsid w:val="007709E5"/>
    <w:rsid w:val="00771B5D"/>
    <w:rsid w:val="00773D2F"/>
    <w:rsid w:val="007752AF"/>
    <w:rsid w:val="0078097E"/>
    <w:rsid w:val="00781D81"/>
    <w:rsid w:val="0078392E"/>
    <w:rsid w:val="00783FD5"/>
    <w:rsid w:val="007862E5"/>
    <w:rsid w:val="00787019"/>
    <w:rsid w:val="00790E61"/>
    <w:rsid w:val="00797FF9"/>
    <w:rsid w:val="007A514D"/>
    <w:rsid w:val="007A7742"/>
    <w:rsid w:val="007B3420"/>
    <w:rsid w:val="007B500D"/>
    <w:rsid w:val="007B7B86"/>
    <w:rsid w:val="007C22A7"/>
    <w:rsid w:val="007C462B"/>
    <w:rsid w:val="007C6035"/>
    <w:rsid w:val="007C6262"/>
    <w:rsid w:val="007D0965"/>
    <w:rsid w:val="007D0DF8"/>
    <w:rsid w:val="007D403A"/>
    <w:rsid w:val="007D55C0"/>
    <w:rsid w:val="007D61EB"/>
    <w:rsid w:val="007E35FA"/>
    <w:rsid w:val="007E48D1"/>
    <w:rsid w:val="007E4DD0"/>
    <w:rsid w:val="007E6033"/>
    <w:rsid w:val="007E71B2"/>
    <w:rsid w:val="007F1223"/>
    <w:rsid w:val="007F1EFE"/>
    <w:rsid w:val="007F31FE"/>
    <w:rsid w:val="007F6E24"/>
    <w:rsid w:val="007F7146"/>
    <w:rsid w:val="007F79A8"/>
    <w:rsid w:val="007F7D4C"/>
    <w:rsid w:val="00801079"/>
    <w:rsid w:val="00804F00"/>
    <w:rsid w:val="008055DB"/>
    <w:rsid w:val="0081627C"/>
    <w:rsid w:val="008260DF"/>
    <w:rsid w:val="008275D9"/>
    <w:rsid w:val="0083122F"/>
    <w:rsid w:val="00831733"/>
    <w:rsid w:val="00832BAA"/>
    <w:rsid w:val="00833729"/>
    <w:rsid w:val="0083745E"/>
    <w:rsid w:val="00844376"/>
    <w:rsid w:val="00844A35"/>
    <w:rsid w:val="008464D1"/>
    <w:rsid w:val="00846E89"/>
    <w:rsid w:val="0085228D"/>
    <w:rsid w:val="00853CEC"/>
    <w:rsid w:val="00855322"/>
    <w:rsid w:val="008562FC"/>
    <w:rsid w:val="00860DFD"/>
    <w:rsid w:val="008615E6"/>
    <w:rsid w:val="00865987"/>
    <w:rsid w:val="008665DA"/>
    <w:rsid w:val="00870D80"/>
    <w:rsid w:val="0087437C"/>
    <w:rsid w:val="00881EF6"/>
    <w:rsid w:val="00883531"/>
    <w:rsid w:val="00890ABC"/>
    <w:rsid w:val="008917E8"/>
    <w:rsid w:val="0089575F"/>
    <w:rsid w:val="008A1885"/>
    <w:rsid w:val="008A2934"/>
    <w:rsid w:val="008A378E"/>
    <w:rsid w:val="008A5ED0"/>
    <w:rsid w:val="008A63F5"/>
    <w:rsid w:val="008A700A"/>
    <w:rsid w:val="008A7F2C"/>
    <w:rsid w:val="008B0ABD"/>
    <w:rsid w:val="008B2004"/>
    <w:rsid w:val="008B5087"/>
    <w:rsid w:val="008B61DE"/>
    <w:rsid w:val="008B6F50"/>
    <w:rsid w:val="008C25A1"/>
    <w:rsid w:val="008C56D0"/>
    <w:rsid w:val="008C7F1B"/>
    <w:rsid w:val="008D1E00"/>
    <w:rsid w:val="008D49D9"/>
    <w:rsid w:val="008D52A3"/>
    <w:rsid w:val="008D76D7"/>
    <w:rsid w:val="008E42D5"/>
    <w:rsid w:val="008E59CB"/>
    <w:rsid w:val="008F2E50"/>
    <w:rsid w:val="008F4929"/>
    <w:rsid w:val="008F5E95"/>
    <w:rsid w:val="00900665"/>
    <w:rsid w:val="00901BFA"/>
    <w:rsid w:val="00903240"/>
    <w:rsid w:val="0090431F"/>
    <w:rsid w:val="00912866"/>
    <w:rsid w:val="00913638"/>
    <w:rsid w:val="0091510E"/>
    <w:rsid w:val="00915B24"/>
    <w:rsid w:val="0091707A"/>
    <w:rsid w:val="00926898"/>
    <w:rsid w:val="00926A7E"/>
    <w:rsid w:val="00927538"/>
    <w:rsid w:val="009279D6"/>
    <w:rsid w:val="00932469"/>
    <w:rsid w:val="00932B78"/>
    <w:rsid w:val="00934476"/>
    <w:rsid w:val="00935D6D"/>
    <w:rsid w:val="009413B4"/>
    <w:rsid w:val="00941A7E"/>
    <w:rsid w:val="00942C54"/>
    <w:rsid w:val="0094300C"/>
    <w:rsid w:val="0094587A"/>
    <w:rsid w:val="00945DF1"/>
    <w:rsid w:val="009505B4"/>
    <w:rsid w:val="0095512C"/>
    <w:rsid w:val="009578DA"/>
    <w:rsid w:val="0096120A"/>
    <w:rsid w:val="00963E56"/>
    <w:rsid w:val="0096400B"/>
    <w:rsid w:val="00965123"/>
    <w:rsid w:val="00967791"/>
    <w:rsid w:val="009708A9"/>
    <w:rsid w:val="009747C5"/>
    <w:rsid w:val="009747C9"/>
    <w:rsid w:val="009750BD"/>
    <w:rsid w:val="00976C44"/>
    <w:rsid w:val="00980AA6"/>
    <w:rsid w:val="009838B0"/>
    <w:rsid w:val="00990554"/>
    <w:rsid w:val="00990AB6"/>
    <w:rsid w:val="009914D2"/>
    <w:rsid w:val="00991D21"/>
    <w:rsid w:val="009973CA"/>
    <w:rsid w:val="00997935"/>
    <w:rsid w:val="009A09E3"/>
    <w:rsid w:val="009A1166"/>
    <w:rsid w:val="009A2556"/>
    <w:rsid w:val="009A30BF"/>
    <w:rsid w:val="009A333D"/>
    <w:rsid w:val="009A4163"/>
    <w:rsid w:val="009A7DFF"/>
    <w:rsid w:val="009B2214"/>
    <w:rsid w:val="009B35B7"/>
    <w:rsid w:val="009B446F"/>
    <w:rsid w:val="009B780C"/>
    <w:rsid w:val="009B796C"/>
    <w:rsid w:val="009B7BE4"/>
    <w:rsid w:val="009C0829"/>
    <w:rsid w:val="009C1852"/>
    <w:rsid w:val="009C23AD"/>
    <w:rsid w:val="009C33CE"/>
    <w:rsid w:val="009C5763"/>
    <w:rsid w:val="009C576E"/>
    <w:rsid w:val="009C5819"/>
    <w:rsid w:val="009C68DC"/>
    <w:rsid w:val="009C7415"/>
    <w:rsid w:val="009D1158"/>
    <w:rsid w:val="009D4AC1"/>
    <w:rsid w:val="009D6BB3"/>
    <w:rsid w:val="009E227A"/>
    <w:rsid w:val="009E49A4"/>
    <w:rsid w:val="009E6B8D"/>
    <w:rsid w:val="009F128D"/>
    <w:rsid w:val="009F150A"/>
    <w:rsid w:val="009F27E4"/>
    <w:rsid w:val="009F32F5"/>
    <w:rsid w:val="00A04475"/>
    <w:rsid w:val="00A06D1C"/>
    <w:rsid w:val="00A07BBD"/>
    <w:rsid w:val="00A1091E"/>
    <w:rsid w:val="00A1187B"/>
    <w:rsid w:val="00A12BD4"/>
    <w:rsid w:val="00A130AF"/>
    <w:rsid w:val="00A1377F"/>
    <w:rsid w:val="00A1490A"/>
    <w:rsid w:val="00A15478"/>
    <w:rsid w:val="00A164F5"/>
    <w:rsid w:val="00A20392"/>
    <w:rsid w:val="00A257E9"/>
    <w:rsid w:val="00A2791A"/>
    <w:rsid w:val="00A32DA8"/>
    <w:rsid w:val="00A340C6"/>
    <w:rsid w:val="00A37A0D"/>
    <w:rsid w:val="00A400BD"/>
    <w:rsid w:val="00A463F3"/>
    <w:rsid w:val="00A51C5C"/>
    <w:rsid w:val="00A55FD6"/>
    <w:rsid w:val="00A56E23"/>
    <w:rsid w:val="00A61B29"/>
    <w:rsid w:val="00A62D42"/>
    <w:rsid w:val="00A75B37"/>
    <w:rsid w:val="00A76BFE"/>
    <w:rsid w:val="00A770B2"/>
    <w:rsid w:val="00A80D0A"/>
    <w:rsid w:val="00A83123"/>
    <w:rsid w:val="00A836E7"/>
    <w:rsid w:val="00A96BEF"/>
    <w:rsid w:val="00AA1F6A"/>
    <w:rsid w:val="00AA20B6"/>
    <w:rsid w:val="00AA5689"/>
    <w:rsid w:val="00AB08B0"/>
    <w:rsid w:val="00AB3BD5"/>
    <w:rsid w:val="00AB5646"/>
    <w:rsid w:val="00AB6546"/>
    <w:rsid w:val="00AC076E"/>
    <w:rsid w:val="00AC19E7"/>
    <w:rsid w:val="00AC355C"/>
    <w:rsid w:val="00AC4F60"/>
    <w:rsid w:val="00AC5DB7"/>
    <w:rsid w:val="00AC6961"/>
    <w:rsid w:val="00AC7636"/>
    <w:rsid w:val="00AD37C2"/>
    <w:rsid w:val="00AD5112"/>
    <w:rsid w:val="00AD69C8"/>
    <w:rsid w:val="00AE4521"/>
    <w:rsid w:val="00AE4799"/>
    <w:rsid w:val="00AE5AC3"/>
    <w:rsid w:val="00AE7E6D"/>
    <w:rsid w:val="00AF2934"/>
    <w:rsid w:val="00AF355F"/>
    <w:rsid w:val="00AF5DC6"/>
    <w:rsid w:val="00AF5E37"/>
    <w:rsid w:val="00B00373"/>
    <w:rsid w:val="00B00E02"/>
    <w:rsid w:val="00B02250"/>
    <w:rsid w:val="00B03E77"/>
    <w:rsid w:val="00B04F05"/>
    <w:rsid w:val="00B0505C"/>
    <w:rsid w:val="00B07AE1"/>
    <w:rsid w:val="00B122F9"/>
    <w:rsid w:val="00B14052"/>
    <w:rsid w:val="00B273F4"/>
    <w:rsid w:val="00B30532"/>
    <w:rsid w:val="00B315FB"/>
    <w:rsid w:val="00B316ED"/>
    <w:rsid w:val="00B34E18"/>
    <w:rsid w:val="00B36087"/>
    <w:rsid w:val="00B527F2"/>
    <w:rsid w:val="00B65A08"/>
    <w:rsid w:val="00B661D3"/>
    <w:rsid w:val="00B66AC8"/>
    <w:rsid w:val="00B67E8E"/>
    <w:rsid w:val="00B67F20"/>
    <w:rsid w:val="00B7273B"/>
    <w:rsid w:val="00B72F9B"/>
    <w:rsid w:val="00B746FA"/>
    <w:rsid w:val="00B75DC4"/>
    <w:rsid w:val="00B8246F"/>
    <w:rsid w:val="00B831A3"/>
    <w:rsid w:val="00B95D2F"/>
    <w:rsid w:val="00B96D68"/>
    <w:rsid w:val="00B97710"/>
    <w:rsid w:val="00BA0C3E"/>
    <w:rsid w:val="00BA11B9"/>
    <w:rsid w:val="00BA4990"/>
    <w:rsid w:val="00BA6D98"/>
    <w:rsid w:val="00BA7502"/>
    <w:rsid w:val="00BA7B34"/>
    <w:rsid w:val="00BB1777"/>
    <w:rsid w:val="00BB2287"/>
    <w:rsid w:val="00BB243C"/>
    <w:rsid w:val="00BC1AB9"/>
    <w:rsid w:val="00BC4E5C"/>
    <w:rsid w:val="00BC541F"/>
    <w:rsid w:val="00BC5B32"/>
    <w:rsid w:val="00BC5B52"/>
    <w:rsid w:val="00BC64AE"/>
    <w:rsid w:val="00BD2A5C"/>
    <w:rsid w:val="00BD3107"/>
    <w:rsid w:val="00BD3457"/>
    <w:rsid w:val="00BD3892"/>
    <w:rsid w:val="00BD67AC"/>
    <w:rsid w:val="00BD72A2"/>
    <w:rsid w:val="00BE22C2"/>
    <w:rsid w:val="00BE66A4"/>
    <w:rsid w:val="00BE74B1"/>
    <w:rsid w:val="00BF0AB5"/>
    <w:rsid w:val="00BF2C6D"/>
    <w:rsid w:val="00BF41E6"/>
    <w:rsid w:val="00BF5DEA"/>
    <w:rsid w:val="00BF678C"/>
    <w:rsid w:val="00C01B5B"/>
    <w:rsid w:val="00C05E85"/>
    <w:rsid w:val="00C066B1"/>
    <w:rsid w:val="00C068C7"/>
    <w:rsid w:val="00C107A5"/>
    <w:rsid w:val="00C12007"/>
    <w:rsid w:val="00C201B9"/>
    <w:rsid w:val="00C20E04"/>
    <w:rsid w:val="00C22E96"/>
    <w:rsid w:val="00C25B95"/>
    <w:rsid w:val="00C26F57"/>
    <w:rsid w:val="00C3167B"/>
    <w:rsid w:val="00C33594"/>
    <w:rsid w:val="00C348CC"/>
    <w:rsid w:val="00C3542D"/>
    <w:rsid w:val="00C41BEA"/>
    <w:rsid w:val="00C41C7A"/>
    <w:rsid w:val="00C41EB6"/>
    <w:rsid w:val="00C42539"/>
    <w:rsid w:val="00C5275E"/>
    <w:rsid w:val="00C612AD"/>
    <w:rsid w:val="00C614E6"/>
    <w:rsid w:val="00C620C1"/>
    <w:rsid w:val="00C63187"/>
    <w:rsid w:val="00C63E1B"/>
    <w:rsid w:val="00C666BD"/>
    <w:rsid w:val="00C66ACD"/>
    <w:rsid w:val="00C74473"/>
    <w:rsid w:val="00C74E96"/>
    <w:rsid w:val="00C75590"/>
    <w:rsid w:val="00C8113D"/>
    <w:rsid w:val="00C82C1B"/>
    <w:rsid w:val="00C84391"/>
    <w:rsid w:val="00C91F6B"/>
    <w:rsid w:val="00C9417E"/>
    <w:rsid w:val="00CA13D3"/>
    <w:rsid w:val="00CA7085"/>
    <w:rsid w:val="00CB028B"/>
    <w:rsid w:val="00CB040C"/>
    <w:rsid w:val="00CB1CFD"/>
    <w:rsid w:val="00CB3AEC"/>
    <w:rsid w:val="00CB6674"/>
    <w:rsid w:val="00CB6750"/>
    <w:rsid w:val="00CC7E7C"/>
    <w:rsid w:val="00CD42E7"/>
    <w:rsid w:val="00CD581F"/>
    <w:rsid w:val="00CD5996"/>
    <w:rsid w:val="00CD65E8"/>
    <w:rsid w:val="00CD7018"/>
    <w:rsid w:val="00CD7D6A"/>
    <w:rsid w:val="00CD7DD4"/>
    <w:rsid w:val="00CE0953"/>
    <w:rsid w:val="00CE17C5"/>
    <w:rsid w:val="00CE7821"/>
    <w:rsid w:val="00CF18A2"/>
    <w:rsid w:val="00CF205D"/>
    <w:rsid w:val="00CF24FC"/>
    <w:rsid w:val="00CF2E5F"/>
    <w:rsid w:val="00CF5DFC"/>
    <w:rsid w:val="00D019DA"/>
    <w:rsid w:val="00D024E5"/>
    <w:rsid w:val="00D02FBB"/>
    <w:rsid w:val="00D048B3"/>
    <w:rsid w:val="00D104FE"/>
    <w:rsid w:val="00D12B36"/>
    <w:rsid w:val="00D136CB"/>
    <w:rsid w:val="00D15A6E"/>
    <w:rsid w:val="00D16B23"/>
    <w:rsid w:val="00D16B5F"/>
    <w:rsid w:val="00D16D97"/>
    <w:rsid w:val="00D17A76"/>
    <w:rsid w:val="00D21727"/>
    <w:rsid w:val="00D22B81"/>
    <w:rsid w:val="00D23403"/>
    <w:rsid w:val="00D243A2"/>
    <w:rsid w:val="00D24AAE"/>
    <w:rsid w:val="00D25A7A"/>
    <w:rsid w:val="00D25D70"/>
    <w:rsid w:val="00D2786E"/>
    <w:rsid w:val="00D30E0B"/>
    <w:rsid w:val="00D33AFC"/>
    <w:rsid w:val="00D33F58"/>
    <w:rsid w:val="00D35F94"/>
    <w:rsid w:val="00D36263"/>
    <w:rsid w:val="00D4253C"/>
    <w:rsid w:val="00D4302C"/>
    <w:rsid w:val="00D45D62"/>
    <w:rsid w:val="00D5056C"/>
    <w:rsid w:val="00D61029"/>
    <w:rsid w:val="00D637B6"/>
    <w:rsid w:val="00D64E26"/>
    <w:rsid w:val="00D744BF"/>
    <w:rsid w:val="00D8095F"/>
    <w:rsid w:val="00D837B0"/>
    <w:rsid w:val="00D852D9"/>
    <w:rsid w:val="00D90362"/>
    <w:rsid w:val="00D90953"/>
    <w:rsid w:val="00D9591E"/>
    <w:rsid w:val="00DA0760"/>
    <w:rsid w:val="00DA1601"/>
    <w:rsid w:val="00DA5501"/>
    <w:rsid w:val="00DA5BDD"/>
    <w:rsid w:val="00DA7189"/>
    <w:rsid w:val="00DB1298"/>
    <w:rsid w:val="00DB13C5"/>
    <w:rsid w:val="00DB15D5"/>
    <w:rsid w:val="00DB27E5"/>
    <w:rsid w:val="00DB4EB0"/>
    <w:rsid w:val="00DB7A56"/>
    <w:rsid w:val="00DC042B"/>
    <w:rsid w:val="00DC36B8"/>
    <w:rsid w:val="00DC5BE4"/>
    <w:rsid w:val="00DD0013"/>
    <w:rsid w:val="00DE0AC9"/>
    <w:rsid w:val="00DE0EB0"/>
    <w:rsid w:val="00DE13C0"/>
    <w:rsid w:val="00DE23A0"/>
    <w:rsid w:val="00DE3D67"/>
    <w:rsid w:val="00DE5E2E"/>
    <w:rsid w:val="00DE67F7"/>
    <w:rsid w:val="00DF147A"/>
    <w:rsid w:val="00DF320A"/>
    <w:rsid w:val="00E02A04"/>
    <w:rsid w:val="00E04F01"/>
    <w:rsid w:val="00E05E7D"/>
    <w:rsid w:val="00E108E1"/>
    <w:rsid w:val="00E10DFA"/>
    <w:rsid w:val="00E1262D"/>
    <w:rsid w:val="00E14F5D"/>
    <w:rsid w:val="00E15B43"/>
    <w:rsid w:val="00E16F83"/>
    <w:rsid w:val="00E234F3"/>
    <w:rsid w:val="00E26626"/>
    <w:rsid w:val="00E2762E"/>
    <w:rsid w:val="00E32170"/>
    <w:rsid w:val="00E35C5E"/>
    <w:rsid w:val="00E35F29"/>
    <w:rsid w:val="00E407F0"/>
    <w:rsid w:val="00E44924"/>
    <w:rsid w:val="00E467B8"/>
    <w:rsid w:val="00E468E2"/>
    <w:rsid w:val="00E50D81"/>
    <w:rsid w:val="00E52459"/>
    <w:rsid w:val="00E557FB"/>
    <w:rsid w:val="00E63ED9"/>
    <w:rsid w:val="00E65A69"/>
    <w:rsid w:val="00E814E9"/>
    <w:rsid w:val="00E8782A"/>
    <w:rsid w:val="00E922F5"/>
    <w:rsid w:val="00E92A7A"/>
    <w:rsid w:val="00EA42F4"/>
    <w:rsid w:val="00EA7544"/>
    <w:rsid w:val="00EA7C6A"/>
    <w:rsid w:val="00EB086D"/>
    <w:rsid w:val="00EB168D"/>
    <w:rsid w:val="00EB4188"/>
    <w:rsid w:val="00EB492A"/>
    <w:rsid w:val="00EB4969"/>
    <w:rsid w:val="00EB6424"/>
    <w:rsid w:val="00EC20D1"/>
    <w:rsid w:val="00EC2127"/>
    <w:rsid w:val="00EC24C6"/>
    <w:rsid w:val="00EC7756"/>
    <w:rsid w:val="00EC7B70"/>
    <w:rsid w:val="00ED1BCA"/>
    <w:rsid w:val="00ED22D3"/>
    <w:rsid w:val="00ED52AF"/>
    <w:rsid w:val="00ED6FE5"/>
    <w:rsid w:val="00EE0C62"/>
    <w:rsid w:val="00EE248C"/>
    <w:rsid w:val="00EE7B02"/>
    <w:rsid w:val="00EF0617"/>
    <w:rsid w:val="00EF09B9"/>
    <w:rsid w:val="00F0169A"/>
    <w:rsid w:val="00F01C80"/>
    <w:rsid w:val="00F01DDC"/>
    <w:rsid w:val="00F03680"/>
    <w:rsid w:val="00F06496"/>
    <w:rsid w:val="00F06D1D"/>
    <w:rsid w:val="00F10324"/>
    <w:rsid w:val="00F104C5"/>
    <w:rsid w:val="00F11552"/>
    <w:rsid w:val="00F143CD"/>
    <w:rsid w:val="00F15CD9"/>
    <w:rsid w:val="00F1617E"/>
    <w:rsid w:val="00F165F0"/>
    <w:rsid w:val="00F252CD"/>
    <w:rsid w:val="00F27EE9"/>
    <w:rsid w:val="00F31AD0"/>
    <w:rsid w:val="00F33FB7"/>
    <w:rsid w:val="00F34602"/>
    <w:rsid w:val="00F35009"/>
    <w:rsid w:val="00F35047"/>
    <w:rsid w:val="00F36A94"/>
    <w:rsid w:val="00F37343"/>
    <w:rsid w:val="00F42BDE"/>
    <w:rsid w:val="00F42DE2"/>
    <w:rsid w:val="00F434FD"/>
    <w:rsid w:val="00F4756E"/>
    <w:rsid w:val="00F47FA2"/>
    <w:rsid w:val="00F532A5"/>
    <w:rsid w:val="00F53827"/>
    <w:rsid w:val="00F55FEC"/>
    <w:rsid w:val="00F607FB"/>
    <w:rsid w:val="00F62603"/>
    <w:rsid w:val="00F628C3"/>
    <w:rsid w:val="00F65FBF"/>
    <w:rsid w:val="00F71391"/>
    <w:rsid w:val="00F739C7"/>
    <w:rsid w:val="00F75FE6"/>
    <w:rsid w:val="00F87306"/>
    <w:rsid w:val="00F90AB1"/>
    <w:rsid w:val="00F911A8"/>
    <w:rsid w:val="00F915E0"/>
    <w:rsid w:val="00F91BBA"/>
    <w:rsid w:val="00F926FC"/>
    <w:rsid w:val="00F93D41"/>
    <w:rsid w:val="00F94840"/>
    <w:rsid w:val="00F96DB8"/>
    <w:rsid w:val="00FA1FFD"/>
    <w:rsid w:val="00FA263D"/>
    <w:rsid w:val="00FA3334"/>
    <w:rsid w:val="00FB2205"/>
    <w:rsid w:val="00FB2BEB"/>
    <w:rsid w:val="00FB7F7F"/>
    <w:rsid w:val="00FC22A1"/>
    <w:rsid w:val="00FC33DE"/>
    <w:rsid w:val="00FC3F9F"/>
    <w:rsid w:val="00FC613D"/>
    <w:rsid w:val="00FD096B"/>
    <w:rsid w:val="00FD1DEB"/>
    <w:rsid w:val="00FD6BCC"/>
    <w:rsid w:val="00FD7190"/>
    <w:rsid w:val="00FE3443"/>
    <w:rsid w:val="00FF25ED"/>
    <w:rsid w:val="00FF4963"/>
    <w:rsid w:val="00FF57C1"/>
    <w:rsid w:val="00FF5A48"/>
    <w:rsid w:val="00FF6EA9"/>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93495"/>
  <w15:docId w15:val="{136A8248-F070-480C-9B1E-7315000B5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標楷體" w:hAnsi="Times New Roman" w:cs="Times New Roman"/>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0"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unhideWhenUsed="1"/>
    <w:lsdException w:name="annotation reference" w:semiHidden="1" w:unhideWhenUsed="1"/>
    <w:lsdException w:name="line number" w:semiHidden="1"/>
    <w:lsdException w:name="page number" w:semiHidden="1" w:uiPriority="0"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unhideWhenUsed="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nhideWhenUsed="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uiPriority="20" w:qFormat="1"/>
    <w:lsdException w:name="Document Map" w:semiHidden="1"/>
    <w:lsdException w:name="Plain Text" w:semiHidden="1" w:uiPriority="0" w:unhideWhenUsed="1"/>
    <w:lsdException w:name="E-mail Signature" w:semiHidden="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65476D"/>
    <w:pPr>
      <w:widowControl w:val="0"/>
    </w:pPr>
  </w:style>
  <w:style w:type="paragraph" w:styleId="2">
    <w:name w:val="heading 2"/>
    <w:basedOn w:val="a"/>
    <w:next w:val="a"/>
    <w:link w:val="20"/>
    <w:semiHidden/>
    <w:qFormat/>
    <w:rsid w:val="00D16B5F"/>
    <w:pPr>
      <w:keepNext/>
      <w:spacing w:line="720" w:lineRule="auto"/>
      <w:outlineLvl w:val="1"/>
    </w:pPr>
    <w:rPr>
      <w:rFonts w:ascii="Arial" w:eastAsia="新細明體"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semiHidden/>
    <w:rsid w:val="005C2B42"/>
    <w:pPr>
      <w:widowControl w:val="0"/>
      <w:autoSpaceDE w:val="0"/>
      <w:autoSpaceDN w:val="0"/>
      <w:adjustRightInd w:val="0"/>
    </w:pPr>
    <w:rPr>
      <w:rFonts w:ascii="標楷體.稈..." w:eastAsia="標楷體.稈..." w:hAnsiTheme="minorHAnsi" w:cs="標楷體.稈..."/>
      <w:color w:val="000000"/>
      <w:kern w:val="0"/>
    </w:rPr>
  </w:style>
  <w:style w:type="paragraph" w:customStyle="1" w:styleId="CM1">
    <w:name w:val="CM1"/>
    <w:basedOn w:val="Default"/>
    <w:next w:val="Default"/>
    <w:uiPriority w:val="99"/>
    <w:semiHidden/>
    <w:rsid w:val="00151810"/>
    <w:pPr>
      <w:spacing w:line="551" w:lineRule="atLeast"/>
    </w:pPr>
    <w:rPr>
      <w:rFonts w:cstheme="minorBidi"/>
      <w:color w:val="auto"/>
    </w:rPr>
  </w:style>
  <w:style w:type="paragraph" w:styleId="a3">
    <w:name w:val="Balloon Text"/>
    <w:basedOn w:val="a"/>
    <w:link w:val="a4"/>
    <w:uiPriority w:val="99"/>
    <w:semiHidden/>
    <w:rsid w:val="008B200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65476D"/>
    <w:rPr>
      <w:rFonts w:asciiTheme="majorHAnsi" w:eastAsiaTheme="majorEastAsia" w:hAnsiTheme="majorHAnsi" w:cstheme="majorBidi"/>
      <w:sz w:val="18"/>
      <w:szCs w:val="18"/>
    </w:rPr>
  </w:style>
  <w:style w:type="paragraph" w:styleId="a5">
    <w:name w:val="header"/>
    <w:aliases w:val="頁首 字元 字元,頁首 字元 字元 字元"/>
    <w:basedOn w:val="a"/>
    <w:link w:val="a6"/>
    <w:uiPriority w:val="99"/>
    <w:semiHidden/>
    <w:rsid w:val="00087D33"/>
    <w:pPr>
      <w:tabs>
        <w:tab w:val="center" w:pos="4153"/>
        <w:tab w:val="right" w:pos="8306"/>
      </w:tabs>
      <w:snapToGrid w:val="0"/>
    </w:pPr>
    <w:rPr>
      <w:sz w:val="20"/>
      <w:szCs w:val="20"/>
    </w:rPr>
  </w:style>
  <w:style w:type="character" w:customStyle="1" w:styleId="a6">
    <w:name w:val="頁首 字元"/>
    <w:aliases w:val="頁首 字元 字元 字元1,頁首 字元 字元 字元 字元"/>
    <w:basedOn w:val="a0"/>
    <w:link w:val="a5"/>
    <w:uiPriority w:val="99"/>
    <w:semiHidden/>
    <w:rsid w:val="0065476D"/>
    <w:rPr>
      <w:sz w:val="20"/>
      <w:szCs w:val="20"/>
    </w:rPr>
  </w:style>
  <w:style w:type="paragraph" w:styleId="a7">
    <w:name w:val="footer"/>
    <w:basedOn w:val="a"/>
    <w:link w:val="a8"/>
    <w:uiPriority w:val="99"/>
    <w:semiHidden/>
    <w:rsid w:val="00087D33"/>
    <w:pPr>
      <w:tabs>
        <w:tab w:val="center" w:pos="4153"/>
        <w:tab w:val="right" w:pos="8306"/>
      </w:tabs>
      <w:snapToGrid w:val="0"/>
    </w:pPr>
    <w:rPr>
      <w:sz w:val="20"/>
      <w:szCs w:val="20"/>
    </w:rPr>
  </w:style>
  <w:style w:type="character" w:customStyle="1" w:styleId="a8">
    <w:name w:val="頁尾 字元"/>
    <w:basedOn w:val="a0"/>
    <w:link w:val="a7"/>
    <w:uiPriority w:val="99"/>
    <w:semiHidden/>
    <w:rsid w:val="0065476D"/>
    <w:rPr>
      <w:sz w:val="20"/>
      <w:szCs w:val="20"/>
    </w:rPr>
  </w:style>
  <w:style w:type="table" w:styleId="a9">
    <w:name w:val="Table Grid"/>
    <w:basedOn w:val="a1"/>
    <w:uiPriority w:val="59"/>
    <w:rsid w:val="00CF2E5F"/>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semiHidden/>
    <w:rsid w:val="00CF2E5F"/>
    <w:pPr>
      <w:snapToGrid w:val="0"/>
    </w:pPr>
    <w:rPr>
      <w:kern w:val="0"/>
      <w:sz w:val="20"/>
      <w:szCs w:val="20"/>
    </w:rPr>
  </w:style>
  <w:style w:type="character" w:customStyle="1" w:styleId="ab">
    <w:name w:val="註腳文字 字元"/>
    <w:basedOn w:val="a0"/>
    <w:link w:val="aa"/>
    <w:uiPriority w:val="99"/>
    <w:semiHidden/>
    <w:rsid w:val="0065476D"/>
    <w:rPr>
      <w:kern w:val="0"/>
      <w:sz w:val="20"/>
      <w:szCs w:val="20"/>
    </w:rPr>
  </w:style>
  <w:style w:type="character" w:styleId="ac">
    <w:name w:val="footnote reference"/>
    <w:basedOn w:val="a0"/>
    <w:uiPriority w:val="99"/>
    <w:semiHidden/>
    <w:rsid w:val="00CF2E5F"/>
    <w:rPr>
      <w:vertAlign w:val="superscript"/>
    </w:rPr>
  </w:style>
  <w:style w:type="paragraph" w:customStyle="1" w:styleId="ad">
    <w:name w:val="甲篇內文"/>
    <w:basedOn w:val="a"/>
    <w:link w:val="21"/>
    <w:semiHidden/>
    <w:qFormat/>
    <w:rsid w:val="00CF2E5F"/>
    <w:pPr>
      <w:spacing w:line="460" w:lineRule="exact"/>
      <w:ind w:firstLineChars="200" w:firstLine="200"/>
      <w:jc w:val="both"/>
    </w:pPr>
    <w:rPr>
      <w:rFonts w:ascii="標楷體"/>
      <w:sz w:val="28"/>
      <w:szCs w:val="28"/>
    </w:rPr>
  </w:style>
  <w:style w:type="character" w:customStyle="1" w:styleId="21">
    <w:name w:val="甲篇內文 字元2"/>
    <w:basedOn w:val="a0"/>
    <w:link w:val="ad"/>
    <w:semiHidden/>
    <w:rsid w:val="006E3AC9"/>
    <w:rPr>
      <w:rFonts w:ascii="標楷體"/>
      <w:sz w:val="28"/>
      <w:szCs w:val="28"/>
    </w:rPr>
  </w:style>
  <w:style w:type="paragraph" w:customStyle="1" w:styleId="ae">
    <w:name w:val="標題壹、"/>
    <w:basedOn w:val="af"/>
    <w:link w:val="af0"/>
    <w:semiHidden/>
    <w:rsid w:val="00CF2E5F"/>
    <w:pPr>
      <w:spacing w:beforeLines="0" w:line="360" w:lineRule="auto"/>
      <w:jc w:val="both"/>
    </w:pPr>
    <w:rPr>
      <w:sz w:val="36"/>
      <w:szCs w:val="36"/>
    </w:rPr>
  </w:style>
  <w:style w:type="paragraph" w:customStyle="1" w:styleId="af">
    <w:name w:val="標題甲、"/>
    <w:basedOn w:val="a"/>
    <w:semiHidden/>
    <w:rsid w:val="00CF2E5F"/>
    <w:pPr>
      <w:spacing w:beforeLines="50"/>
      <w:jc w:val="center"/>
    </w:pPr>
    <w:rPr>
      <w:rFonts w:cs="新細明體"/>
      <w:b/>
      <w:bCs/>
      <w:sz w:val="40"/>
      <w:szCs w:val="20"/>
    </w:rPr>
  </w:style>
  <w:style w:type="character" w:customStyle="1" w:styleId="af0">
    <w:name w:val="標題壹、 字元"/>
    <w:link w:val="ae"/>
    <w:semiHidden/>
    <w:rsid w:val="006E3AC9"/>
    <w:rPr>
      <w:rFonts w:cs="新細明體"/>
      <w:b/>
      <w:bCs/>
      <w:sz w:val="36"/>
      <w:szCs w:val="36"/>
    </w:rPr>
  </w:style>
  <w:style w:type="paragraph" w:styleId="Web">
    <w:name w:val="Normal (Web)"/>
    <w:basedOn w:val="a"/>
    <w:uiPriority w:val="99"/>
    <w:semiHidden/>
    <w:rsid w:val="00F37343"/>
    <w:pPr>
      <w:widowControl/>
      <w:spacing w:before="100" w:beforeAutospacing="1" w:after="100" w:afterAutospacing="1"/>
    </w:pPr>
    <w:rPr>
      <w:rFonts w:ascii="新細明體" w:eastAsia="新細明體" w:hAnsi="新細明體" w:cs="新細明體"/>
      <w:kern w:val="0"/>
    </w:rPr>
  </w:style>
  <w:style w:type="character" w:customStyle="1" w:styleId="20">
    <w:name w:val="標題 2 字元"/>
    <w:basedOn w:val="a0"/>
    <w:link w:val="2"/>
    <w:semiHidden/>
    <w:rsid w:val="006E3AC9"/>
    <w:rPr>
      <w:rFonts w:ascii="Arial" w:eastAsia="新細明體" w:hAnsi="Arial"/>
      <w:b/>
      <w:bCs/>
      <w:sz w:val="48"/>
      <w:szCs w:val="48"/>
    </w:rPr>
  </w:style>
  <w:style w:type="paragraph" w:customStyle="1" w:styleId="af1">
    <w:name w:val="(一)"/>
    <w:link w:val="af2"/>
    <w:semiHidden/>
    <w:qFormat/>
    <w:rsid w:val="00D16B5F"/>
    <w:pPr>
      <w:widowControl w:val="0"/>
      <w:kinsoku w:val="0"/>
      <w:overflowPunct w:val="0"/>
      <w:autoSpaceDE w:val="0"/>
      <w:autoSpaceDN w:val="0"/>
      <w:adjustRightInd w:val="0"/>
      <w:snapToGrid w:val="0"/>
      <w:spacing w:line="360" w:lineRule="auto"/>
      <w:ind w:leftChars="200" w:left="200"/>
      <w:jc w:val="both"/>
    </w:pPr>
    <w:rPr>
      <w:rFonts w:ascii="標楷體"/>
      <w:b/>
      <w:bCs/>
      <w:snapToGrid w:val="0"/>
      <w:kern w:val="0"/>
      <w:sz w:val="32"/>
      <w:szCs w:val="20"/>
    </w:rPr>
  </w:style>
  <w:style w:type="paragraph" w:customStyle="1" w:styleId="1">
    <w:name w:val="文1"/>
    <w:semiHidden/>
    <w:rsid w:val="00D16B5F"/>
    <w:pPr>
      <w:widowControl w:val="0"/>
      <w:kinsoku w:val="0"/>
      <w:overflowPunct w:val="0"/>
      <w:autoSpaceDE w:val="0"/>
      <w:autoSpaceDN w:val="0"/>
      <w:adjustRightInd w:val="0"/>
      <w:snapToGrid w:val="0"/>
      <w:spacing w:line="360" w:lineRule="auto"/>
      <w:ind w:firstLineChars="350" w:firstLine="350"/>
      <w:jc w:val="both"/>
    </w:pPr>
    <w:rPr>
      <w:rFonts w:ascii="標楷體"/>
      <w:snapToGrid w:val="0"/>
      <w:kern w:val="0"/>
      <w:sz w:val="32"/>
      <w:szCs w:val="20"/>
    </w:rPr>
  </w:style>
  <w:style w:type="paragraph" w:customStyle="1" w:styleId="af3">
    <w:name w:val="文"/>
    <w:semiHidden/>
    <w:rsid w:val="00D16B5F"/>
    <w:pPr>
      <w:widowControl w:val="0"/>
      <w:kinsoku w:val="0"/>
      <w:overflowPunct w:val="0"/>
      <w:autoSpaceDE w:val="0"/>
      <w:autoSpaceDN w:val="0"/>
      <w:adjustRightInd w:val="0"/>
      <w:snapToGrid w:val="0"/>
      <w:spacing w:line="360" w:lineRule="auto"/>
      <w:ind w:firstLineChars="200" w:firstLine="200"/>
      <w:jc w:val="both"/>
    </w:pPr>
    <w:rPr>
      <w:rFonts w:ascii="標楷體"/>
      <w:snapToGrid w:val="0"/>
      <w:kern w:val="0"/>
      <w:sz w:val="32"/>
      <w:szCs w:val="20"/>
    </w:rPr>
  </w:style>
  <w:style w:type="paragraph" w:customStyle="1" w:styleId="af4">
    <w:name w:val="標題一、"/>
    <w:basedOn w:val="a"/>
    <w:semiHidden/>
    <w:rsid w:val="00D16B5F"/>
    <w:pPr>
      <w:spacing w:beforeLines="20" w:afterLines="20" w:line="400" w:lineRule="exact"/>
      <w:ind w:firstLineChars="100" w:firstLine="100"/>
      <w:jc w:val="both"/>
    </w:pPr>
    <w:rPr>
      <w:rFonts w:cs="新細明體"/>
      <w:b/>
      <w:bCs/>
      <w:sz w:val="32"/>
      <w:szCs w:val="32"/>
    </w:rPr>
  </w:style>
  <w:style w:type="character" w:customStyle="1" w:styleId="af2">
    <w:name w:val="(一) 字元"/>
    <w:basedOn w:val="a0"/>
    <w:link w:val="af1"/>
    <w:semiHidden/>
    <w:rsid w:val="006E3AC9"/>
    <w:rPr>
      <w:rFonts w:ascii="標楷體"/>
      <w:b/>
      <w:bCs/>
      <w:snapToGrid w:val="0"/>
      <w:kern w:val="0"/>
      <w:sz w:val="32"/>
      <w:szCs w:val="20"/>
    </w:rPr>
  </w:style>
  <w:style w:type="paragraph" w:styleId="af5">
    <w:name w:val="List Paragraph"/>
    <w:basedOn w:val="a"/>
    <w:uiPriority w:val="34"/>
    <w:semiHidden/>
    <w:qFormat/>
    <w:rsid w:val="00B527F2"/>
    <w:pPr>
      <w:ind w:leftChars="200" w:left="480"/>
    </w:pPr>
  </w:style>
  <w:style w:type="paragraph" w:styleId="af6">
    <w:name w:val="Date"/>
    <w:basedOn w:val="a"/>
    <w:next w:val="a"/>
    <w:link w:val="af7"/>
    <w:uiPriority w:val="99"/>
    <w:semiHidden/>
    <w:rsid w:val="00941A7E"/>
    <w:pPr>
      <w:jc w:val="right"/>
    </w:pPr>
    <w:rPr>
      <w:rFonts w:asciiTheme="minorHAnsi" w:eastAsiaTheme="minorEastAsia" w:hAnsiTheme="minorHAnsi" w:cstheme="minorBidi"/>
    </w:rPr>
  </w:style>
  <w:style w:type="character" w:customStyle="1" w:styleId="af7">
    <w:name w:val="日期 字元"/>
    <w:basedOn w:val="a0"/>
    <w:link w:val="af6"/>
    <w:uiPriority w:val="99"/>
    <w:semiHidden/>
    <w:rsid w:val="0065476D"/>
    <w:rPr>
      <w:rFonts w:asciiTheme="minorHAnsi" w:eastAsiaTheme="minorEastAsia" w:hAnsiTheme="minorHAnsi" w:cstheme="minorBidi"/>
    </w:rPr>
  </w:style>
  <w:style w:type="numbering" w:customStyle="1" w:styleId="10">
    <w:name w:val="無清單1"/>
    <w:next w:val="a2"/>
    <w:uiPriority w:val="99"/>
    <w:semiHidden/>
    <w:unhideWhenUsed/>
    <w:rsid w:val="00CF205D"/>
  </w:style>
  <w:style w:type="paragraph" w:styleId="af8">
    <w:name w:val="caption"/>
    <w:basedOn w:val="a"/>
    <w:next w:val="a"/>
    <w:uiPriority w:val="35"/>
    <w:semiHidden/>
    <w:qFormat/>
    <w:rsid w:val="00CF205D"/>
    <w:rPr>
      <w:kern w:val="0"/>
      <w:sz w:val="20"/>
      <w:szCs w:val="20"/>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fa"/>
    <w:semiHidden/>
    <w:locked/>
    <w:rsid w:val="006E3AC9"/>
    <w:rPr>
      <w:rFonts w:ascii="細明體" w:eastAsia="細明體" w:hAnsi="Courier New"/>
    </w:rPr>
  </w:style>
  <w:style w:type="paragraph" w:styleId="af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9"/>
    <w:semiHidden/>
    <w:rsid w:val="00CF205D"/>
    <w:rPr>
      <w:rFonts w:ascii="細明體" w:eastAsia="細明體" w:hAnsi="Courier New"/>
    </w:rPr>
  </w:style>
  <w:style w:type="character" w:customStyle="1" w:styleId="11">
    <w:name w:val="純文字 字元1"/>
    <w:basedOn w:val="a0"/>
    <w:uiPriority w:val="99"/>
    <w:semiHidden/>
    <w:rsid w:val="00CF205D"/>
    <w:rPr>
      <w:rFonts w:ascii="細明體" w:eastAsia="細明體" w:hAnsi="Courier New" w:cs="Courier New"/>
      <w:szCs w:val="24"/>
    </w:rPr>
  </w:style>
  <w:style w:type="paragraph" w:styleId="afb">
    <w:name w:val="Body Text"/>
    <w:basedOn w:val="a"/>
    <w:link w:val="afc"/>
    <w:semiHidden/>
    <w:rsid w:val="00CF205D"/>
    <w:pPr>
      <w:spacing w:line="540" w:lineRule="exact"/>
    </w:pPr>
    <w:rPr>
      <w:spacing w:val="6"/>
      <w:sz w:val="32"/>
      <w:szCs w:val="20"/>
    </w:rPr>
  </w:style>
  <w:style w:type="character" w:customStyle="1" w:styleId="afc">
    <w:name w:val="本文 字元"/>
    <w:basedOn w:val="a0"/>
    <w:link w:val="afb"/>
    <w:semiHidden/>
    <w:rsid w:val="006E3AC9"/>
    <w:rPr>
      <w:spacing w:val="6"/>
      <w:sz w:val="32"/>
      <w:szCs w:val="20"/>
    </w:rPr>
  </w:style>
  <w:style w:type="character" w:styleId="afd">
    <w:name w:val="Emphasis"/>
    <w:basedOn w:val="a0"/>
    <w:uiPriority w:val="20"/>
    <w:semiHidden/>
    <w:qFormat/>
    <w:rsid w:val="00CF205D"/>
    <w:rPr>
      <w:i/>
      <w:iCs/>
    </w:rPr>
  </w:style>
  <w:style w:type="paragraph" w:customStyle="1" w:styleId="afe">
    <w:name w:val="甲"/>
    <w:semiHidden/>
    <w:rsid w:val="00CF205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b/>
      <w:snapToGrid w:val="0"/>
      <w:kern w:val="0"/>
      <w:sz w:val="34"/>
      <w:szCs w:val="20"/>
    </w:rPr>
  </w:style>
  <w:style w:type="paragraph" w:customStyle="1" w:styleId="aff">
    <w:name w:val="壹"/>
    <w:semiHidden/>
    <w:rsid w:val="00CF205D"/>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snapToGrid w:val="0"/>
      <w:kern w:val="0"/>
      <w:sz w:val="32"/>
      <w:szCs w:val="20"/>
    </w:rPr>
  </w:style>
  <w:style w:type="paragraph" w:customStyle="1" w:styleId="aff0">
    <w:name w:val="一"/>
    <w:basedOn w:val="a"/>
    <w:semiHidden/>
    <w:rsid w:val="00CF205D"/>
    <w:pPr>
      <w:snapToGrid w:val="0"/>
      <w:spacing w:line="600" w:lineRule="exact"/>
    </w:pPr>
    <w:rPr>
      <w:b/>
      <w:bCs/>
      <w:sz w:val="28"/>
      <w:szCs w:val="20"/>
    </w:rPr>
  </w:style>
  <w:style w:type="paragraph" w:customStyle="1" w:styleId="aff1">
    <w:name w:val="大標"/>
    <w:basedOn w:val="a"/>
    <w:semiHidden/>
    <w:rsid w:val="00CF205D"/>
    <w:pPr>
      <w:kinsoku w:val="0"/>
      <w:wordWrap w:val="0"/>
      <w:overflowPunct w:val="0"/>
      <w:autoSpaceDE w:val="0"/>
      <w:autoSpaceDN w:val="0"/>
      <w:snapToGrid w:val="0"/>
      <w:jc w:val="center"/>
    </w:pPr>
    <w:rPr>
      <w:rFonts w:ascii="標楷體"/>
      <w:b/>
      <w:snapToGrid w:val="0"/>
      <w:kern w:val="0"/>
      <w:sz w:val="40"/>
      <w:szCs w:val="20"/>
    </w:rPr>
  </w:style>
  <w:style w:type="character" w:styleId="aff2">
    <w:name w:val="page number"/>
    <w:basedOn w:val="a0"/>
    <w:semiHidden/>
    <w:rsid w:val="00CF205D"/>
  </w:style>
  <w:style w:type="paragraph" w:customStyle="1" w:styleId="aff3">
    <w:name w:val="頁數"/>
    <w:basedOn w:val="a"/>
    <w:semiHidden/>
    <w:rsid w:val="00CF205D"/>
    <w:pPr>
      <w:spacing w:line="400" w:lineRule="exact"/>
      <w:ind w:firstLineChars="200" w:firstLine="480"/>
      <w:jc w:val="both"/>
    </w:pPr>
    <w:rPr>
      <w:rFonts w:ascii="標楷體"/>
    </w:rPr>
  </w:style>
  <w:style w:type="table" w:customStyle="1" w:styleId="12">
    <w:name w:val="表格格線1"/>
    <w:basedOn w:val="a1"/>
    <w:next w:val="a9"/>
    <w:uiPriority w:val="59"/>
    <w:rsid w:val="00CF205D"/>
    <w:rPr>
      <w:rFonts w:ascii="Calibri" w:eastAsia="新細明體"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
    <w:name w:val="內文123"/>
    <w:semiHidden/>
    <w:qFormat/>
    <w:rsid w:val="00CF205D"/>
    <w:pPr>
      <w:overflowPunct w:val="0"/>
      <w:ind w:firstLineChars="450" w:firstLine="450"/>
      <w:jc w:val="both"/>
    </w:pPr>
    <w:rPr>
      <w:rFonts w:ascii="標楷體" w:hAnsi="標楷體" w:cs="標楷體"/>
      <w:b/>
    </w:rPr>
  </w:style>
  <w:style w:type="character" w:styleId="aff4">
    <w:name w:val="annotation reference"/>
    <w:basedOn w:val="a0"/>
    <w:uiPriority w:val="99"/>
    <w:semiHidden/>
    <w:rsid w:val="00CF205D"/>
    <w:rPr>
      <w:sz w:val="18"/>
      <w:szCs w:val="18"/>
    </w:rPr>
  </w:style>
  <w:style w:type="paragraph" w:styleId="aff5">
    <w:name w:val="annotation text"/>
    <w:basedOn w:val="a"/>
    <w:link w:val="aff6"/>
    <w:uiPriority w:val="99"/>
    <w:semiHidden/>
    <w:rsid w:val="00CF205D"/>
    <w:rPr>
      <w:rFonts w:ascii="Calibri" w:eastAsia="新細明體" w:hAnsi="Calibri"/>
    </w:rPr>
  </w:style>
  <w:style w:type="character" w:customStyle="1" w:styleId="aff6">
    <w:name w:val="註解文字 字元"/>
    <w:basedOn w:val="a0"/>
    <w:link w:val="aff5"/>
    <w:uiPriority w:val="99"/>
    <w:semiHidden/>
    <w:rsid w:val="0065476D"/>
    <w:rPr>
      <w:rFonts w:ascii="Calibri" w:eastAsia="新細明體" w:hAnsi="Calibri"/>
    </w:rPr>
  </w:style>
  <w:style w:type="paragraph" w:styleId="aff7">
    <w:name w:val="annotation subject"/>
    <w:basedOn w:val="aff5"/>
    <w:next w:val="aff5"/>
    <w:link w:val="aff8"/>
    <w:uiPriority w:val="99"/>
    <w:semiHidden/>
    <w:rsid w:val="00CF205D"/>
    <w:rPr>
      <w:b/>
      <w:bCs/>
    </w:rPr>
  </w:style>
  <w:style w:type="character" w:customStyle="1" w:styleId="aff8">
    <w:name w:val="註解主旨 字元"/>
    <w:basedOn w:val="aff6"/>
    <w:link w:val="aff7"/>
    <w:uiPriority w:val="99"/>
    <w:semiHidden/>
    <w:rsid w:val="0065476D"/>
    <w:rPr>
      <w:rFonts w:ascii="Calibri" w:eastAsia="新細明體" w:hAnsi="Calibri"/>
      <w:b/>
      <w:bCs/>
    </w:rPr>
  </w:style>
  <w:style w:type="table" w:customStyle="1" w:styleId="110">
    <w:name w:val="表格格線11"/>
    <w:basedOn w:val="a1"/>
    <w:next w:val="a9"/>
    <w:uiPriority w:val="59"/>
    <w:rsid w:val="00CF205D"/>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無清單2"/>
    <w:next w:val="a2"/>
    <w:uiPriority w:val="99"/>
    <w:semiHidden/>
    <w:unhideWhenUsed/>
    <w:rsid w:val="007D403A"/>
  </w:style>
  <w:style w:type="table" w:customStyle="1" w:styleId="23">
    <w:name w:val="表格格線2"/>
    <w:basedOn w:val="a1"/>
    <w:next w:val="a9"/>
    <w:uiPriority w:val="59"/>
    <w:rsid w:val="007D403A"/>
    <w:rPr>
      <w:rFonts w:ascii="Calibri" w:eastAsia="新細明體"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9"/>
    <w:uiPriority w:val="59"/>
    <w:rsid w:val="007D403A"/>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2">
    <w:name w:val="01_內文_第一行空2字元"/>
    <w:semiHidden/>
    <w:qFormat/>
    <w:rsid w:val="00976C44"/>
    <w:pPr>
      <w:widowControl w:val="0"/>
      <w:overflowPunct w:val="0"/>
      <w:spacing w:line="460" w:lineRule="exact"/>
      <w:ind w:firstLineChars="200" w:firstLine="200"/>
      <w:jc w:val="both"/>
    </w:pPr>
    <w:rPr>
      <w:rFonts w:ascii="標楷體" w:hAnsi="標楷體"/>
      <w:szCs w:val="32"/>
    </w:rPr>
  </w:style>
  <w:style w:type="paragraph" w:customStyle="1" w:styleId="414P">
    <w:name w:val="4_次標_14P_（一）"/>
    <w:semiHidden/>
    <w:qFormat/>
    <w:rsid w:val="00976C44"/>
    <w:pPr>
      <w:widowControl w:val="0"/>
      <w:overflowPunct w:val="0"/>
      <w:spacing w:before="120" w:after="120" w:line="440" w:lineRule="exact"/>
      <w:ind w:leftChars="200" w:left="200"/>
      <w:jc w:val="both"/>
    </w:pPr>
    <w:rPr>
      <w:rFonts w:ascii="標楷體" w:hAnsi="標楷體"/>
      <w:b/>
      <w:sz w:val="28"/>
      <w:szCs w:val="32"/>
    </w:rPr>
  </w:style>
  <w:style w:type="paragraph" w:customStyle="1" w:styleId="aff9">
    <w:name w:val="標題一、 字元 字元 字元"/>
    <w:basedOn w:val="af"/>
    <w:link w:val="affa"/>
    <w:semiHidden/>
    <w:rsid w:val="002028AA"/>
    <w:pPr>
      <w:spacing w:beforeLines="20" w:afterLines="20" w:line="400" w:lineRule="exact"/>
      <w:ind w:leftChars="100" w:left="310" w:hangingChars="210" w:hanging="210"/>
      <w:jc w:val="both"/>
    </w:pPr>
    <w:rPr>
      <w:sz w:val="32"/>
      <w:szCs w:val="32"/>
    </w:rPr>
  </w:style>
  <w:style w:type="character" w:customStyle="1" w:styleId="affa">
    <w:name w:val="標題一、 字元 字元 字元 字元"/>
    <w:basedOn w:val="a0"/>
    <w:link w:val="aff9"/>
    <w:semiHidden/>
    <w:rsid w:val="006E3AC9"/>
    <w:rPr>
      <w:rFonts w:cs="新細明體"/>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71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TW" sz="1200" b="1">
                <a:solidFill>
                  <a:sysClr val="windowText" lastClr="000000"/>
                </a:solidFill>
                <a:latin typeface="標楷體" panose="03000509000000000000" pitchFamily="65" charset="-120"/>
                <a:ea typeface="標楷體" panose="03000509000000000000" pitchFamily="65" charset="-120"/>
              </a:rPr>
              <a:t>114</a:t>
            </a:r>
            <a:r>
              <a:rPr lang="zh-TW" altLang="en-US" sz="1200" b="1">
                <a:solidFill>
                  <a:sysClr val="windowText" lastClr="000000"/>
                </a:solidFill>
                <a:latin typeface="標楷體" panose="03000509000000000000" pitchFamily="65" charset="-120"/>
                <a:ea typeface="標楷體" panose="03000509000000000000" pitchFamily="65" charset="-120"/>
              </a:rPr>
              <a:t>年度盈餘分配</a:t>
            </a:r>
          </a:p>
        </c:rich>
      </c:tx>
      <c:layout>
        <c:manualLayout>
          <c:xMode val="edge"/>
          <c:yMode val="edge"/>
          <c:x val="0.38993477932075427"/>
          <c:y val="6.6125460504069214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view3D>
      <c:rotX val="30"/>
      <c:rotY val="261"/>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
          <c:y val="0.20607317920876331"/>
          <c:w val="1"/>
          <c:h val="0.72764577566828059"/>
        </c:manualLayout>
      </c:layout>
      <c:pie3DChart>
        <c:varyColors val="1"/>
        <c:ser>
          <c:idx val="0"/>
          <c:order val="0"/>
          <c:explosion val="9"/>
          <c:dPt>
            <c:idx val="0"/>
            <c:bubble3D val="0"/>
            <c:explosion val="0"/>
            <c:spPr>
              <a:solidFill>
                <a:schemeClr val="accent1">
                  <a:lumMod val="60000"/>
                  <a:lumOff val="4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1-62B0-4D71-8F5F-58E00C65D7D6}"/>
              </c:ext>
            </c:extLst>
          </c:dPt>
          <c:dPt>
            <c:idx val="1"/>
            <c:bubble3D val="0"/>
            <c:explosion val="0"/>
            <c:spPr>
              <a:solidFill>
                <a:schemeClr val="accent2">
                  <a:lumMod val="60000"/>
                  <a:lumOff val="4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3-62B0-4D71-8F5F-58E00C65D7D6}"/>
              </c:ext>
            </c:extLst>
          </c:dPt>
          <c:dPt>
            <c:idx val="2"/>
            <c:bubble3D val="0"/>
            <c:explosion val="0"/>
            <c:spPr>
              <a:solidFill>
                <a:schemeClr val="accent6">
                  <a:lumMod val="40000"/>
                  <a:lumOff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5-62B0-4D71-8F5F-58E00C65D7D6}"/>
              </c:ext>
            </c:extLst>
          </c:dPt>
          <c:dPt>
            <c:idx val="3"/>
            <c:bubble3D val="0"/>
            <c:explosion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62B0-4D71-8F5F-58E00C65D7D6}"/>
              </c:ext>
            </c:extLst>
          </c:dPt>
          <c:dPt>
            <c:idx val="4"/>
            <c:bubble3D val="0"/>
            <c:explosion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62B0-4D71-8F5F-58E00C65D7D6}"/>
              </c:ext>
            </c:extLst>
          </c:dPt>
          <c:dPt>
            <c:idx val="5"/>
            <c:bubble3D val="0"/>
            <c:explosion val="0"/>
            <c:spPr>
              <a:solidFill>
                <a:srgbClr val="FF0000"/>
              </a:solidFill>
              <a:ln w="25400">
                <a:solidFill>
                  <a:schemeClr val="lt1"/>
                </a:solidFill>
              </a:ln>
              <a:effectLst/>
              <a:sp3d contourW="25400">
                <a:contourClr>
                  <a:schemeClr val="lt1"/>
                </a:contourClr>
              </a:sp3d>
            </c:spPr>
            <c:extLst>
              <c:ext xmlns:c16="http://schemas.microsoft.com/office/drawing/2014/chart" uri="{C3380CC4-5D6E-409C-BE32-E72D297353CC}">
                <c16:uniqueId val="{0000000B-62B0-4D71-8F5F-58E00C65D7D6}"/>
              </c:ext>
            </c:extLst>
          </c:dPt>
          <c:dLbls>
            <c:dLbl>
              <c:idx val="0"/>
              <c:layout>
                <c:manualLayout>
                  <c:x val="0.17848273179886226"/>
                  <c:y val="0.14825218207104152"/>
                </c:manualLayout>
              </c:layout>
              <c:tx>
                <c:rich>
                  <a:bodyPr rot="0" spcFirstLastPara="1" vertOverflow="clip" horzOverflow="clip" vert="horz" wrap="square" lIns="38100" tIns="19050" rIns="38100" bIns="19050" anchor="ctr" anchorCtr="1">
                    <a:noAutofit/>
                  </a:bodyPr>
                  <a:lstStyle/>
                  <a:p>
                    <a:pPr>
                      <a:defRPr sz="11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4FC78003-EF15-4FF9-91F7-FF6A30F57FD2}" type="CATEGORYNAME">
                      <a:rPr lang="zh-TW" altLang="en-US" sz="1100">
                        <a:solidFill>
                          <a:sysClr val="windowText" lastClr="000000"/>
                        </a:solidFill>
                        <a:latin typeface="標楷體" panose="03000509000000000000" pitchFamily="65" charset="-120"/>
                        <a:ea typeface="標楷體" panose="03000509000000000000" pitchFamily="65" charset="-120"/>
                      </a:rPr>
                      <a:pPr>
                        <a:defRPr sz="1100">
                          <a:solidFill>
                            <a:sysClr val="windowText" lastClr="000000"/>
                          </a:solidFill>
                          <a:latin typeface="標楷體" panose="03000509000000000000" pitchFamily="65" charset="-120"/>
                          <a:ea typeface="標楷體" panose="03000509000000000000" pitchFamily="65" charset="-120"/>
                        </a:defRPr>
                      </a:pPr>
                      <a:t>[類別名稱]</a:t>
                    </a:fld>
                    <a:r>
                      <a:rPr lang="zh-TW" altLang="en-US" sz="1100" baseline="0">
                        <a:solidFill>
                          <a:sysClr val="windowText" lastClr="000000"/>
                        </a:solidFill>
                        <a:latin typeface="標楷體" panose="03000509000000000000" pitchFamily="65" charset="-120"/>
                        <a:ea typeface="標楷體" panose="03000509000000000000" pitchFamily="65" charset="-120"/>
                      </a:rPr>
                      <a:t>
 </a:t>
                    </a:r>
                    <a:r>
                      <a:rPr lang="en-US" altLang="zh-TW" sz="1100" baseline="0">
                        <a:solidFill>
                          <a:sysClr val="windowText" lastClr="000000"/>
                        </a:solidFill>
                        <a:latin typeface="標楷體" panose="03000509000000000000" pitchFamily="65" charset="-120"/>
                        <a:ea typeface="標楷體" panose="03000509000000000000" pitchFamily="65" charset="-120"/>
                      </a:rPr>
                      <a:t>2,256</a:t>
                    </a:r>
                    <a:r>
                      <a:rPr lang="zh-TW" altLang="en-US" sz="1100" baseline="0">
                        <a:solidFill>
                          <a:sysClr val="windowText" lastClr="000000"/>
                        </a:solidFill>
                        <a:latin typeface="標楷體" panose="03000509000000000000" pitchFamily="65" charset="-120"/>
                        <a:ea typeface="標楷體" panose="03000509000000000000" pitchFamily="65" charset="-120"/>
                      </a:rPr>
                      <a:t>（</a:t>
                    </a:r>
                    <a:r>
                      <a:rPr lang="en-US" altLang="zh-TW" sz="1100" baseline="0">
                        <a:solidFill>
                          <a:sysClr val="windowText" lastClr="000000"/>
                        </a:solidFill>
                        <a:latin typeface="標楷體" panose="03000509000000000000" pitchFamily="65" charset="-120"/>
                        <a:ea typeface="標楷體" panose="03000509000000000000" pitchFamily="65" charset="-120"/>
                      </a:rPr>
                      <a:t>40.28</a:t>
                    </a:r>
                    <a:r>
                      <a:rPr lang="zh-TW" altLang="en-US" sz="1100" baseline="0">
                        <a:solidFill>
                          <a:sysClr val="windowText" lastClr="000000"/>
                        </a:solidFill>
                        <a:latin typeface="標楷體" panose="03000509000000000000" pitchFamily="65" charset="-120"/>
                        <a:ea typeface="標楷體" panose="03000509000000000000" pitchFamily="65" charset="-120"/>
                      </a:rPr>
                      <a:t>％）</a:t>
                    </a:r>
                  </a:p>
                </c:rich>
              </c:tx>
              <c:spPr>
                <a:noFill/>
                <a:ln>
                  <a:noFill/>
                </a:ln>
                <a:effectLst/>
              </c:spPr>
              <c:txPr>
                <a:bodyPr rot="0" spcFirstLastPara="1" vertOverflow="clip" horzOverflow="clip" vert="horz" wrap="square" lIns="38100" tIns="19050" rIns="38100" bIns="19050" anchor="ctr" anchorCtr="1">
                  <a:noAutofit/>
                </a:bodyPr>
                <a:lstStyle/>
                <a:p>
                  <a:pPr>
                    <a:defRPr sz="11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borderCallout2">
                      <a:avLst/>
                    </a:prstGeom>
                    <a:noFill/>
                    <a:ln>
                      <a:noFill/>
                    </a:ln>
                  </c15:spPr>
                  <c15:layout>
                    <c:manualLayout>
                      <c:w val="0.21384268042313193"/>
                      <c:h val="0.1201823513824276"/>
                    </c:manualLayout>
                  </c15:layout>
                  <c15:dlblFieldTable/>
                  <c15:showDataLabelsRange val="0"/>
                </c:ext>
                <c:ext xmlns:c16="http://schemas.microsoft.com/office/drawing/2014/chart" uri="{C3380CC4-5D6E-409C-BE32-E72D297353CC}">
                  <c16:uniqueId val="{00000001-62B0-4D71-8F5F-58E00C65D7D6}"/>
                </c:ext>
              </c:extLst>
            </c:dLbl>
            <c:dLbl>
              <c:idx val="1"/>
              <c:layout>
                <c:manualLayout>
                  <c:x val="-0.17894943159545276"/>
                  <c:y val="9.5092024539876717E-3"/>
                </c:manualLayout>
              </c:layout>
              <c:tx>
                <c:rich>
                  <a:bodyPr rot="0" spcFirstLastPara="1" vertOverflow="clip" horzOverflow="clip" vert="horz" wrap="square" lIns="38100" tIns="19050" rIns="38100" bIns="19050" anchor="ctr" anchorCtr="1">
                    <a:noAutofit/>
                  </a:bodyPr>
                  <a:lstStyle/>
                  <a:p>
                    <a:pPr>
                      <a:defRPr sz="11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06C80E05-5D20-4C3E-A9DF-4068A82A1C9F}" type="CATEGORYNAME">
                      <a:rPr lang="zh-TW" altLang="en-US" sz="1100">
                        <a:solidFill>
                          <a:sysClr val="windowText" lastClr="000000"/>
                        </a:solidFill>
                        <a:latin typeface="標楷體" panose="03000509000000000000" pitchFamily="65" charset="-120"/>
                        <a:ea typeface="標楷體" panose="03000509000000000000" pitchFamily="65" charset="-120"/>
                      </a:rPr>
                      <a:pPr>
                        <a:defRPr sz="1100">
                          <a:solidFill>
                            <a:sysClr val="windowText" lastClr="000000"/>
                          </a:solidFill>
                          <a:latin typeface="標楷體" panose="03000509000000000000" pitchFamily="65" charset="-120"/>
                          <a:ea typeface="標楷體" panose="03000509000000000000" pitchFamily="65" charset="-120"/>
                        </a:defRPr>
                      </a:pPr>
                      <a:t>[類別名稱]</a:t>
                    </a:fld>
                    <a:r>
                      <a:rPr lang="zh-TW" altLang="en-US" sz="1100" baseline="0">
                        <a:solidFill>
                          <a:sysClr val="windowText" lastClr="000000"/>
                        </a:solidFill>
                        <a:latin typeface="標楷體" panose="03000509000000000000" pitchFamily="65" charset="-120"/>
                        <a:ea typeface="標楷體" panose="03000509000000000000" pitchFamily="65" charset="-120"/>
                      </a:rPr>
                      <a:t>
 </a:t>
                    </a:r>
                    <a:r>
                      <a:rPr lang="en-US" altLang="zh-TW" sz="1100" baseline="0">
                        <a:solidFill>
                          <a:sysClr val="windowText" lastClr="000000"/>
                        </a:solidFill>
                        <a:latin typeface="標楷體" panose="03000509000000000000" pitchFamily="65" charset="-120"/>
                        <a:ea typeface="標楷體" panose="03000509000000000000" pitchFamily="65" charset="-120"/>
                      </a:rPr>
                      <a:t>1,273</a:t>
                    </a:r>
                    <a:r>
                      <a:rPr lang="zh-TW" altLang="en-US" sz="1100" baseline="0">
                        <a:solidFill>
                          <a:sysClr val="windowText" lastClr="000000"/>
                        </a:solidFill>
                        <a:latin typeface="標楷體" panose="03000509000000000000" pitchFamily="65" charset="-120"/>
                        <a:ea typeface="標楷體" panose="03000509000000000000" pitchFamily="65" charset="-120"/>
                      </a:rPr>
                      <a:t>（</a:t>
                    </a:r>
                    <a:r>
                      <a:rPr lang="en-US" altLang="zh-TW" sz="1100" baseline="0">
                        <a:solidFill>
                          <a:sysClr val="windowText" lastClr="000000"/>
                        </a:solidFill>
                        <a:latin typeface="標楷體" panose="03000509000000000000" pitchFamily="65" charset="-120"/>
                        <a:ea typeface="標楷體" panose="03000509000000000000" pitchFamily="65" charset="-120"/>
                      </a:rPr>
                      <a:t>22.73</a:t>
                    </a:r>
                    <a:r>
                      <a:rPr lang="zh-TW" altLang="en-US" sz="1100" baseline="0">
                        <a:solidFill>
                          <a:sysClr val="windowText" lastClr="000000"/>
                        </a:solidFill>
                        <a:latin typeface="標楷體" panose="03000509000000000000" pitchFamily="65" charset="-120"/>
                        <a:ea typeface="標楷體" panose="03000509000000000000" pitchFamily="65" charset="-120"/>
                      </a:rPr>
                      <a:t>％）</a:t>
                    </a:r>
                  </a:p>
                </c:rich>
              </c:tx>
              <c:spPr>
                <a:noFill/>
                <a:ln>
                  <a:noFill/>
                </a:ln>
                <a:effectLst/>
              </c:spPr>
              <c:txPr>
                <a:bodyPr rot="0" spcFirstLastPara="1" vertOverflow="clip" horzOverflow="clip" vert="horz" wrap="square" lIns="38100" tIns="19050" rIns="38100" bIns="19050" anchor="ctr" anchorCtr="1">
                  <a:noAutofit/>
                </a:bodyPr>
                <a:lstStyle/>
                <a:p>
                  <a:pPr>
                    <a:defRPr sz="11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borderCallout2">
                      <a:avLst/>
                    </a:prstGeom>
                    <a:noFill/>
                    <a:ln>
                      <a:noFill/>
                    </a:ln>
                  </c15:spPr>
                  <c15:layout>
                    <c:manualLayout>
                      <c:w val="0.20236544569521911"/>
                      <c:h val="0.11862305151797901"/>
                    </c:manualLayout>
                  </c15:layout>
                  <c15:dlblFieldTable/>
                  <c15:showDataLabelsRange val="0"/>
                </c:ext>
                <c:ext xmlns:c16="http://schemas.microsoft.com/office/drawing/2014/chart" uri="{C3380CC4-5D6E-409C-BE32-E72D297353CC}">
                  <c16:uniqueId val="{00000003-62B0-4D71-8F5F-58E00C65D7D6}"/>
                </c:ext>
              </c:extLst>
            </c:dLbl>
            <c:dLbl>
              <c:idx val="2"/>
              <c:layout>
                <c:manualLayout>
                  <c:x val="-0.3808707099578057"/>
                  <c:y val="-0.32312524947943017"/>
                </c:manualLayout>
              </c:layout>
              <c:tx>
                <c:rich>
                  <a:bodyPr rot="0" spcFirstLastPara="1" vertOverflow="clip" horzOverflow="clip" vert="horz" wrap="square" lIns="38100" tIns="19050" rIns="38100" bIns="19050" anchor="ctr" anchorCtr="1">
                    <a:spAutoFit/>
                  </a:bodyPr>
                  <a:lstStyle/>
                  <a:p>
                    <a:pPr>
                      <a:defRPr sz="11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79648611-FD8C-4D41-843B-A880A28FBBCF}" type="CATEGORYNAME">
                      <a:rPr lang="zh-TW" altLang="en-US" sz="1100">
                        <a:solidFill>
                          <a:sysClr val="windowText" lastClr="000000"/>
                        </a:solidFill>
                      </a:rPr>
                      <a:pPr>
                        <a:defRPr sz="1100">
                          <a:solidFill>
                            <a:sysClr val="windowText" lastClr="000000"/>
                          </a:solidFill>
                          <a:latin typeface="標楷體" panose="03000509000000000000" pitchFamily="65" charset="-120"/>
                          <a:ea typeface="標楷體" panose="03000509000000000000" pitchFamily="65" charset="-120"/>
                        </a:defRPr>
                      </a:pPr>
                      <a:t>[類別名稱]</a:t>
                    </a:fld>
                    <a:r>
                      <a:rPr lang="zh-TW" altLang="en-US" sz="1100" baseline="0">
                        <a:solidFill>
                          <a:sysClr val="windowText" lastClr="000000"/>
                        </a:solidFill>
                      </a:rPr>
                      <a:t>
</a:t>
                    </a:r>
                    <a:r>
                      <a:rPr lang="en-US" altLang="zh-TW" sz="1100" baseline="0">
                        <a:solidFill>
                          <a:sysClr val="windowText" lastClr="000000"/>
                        </a:solidFill>
                      </a:rPr>
                      <a:t>989</a:t>
                    </a:r>
                    <a:r>
                      <a:rPr lang="zh-TW" altLang="en-US" sz="1100" baseline="0">
                        <a:solidFill>
                          <a:sysClr val="windowText" lastClr="000000"/>
                        </a:solidFill>
                      </a:rPr>
                      <a:t>（</a:t>
                    </a:r>
                    <a:r>
                      <a:rPr lang="en-US" altLang="zh-TW" sz="1100" baseline="0">
                        <a:solidFill>
                          <a:sysClr val="windowText" lastClr="000000"/>
                        </a:solidFill>
                      </a:rPr>
                      <a:t>17.66</a:t>
                    </a:r>
                    <a:r>
                      <a:rPr lang="zh-TW" altLang="en-US" sz="1100" baseline="0">
                        <a:solidFill>
                          <a:sysClr val="windowText" lastClr="000000"/>
                        </a:solidFill>
                      </a:rPr>
                      <a:t>％）</a:t>
                    </a:r>
                  </a:p>
                </c:rich>
              </c:tx>
              <c:spPr>
                <a:noFill/>
                <a:ln>
                  <a:noFill/>
                </a:ln>
                <a:effectLst/>
              </c:spPr>
              <c:txPr>
                <a:bodyPr rot="0" spcFirstLastPara="1" vertOverflow="clip" horzOverflow="clip" vert="horz" wrap="square" lIns="38100" tIns="19050" rIns="38100" bIns="19050" anchor="ctr" anchorCtr="1">
                  <a:spAutoFit/>
                </a:bodyPr>
                <a:lstStyle/>
                <a:p>
                  <a:pPr>
                    <a:defRPr sz="11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borderCallout2">
                      <a:avLst/>
                    </a:prstGeom>
                    <a:noFill/>
                    <a:ln>
                      <a:noFill/>
                    </a:ln>
                  </c15:spPr>
                  <c15:dlblFieldTable/>
                  <c15:showDataLabelsRange val="0"/>
                </c:ext>
                <c:ext xmlns:c16="http://schemas.microsoft.com/office/drawing/2014/chart" uri="{C3380CC4-5D6E-409C-BE32-E72D297353CC}">
                  <c16:uniqueId val="{00000005-62B0-4D71-8F5F-58E00C65D7D6}"/>
                </c:ext>
              </c:extLst>
            </c:dLbl>
            <c:dLbl>
              <c:idx val="3"/>
              <c:layout>
                <c:manualLayout>
                  <c:x val="0.44744163937563469"/>
                  <c:y val="-0.18440985561338252"/>
                </c:manualLayout>
              </c:layout>
              <c:tx>
                <c:rich>
                  <a:bodyPr rot="0" spcFirstLastPara="1" vertOverflow="clip" horzOverflow="clip" vert="horz" wrap="square" lIns="38100" tIns="19050" rIns="38100" bIns="19050" anchor="ctr" anchorCtr="1">
                    <a:spAutoFit/>
                  </a:bodyPr>
                  <a:lstStyle/>
                  <a:p>
                    <a:pPr>
                      <a:defRPr sz="11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5052B614-ABA8-400B-A101-9522C933E40A}" type="CATEGORYNAME">
                      <a:rPr lang="zh-TW" altLang="en-US" sz="1100">
                        <a:solidFill>
                          <a:sysClr val="windowText" lastClr="000000"/>
                        </a:solidFill>
                      </a:rPr>
                      <a:pPr>
                        <a:defRPr sz="1100">
                          <a:solidFill>
                            <a:sysClr val="windowText" lastClr="000000"/>
                          </a:solidFill>
                          <a:latin typeface="標楷體" panose="03000509000000000000" pitchFamily="65" charset="-120"/>
                          <a:ea typeface="標楷體" panose="03000509000000000000" pitchFamily="65" charset="-120"/>
                        </a:defRPr>
                      </a:pPr>
                      <a:t>[類別名稱]</a:t>
                    </a:fld>
                    <a:r>
                      <a:rPr lang="zh-TW" altLang="en-US" sz="1100" baseline="0">
                        <a:solidFill>
                          <a:sysClr val="windowText" lastClr="000000"/>
                        </a:solidFill>
                      </a:rPr>
                      <a:t>
 </a:t>
                    </a:r>
                    <a:r>
                      <a:rPr lang="en-US" altLang="zh-TW" sz="1100" baseline="0">
                        <a:solidFill>
                          <a:sysClr val="windowText" lastClr="000000"/>
                        </a:solidFill>
                      </a:rPr>
                      <a:t>993</a:t>
                    </a:r>
                    <a:r>
                      <a:rPr lang="zh-TW" altLang="en-US" sz="1100" baseline="0">
                        <a:solidFill>
                          <a:sysClr val="windowText" lastClr="000000"/>
                        </a:solidFill>
                      </a:rPr>
                      <a:t>（</a:t>
                    </a:r>
                    <a:r>
                      <a:rPr lang="en-US" altLang="zh-TW" sz="1100" baseline="0">
                        <a:solidFill>
                          <a:sysClr val="windowText" lastClr="000000"/>
                        </a:solidFill>
                      </a:rPr>
                      <a:t>17.73</a:t>
                    </a:r>
                    <a:r>
                      <a:rPr lang="zh-TW" altLang="en-US" sz="1100" baseline="0">
                        <a:solidFill>
                          <a:sysClr val="windowText" lastClr="000000"/>
                        </a:solidFill>
                      </a:rPr>
                      <a:t>％）</a:t>
                    </a:r>
                  </a:p>
                </c:rich>
              </c:tx>
              <c:spPr>
                <a:noFill/>
                <a:ln>
                  <a:noFill/>
                </a:ln>
                <a:effectLst/>
              </c:spPr>
              <c:txPr>
                <a:bodyPr rot="0" spcFirstLastPara="1" vertOverflow="clip" horzOverflow="clip" vert="horz" wrap="square" lIns="38100" tIns="19050" rIns="38100" bIns="19050" anchor="ctr" anchorCtr="1">
                  <a:spAutoFit/>
                </a:bodyPr>
                <a:lstStyle/>
                <a:p>
                  <a:pPr>
                    <a:defRPr sz="11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borderCallout2">
                      <a:avLst/>
                    </a:prstGeom>
                    <a:noFill/>
                    <a:ln>
                      <a:noFill/>
                    </a:ln>
                  </c15:spPr>
                  <c15:dlblFieldTable/>
                  <c15:showDataLabelsRange val="0"/>
                </c:ext>
                <c:ext xmlns:c16="http://schemas.microsoft.com/office/drawing/2014/chart" uri="{C3380CC4-5D6E-409C-BE32-E72D297353CC}">
                  <c16:uniqueId val="{00000007-62B0-4D71-8F5F-58E00C65D7D6}"/>
                </c:ext>
              </c:extLst>
            </c:dLbl>
            <c:dLbl>
              <c:idx val="4"/>
              <c:layout>
                <c:manualLayout>
                  <c:x val="1.4904761757779102E-2"/>
                  <c:y val="5.1977402566364704E-2"/>
                </c:manualLayout>
              </c:layout>
              <c:tx>
                <c:rich>
                  <a:bodyPr rot="0" spcFirstLastPara="1" vertOverflow="clip" horzOverflow="clip" vert="horz" wrap="square" lIns="38100" tIns="19050" rIns="38100" bIns="19050" anchor="ctr" anchorCtr="1">
                    <a:noAutofit/>
                  </a:bodyPr>
                  <a:lstStyle/>
                  <a:p>
                    <a:pPr>
                      <a:defRPr sz="11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90B062AF-A03E-41A2-B5A0-13A9AA005D04}" type="CATEGORYNAME">
                      <a:rPr lang="zh-TW" altLang="en-US" sz="1100" spc="-100" baseline="0">
                        <a:solidFill>
                          <a:sysClr val="windowText" lastClr="000000"/>
                        </a:solidFill>
                      </a:rPr>
                      <a:pPr>
                        <a:defRPr sz="1100">
                          <a:solidFill>
                            <a:sysClr val="windowText" lastClr="000000"/>
                          </a:solidFill>
                          <a:latin typeface="標楷體" panose="03000509000000000000" pitchFamily="65" charset="-120"/>
                          <a:ea typeface="標楷體" panose="03000509000000000000" pitchFamily="65" charset="-120"/>
                        </a:defRPr>
                      </a:pPr>
                      <a:t>[類別名稱]</a:t>
                    </a:fld>
                    <a:r>
                      <a:rPr lang="zh-TW" altLang="en-US" sz="1100" baseline="0">
                        <a:solidFill>
                          <a:sysClr val="windowText" lastClr="000000"/>
                        </a:solidFill>
                      </a:rPr>
                      <a:t>
 </a:t>
                    </a:r>
                    <a:r>
                      <a:rPr lang="en-US" altLang="zh-TW" sz="1100" baseline="0">
                        <a:solidFill>
                          <a:sysClr val="windowText" lastClr="000000"/>
                        </a:solidFill>
                      </a:rPr>
                      <a:t>65</a:t>
                    </a:r>
                    <a:r>
                      <a:rPr lang="zh-TW" altLang="en-US" sz="1100" baseline="0">
                        <a:solidFill>
                          <a:sysClr val="windowText" lastClr="000000"/>
                        </a:solidFill>
                      </a:rPr>
                      <a:t>（</a:t>
                    </a:r>
                    <a:r>
                      <a:rPr lang="en-US" altLang="zh-TW" sz="1100" baseline="0">
                        <a:solidFill>
                          <a:sysClr val="windowText" lastClr="000000"/>
                        </a:solidFill>
                      </a:rPr>
                      <a:t>1.17</a:t>
                    </a:r>
                    <a:r>
                      <a:rPr lang="zh-TW" altLang="en-US" sz="1100" baseline="0">
                        <a:solidFill>
                          <a:sysClr val="windowText" lastClr="000000"/>
                        </a:solidFill>
                      </a:rPr>
                      <a:t>％）</a:t>
                    </a:r>
                  </a:p>
                </c:rich>
              </c:tx>
              <c:spPr>
                <a:noFill/>
                <a:ln>
                  <a:noFill/>
                </a:ln>
                <a:effectLst/>
              </c:spPr>
              <c:txPr>
                <a:bodyPr rot="0" spcFirstLastPara="1" vertOverflow="clip" horzOverflow="clip" vert="horz" wrap="square" lIns="38100" tIns="19050" rIns="38100" bIns="19050" anchor="ctr" anchorCtr="1">
                  <a:noAutofit/>
                </a:bodyPr>
                <a:lstStyle/>
                <a:p>
                  <a:pPr>
                    <a:defRPr sz="11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borderCallout2">
                      <a:avLst/>
                    </a:prstGeom>
                    <a:noFill/>
                    <a:ln>
                      <a:noFill/>
                    </a:ln>
                  </c15:spPr>
                  <c15:layout>
                    <c:manualLayout>
                      <c:w val="0.16419178319536018"/>
                      <c:h val="0.12027542890116963"/>
                    </c:manualLayout>
                  </c15:layout>
                  <c15:dlblFieldTable/>
                  <c15:showDataLabelsRange val="0"/>
                </c:ext>
                <c:ext xmlns:c16="http://schemas.microsoft.com/office/drawing/2014/chart" uri="{C3380CC4-5D6E-409C-BE32-E72D297353CC}">
                  <c16:uniqueId val="{00000009-62B0-4D71-8F5F-58E00C65D7D6}"/>
                </c:ext>
              </c:extLst>
            </c:dLbl>
            <c:dLbl>
              <c:idx val="5"/>
              <c:layout>
                <c:manualLayout>
                  <c:x val="7.7165971658481936E-8"/>
                  <c:y val="-0.10939059643698874"/>
                </c:manualLayout>
              </c:layout>
              <c:tx>
                <c:rich>
                  <a:bodyPr rot="0" spcFirstLastPara="1" vertOverflow="clip" horzOverflow="clip" vert="horz" wrap="square" lIns="38100" tIns="19050" rIns="38100" bIns="19050" anchor="ctr" anchorCtr="1">
                    <a:noAutofit/>
                  </a:bodyPr>
                  <a:lstStyle/>
                  <a:p>
                    <a:pPr>
                      <a:defRPr sz="11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0C13E1CA-A6A7-4FD9-8496-A12A2EE98F9C}" type="CATEGORYNAME">
                      <a:rPr lang="zh-TW" altLang="en-US" sz="1100">
                        <a:solidFill>
                          <a:sysClr val="windowText" lastClr="000000"/>
                        </a:solidFill>
                      </a:rPr>
                      <a:pPr>
                        <a:defRPr sz="1100">
                          <a:solidFill>
                            <a:sysClr val="windowText" lastClr="000000"/>
                          </a:solidFill>
                          <a:latin typeface="標楷體" panose="03000509000000000000" pitchFamily="65" charset="-120"/>
                          <a:ea typeface="標楷體" panose="03000509000000000000" pitchFamily="65" charset="-120"/>
                        </a:defRPr>
                      </a:pPr>
                      <a:t>[類別名稱]</a:t>
                    </a:fld>
                    <a:r>
                      <a:rPr lang="zh-TW" altLang="en-US" sz="1100" baseline="0">
                        <a:solidFill>
                          <a:sysClr val="windowText" lastClr="000000"/>
                        </a:solidFill>
                      </a:rPr>
                      <a:t>
 </a:t>
                    </a:r>
                    <a:r>
                      <a:rPr lang="en-US" altLang="zh-TW" sz="1100" baseline="0">
                        <a:solidFill>
                          <a:sysClr val="windowText" lastClr="000000"/>
                        </a:solidFill>
                      </a:rPr>
                      <a:t>24</a:t>
                    </a:r>
                    <a:r>
                      <a:rPr lang="zh-TW" altLang="en-US" sz="1100" baseline="0">
                        <a:solidFill>
                          <a:sysClr val="windowText" lastClr="000000"/>
                        </a:solidFill>
                      </a:rPr>
                      <a:t>（</a:t>
                    </a:r>
                    <a:r>
                      <a:rPr lang="en-US" altLang="zh-TW" sz="1100" baseline="0">
                        <a:solidFill>
                          <a:sysClr val="windowText" lastClr="000000"/>
                        </a:solidFill>
                      </a:rPr>
                      <a:t>0.43</a:t>
                    </a:r>
                    <a:r>
                      <a:rPr lang="zh-TW" altLang="en-US" sz="1100" baseline="0">
                        <a:solidFill>
                          <a:sysClr val="windowText" lastClr="000000"/>
                        </a:solidFill>
                      </a:rPr>
                      <a:t>％）</a:t>
                    </a:r>
                  </a:p>
                </c:rich>
              </c:tx>
              <c:spPr>
                <a:xfrm>
                  <a:off x="0" y="936087"/>
                  <a:ext cx="706072" cy="401502"/>
                </a:xfrm>
                <a:noFill/>
                <a:ln w="9525" cap="flat" cmpd="sng" algn="ctr">
                  <a:no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ffectLst/>
              </c:spPr>
              <c:txPr>
                <a:bodyPr rot="0" spcFirstLastPara="1" vertOverflow="clip" horzOverflow="clip" vert="horz" wrap="square" lIns="38100" tIns="19050" rIns="38100" bIns="19050" anchor="ctr" anchorCtr="1">
                  <a:noAutofit/>
                </a:bodyPr>
                <a:lstStyle/>
                <a:p>
                  <a:pPr>
                    <a:defRPr sz="11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borderCallout2">
                      <a:avLst>
                        <a:gd name="adj1" fmla="val 97771"/>
                        <a:gd name="adj2" fmla="val 78766"/>
                        <a:gd name="adj3" fmla="val 111554"/>
                        <a:gd name="adj4" fmla="val 105066"/>
                        <a:gd name="adj5" fmla="val 114991"/>
                        <a:gd name="adj6" fmla="val 110796"/>
                      </a:avLst>
                    </a:prstGeom>
                    <a:noFill/>
                    <a:ln>
                      <a:noFill/>
                    </a:ln>
                  </c15:spPr>
                  <c15:layout>
                    <c:manualLayout>
                      <c:w val="0.15826858103937924"/>
                      <c:h val="0.15634006448974155"/>
                    </c:manualLayout>
                  </c15:layout>
                  <c15:dlblFieldTable/>
                  <c15:showDataLabelsRange val="0"/>
                </c:ext>
                <c:ext xmlns:c16="http://schemas.microsoft.com/office/drawing/2014/chart" uri="{C3380CC4-5D6E-409C-BE32-E72D297353CC}">
                  <c16:uniqueId val="{0000000B-62B0-4D71-8F5F-58E00C65D7D6}"/>
                </c:ext>
              </c:extLst>
            </c:dLbl>
            <c:spPr>
              <a:solidFill>
                <a:sysClr val="window" lastClr="FFFFFF"/>
              </a:solidFill>
              <a:ln>
                <a:noFill/>
              </a:ln>
              <a:effectLst/>
            </c:spPr>
            <c:txPr>
              <a:bodyPr rot="0" spcFirstLastPara="1" vertOverflow="clip" horzOverflow="clip" vert="horz" wrap="square" lIns="38100" tIns="19050" rIns="38100" bIns="19050" anchor="ctr" anchorCtr="1">
                <a:spAutoFit/>
              </a:bodyPr>
              <a:lstStyle/>
              <a:p>
                <a:pPr>
                  <a:defRPr sz="1100" b="0" i="0" u="none" strike="noStrike" kern="1200" baseline="0">
                    <a:solidFill>
                      <a:schemeClr val="dk1">
                        <a:lumMod val="65000"/>
                        <a:lumOff val="35000"/>
                      </a:schemeClr>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borderCallout2">
                    <a:avLst/>
                  </a:prstGeom>
                  <a:noFill/>
                  <a:ln>
                    <a:noFill/>
                  </a:ln>
                </c15:spPr>
              </c:ext>
            </c:extLst>
          </c:dLbls>
          <c:cat>
            <c:strRef>
              <c:f>工作表1!$A$17:$A$22</c:f>
              <c:strCache>
                <c:ptCount val="6"/>
                <c:pt idx="0">
                  <c:v>分配股息紅利</c:v>
                </c:pt>
                <c:pt idx="1">
                  <c:v>填補累積虧損</c:v>
                </c:pt>
                <c:pt idx="2">
                  <c:v>提存公積</c:v>
                </c:pt>
                <c:pt idx="3">
                  <c:v>未分配盈餘</c:v>
                </c:pt>
                <c:pt idx="4">
                  <c:v>其他依法分配數</c:v>
                </c:pt>
                <c:pt idx="5">
                  <c:v>提撥地方政府</c:v>
                </c:pt>
              </c:strCache>
            </c:strRef>
          </c:cat>
          <c:val>
            <c:numRef>
              <c:f>工作表1!$B$17:$B$22</c:f>
              <c:numCache>
                <c:formatCode>#,##0_ </c:formatCode>
                <c:ptCount val="6"/>
                <c:pt idx="0">
                  <c:v>2256</c:v>
                </c:pt>
                <c:pt idx="1">
                  <c:v>1273</c:v>
                </c:pt>
                <c:pt idx="2">
                  <c:v>989</c:v>
                </c:pt>
                <c:pt idx="3">
                  <c:v>993</c:v>
                </c:pt>
                <c:pt idx="4">
                  <c:v>65</c:v>
                </c:pt>
                <c:pt idx="5">
                  <c:v>24</c:v>
                </c:pt>
              </c:numCache>
            </c:numRef>
          </c:val>
          <c:extLst>
            <c:ext xmlns:c16="http://schemas.microsoft.com/office/drawing/2014/chart" uri="{C3380CC4-5D6E-409C-BE32-E72D297353CC}">
              <c16:uniqueId val="{0000000C-62B0-4D71-8F5F-58E00C65D7D6}"/>
            </c:ext>
          </c:extLst>
        </c:ser>
        <c:dLbls>
          <c:showLegendKey val="0"/>
          <c:showVal val="0"/>
          <c:showCatName val="0"/>
          <c:showSerName val="0"/>
          <c:showPercent val="0"/>
          <c:showBubbleSize val="0"/>
          <c:showLeaderLines val="0"/>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zh-TW"/>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0.72766</cdr:x>
      <cdr:y>0.1086</cdr:y>
    </cdr:from>
    <cdr:to>
      <cdr:x>0.9804</cdr:x>
      <cdr:y>0.19538</cdr:y>
    </cdr:to>
    <cdr:sp macro="" textlink="">
      <cdr:nvSpPr>
        <cdr:cNvPr id="2" name="文字方塊 1">
          <a:extLst xmlns:a="http://schemas.openxmlformats.org/drawingml/2006/main">
            <a:ext uri="{FF2B5EF4-FFF2-40B4-BE49-F238E27FC236}">
              <a16:creationId xmlns:a16="http://schemas.microsoft.com/office/drawing/2014/main" id="{3DEAFFA9-E8AB-4C72-92EA-5D315BB06CE8}"/>
            </a:ext>
          </a:extLst>
        </cdr:cNvPr>
        <cdr:cNvSpPr txBox="1"/>
      </cdr:nvSpPr>
      <cdr:spPr>
        <a:xfrm xmlns:a="http://schemas.openxmlformats.org/drawingml/2006/main">
          <a:off x="4714875" y="427144"/>
          <a:ext cx="1637666" cy="34132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單位：新臺幣億元</a:t>
          </a:r>
        </a:p>
      </cdr:txBody>
    </cdr:sp>
  </cdr:relSizeAnchor>
  <cdr:relSizeAnchor xmlns:cdr="http://schemas.openxmlformats.org/drawingml/2006/chartDrawing">
    <cdr:from>
      <cdr:x>0.13818</cdr:x>
      <cdr:y>0.49057</cdr:y>
    </cdr:from>
    <cdr:to>
      <cdr:x>0.15994</cdr:x>
      <cdr:y>0.51098</cdr:y>
    </cdr:to>
    <cdr:cxnSp macro="">
      <cdr:nvCxnSpPr>
        <cdr:cNvPr id="6" name="直線接點 5"/>
        <cdr:cNvCxnSpPr/>
      </cdr:nvCxnSpPr>
      <cdr:spPr>
        <a:xfrm xmlns:a="http://schemas.openxmlformats.org/drawingml/2006/main" flipH="1">
          <a:off x="895350" y="1929506"/>
          <a:ext cx="140987" cy="80269"/>
        </a:xfrm>
        <a:prstGeom xmlns:a="http://schemas.openxmlformats.org/drawingml/2006/main" prst="line">
          <a:avLst/>
        </a:prstGeom>
        <a:ln xmlns:a="http://schemas.openxmlformats.org/drawingml/2006/main" w="6985">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0.1013</cdr:x>
      <cdr:y>0.50491</cdr:y>
    </cdr:from>
    <cdr:to>
      <cdr:x>0.15999</cdr:x>
      <cdr:y>0.64182</cdr:y>
    </cdr:to>
    <cdr:cxnSp macro="">
      <cdr:nvCxnSpPr>
        <cdr:cNvPr id="15" name="直線接點 14"/>
        <cdr:cNvCxnSpPr/>
      </cdr:nvCxnSpPr>
      <cdr:spPr>
        <a:xfrm xmlns:a="http://schemas.openxmlformats.org/drawingml/2006/main" flipH="1">
          <a:off x="656348" y="1985916"/>
          <a:ext cx="380301" cy="538501"/>
        </a:xfrm>
        <a:prstGeom xmlns:a="http://schemas.openxmlformats.org/drawingml/2006/main" prst="line">
          <a:avLst/>
        </a:prstGeom>
        <a:ln xmlns:a="http://schemas.openxmlformats.org/drawingml/2006/main" w="6985">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5B321-CCB7-441A-B5F3-30749C956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197</Words>
  <Characters>1125</Characters>
  <Application>Microsoft Office Word</Application>
  <DocSecurity>0</DocSecurity>
  <Lines>9</Lines>
  <Paragraphs>2</Paragraphs>
  <ScaleCrop>false</ScaleCrop>
  <Company>Microsoft</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王彥文</dc:creator>
  <cp:lastModifiedBy>吳 雪峰</cp:lastModifiedBy>
  <cp:revision>2</cp:revision>
  <cp:lastPrinted>2026-06-30T08:40:00Z</cp:lastPrinted>
  <dcterms:created xsi:type="dcterms:W3CDTF">2026-07-03T02:31:00Z</dcterms:created>
  <dcterms:modified xsi:type="dcterms:W3CDTF">2026-07-03T02:31:00Z</dcterms:modified>
</cp:coreProperties>
</file>