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2941B" w14:textId="7A96393F" w:rsidR="00D63762" w:rsidRDefault="00C648CC">
      <w:pPr>
        <w:spacing w:before="240" w:after="120"/>
        <w:jc w:val="center"/>
        <w:rPr>
          <w:rFonts w:ascii="標楷體"/>
          <w:b/>
          <w:sz w:val="40"/>
          <w:szCs w:val="54"/>
        </w:rPr>
      </w:pPr>
      <w:r>
        <w:rPr>
          <w:rFonts w:ascii="標楷體" w:hint="eastAsia"/>
          <w:b/>
          <w:sz w:val="40"/>
          <w:szCs w:val="54"/>
        </w:rPr>
        <w:t>中華民國11</w:t>
      </w:r>
      <w:r w:rsidR="004C095B">
        <w:rPr>
          <w:rFonts w:ascii="標楷體" w:hint="eastAsia"/>
          <w:b/>
          <w:sz w:val="40"/>
          <w:szCs w:val="54"/>
        </w:rPr>
        <w:t>3</w:t>
      </w:r>
      <w:r>
        <w:rPr>
          <w:rFonts w:ascii="標楷體" w:hint="eastAsia"/>
          <w:b/>
          <w:sz w:val="40"/>
          <w:szCs w:val="54"/>
        </w:rPr>
        <w:t>年度</w:t>
      </w:r>
    </w:p>
    <w:p w14:paraId="62B8A4B3" w14:textId="77777777" w:rsidR="00D63762" w:rsidRDefault="00C648CC">
      <w:pPr>
        <w:spacing w:before="240"/>
        <w:jc w:val="center"/>
        <w:rPr>
          <w:rFonts w:ascii="標楷體"/>
          <w:b/>
          <w:sz w:val="54"/>
          <w:szCs w:val="54"/>
        </w:rPr>
      </w:pPr>
      <w:r>
        <w:rPr>
          <w:rFonts w:ascii="標楷體" w:hint="eastAsia"/>
          <w:b/>
          <w:sz w:val="54"/>
          <w:szCs w:val="54"/>
        </w:rPr>
        <w:t>金門縣總決算</w:t>
      </w:r>
    </w:p>
    <w:p w14:paraId="60935F83" w14:textId="77777777" w:rsidR="00D63762" w:rsidRDefault="00C648CC">
      <w:pPr>
        <w:spacing w:before="120" w:after="240"/>
        <w:jc w:val="center"/>
        <w:rPr>
          <w:rFonts w:ascii="標楷體"/>
          <w:b/>
          <w:spacing w:val="20"/>
          <w:sz w:val="54"/>
          <w:szCs w:val="54"/>
        </w:rPr>
      </w:pPr>
      <w:r>
        <w:rPr>
          <w:rFonts w:ascii="標楷體" w:hint="eastAsia"/>
          <w:b/>
          <w:spacing w:val="20"/>
          <w:sz w:val="54"/>
          <w:szCs w:val="54"/>
        </w:rPr>
        <w:t>暨附屬單位決算及綜計表審核報告</w:t>
      </w:r>
    </w:p>
    <w:p w14:paraId="10C4016E" w14:textId="77777777" w:rsidR="00D63762" w:rsidRDefault="00C648CC">
      <w:pPr>
        <w:spacing w:before="120" w:after="120" w:line="400" w:lineRule="exact"/>
        <w:ind w:left="6361" w:hanging="3101"/>
        <w:jc w:val="right"/>
        <w:rPr>
          <w:rFonts w:ascii="標楷體"/>
          <w:b/>
          <w:sz w:val="32"/>
          <w:szCs w:val="32"/>
        </w:rPr>
      </w:pPr>
      <w:r>
        <w:rPr>
          <w:rFonts w:ascii="標楷體" w:hint="eastAsia"/>
          <w:b/>
          <w:sz w:val="32"/>
          <w:szCs w:val="32"/>
        </w:rPr>
        <w:t>審計部福建省金門縣審計室</w:t>
      </w:r>
    </w:p>
    <w:p w14:paraId="4A778E76" w14:textId="4FABCCDC" w:rsidR="00D63762" w:rsidRDefault="00C648CC">
      <w:pPr>
        <w:spacing w:after="120" w:line="400" w:lineRule="exact"/>
        <w:ind w:left="6361" w:hanging="3101"/>
        <w:jc w:val="right"/>
        <w:rPr>
          <w:rFonts w:ascii="標楷體"/>
          <w:b/>
          <w:spacing w:val="-20"/>
          <w:sz w:val="32"/>
          <w:szCs w:val="32"/>
        </w:rPr>
      </w:pPr>
      <w:r>
        <w:rPr>
          <w:rFonts w:ascii="標楷體" w:hint="eastAsia"/>
          <w:b/>
          <w:sz w:val="32"/>
          <w:szCs w:val="32"/>
        </w:rPr>
        <w:t xml:space="preserve">審計官兼主任  </w:t>
      </w:r>
      <w:r w:rsidR="004C095B">
        <w:rPr>
          <w:rFonts w:ascii="標楷體" w:hint="eastAsia"/>
          <w:b/>
          <w:sz w:val="32"/>
          <w:szCs w:val="32"/>
        </w:rPr>
        <w:t>吳</w:t>
      </w:r>
      <w:r>
        <w:rPr>
          <w:rFonts w:ascii="標楷體" w:hint="eastAsia"/>
          <w:b/>
          <w:sz w:val="32"/>
          <w:szCs w:val="32"/>
        </w:rPr>
        <w:t xml:space="preserve">  </w:t>
      </w:r>
      <w:r w:rsidR="004C095B">
        <w:rPr>
          <w:rFonts w:ascii="標楷體" w:hint="eastAsia"/>
          <w:b/>
          <w:sz w:val="32"/>
          <w:szCs w:val="32"/>
        </w:rPr>
        <w:t>惟</w:t>
      </w:r>
      <w:r>
        <w:rPr>
          <w:rFonts w:ascii="標楷體" w:hint="eastAsia"/>
          <w:b/>
          <w:sz w:val="32"/>
          <w:szCs w:val="32"/>
        </w:rPr>
        <w:t xml:space="preserve">  </w:t>
      </w:r>
      <w:r w:rsidR="004C095B">
        <w:rPr>
          <w:rFonts w:ascii="標楷體" w:hint="eastAsia"/>
          <w:b/>
          <w:sz w:val="32"/>
          <w:szCs w:val="32"/>
        </w:rPr>
        <w:t>裕</w:t>
      </w:r>
    </w:p>
    <w:p w14:paraId="67A112DE" w14:textId="77777777" w:rsidR="00D63762" w:rsidRDefault="00C648CC">
      <w:pPr>
        <w:spacing w:before="360" w:after="360" w:line="560" w:lineRule="exact"/>
        <w:jc w:val="center"/>
        <w:rPr>
          <w:rFonts w:ascii="標楷體"/>
          <w:spacing w:val="6"/>
          <w:sz w:val="48"/>
          <w:szCs w:val="48"/>
        </w:rPr>
      </w:pPr>
      <w:r>
        <w:rPr>
          <w:rFonts w:ascii="標楷體" w:hint="eastAsia"/>
          <w:b/>
          <w:spacing w:val="6"/>
          <w:sz w:val="48"/>
          <w:szCs w:val="48"/>
        </w:rPr>
        <w:t>前</w:t>
      </w:r>
      <w:r>
        <w:rPr>
          <w:rFonts w:ascii="標楷體"/>
          <w:spacing w:val="6"/>
          <w:sz w:val="48"/>
          <w:szCs w:val="48"/>
        </w:rPr>
        <w:t xml:space="preserve"> </w:t>
      </w:r>
      <w:r>
        <w:rPr>
          <w:rFonts w:ascii="標楷體" w:hint="eastAsia"/>
          <w:spacing w:val="6"/>
          <w:sz w:val="48"/>
          <w:szCs w:val="48"/>
        </w:rPr>
        <w:t xml:space="preserve">  </w:t>
      </w:r>
      <w:r>
        <w:rPr>
          <w:rFonts w:ascii="標楷體"/>
          <w:spacing w:val="6"/>
          <w:sz w:val="48"/>
          <w:szCs w:val="48"/>
        </w:rPr>
        <w:t xml:space="preserve">   </w:t>
      </w:r>
      <w:r>
        <w:rPr>
          <w:rFonts w:ascii="標楷體" w:hint="eastAsia"/>
          <w:spacing w:val="6"/>
          <w:sz w:val="48"/>
          <w:szCs w:val="48"/>
        </w:rPr>
        <w:t xml:space="preserve">  </w:t>
      </w:r>
      <w:r>
        <w:rPr>
          <w:rFonts w:ascii="標楷體" w:hint="eastAsia"/>
          <w:b/>
          <w:spacing w:val="6"/>
          <w:sz w:val="48"/>
          <w:szCs w:val="48"/>
        </w:rPr>
        <w:t>言</w:t>
      </w:r>
    </w:p>
    <w:p w14:paraId="295DABDC" w14:textId="5889AF8B" w:rsidR="00D63762" w:rsidRDefault="00C648CC">
      <w:pPr>
        <w:pStyle w:val="af9"/>
        <w:spacing w:line="660" w:lineRule="exact"/>
        <w:ind w:firstLine="664"/>
        <w:jc w:val="both"/>
        <w:rPr>
          <w:rFonts w:ascii="標楷體" w:eastAsia="標楷體"/>
          <w:spacing w:val="6"/>
          <w:sz w:val="32"/>
          <w:szCs w:val="32"/>
        </w:rPr>
      </w:pPr>
      <w:r>
        <w:rPr>
          <w:rFonts w:ascii="標楷體" w:eastAsia="標楷體" w:hint="eastAsia"/>
          <w:spacing w:val="6"/>
          <w:sz w:val="32"/>
          <w:szCs w:val="32"/>
        </w:rPr>
        <w:t>中華民國11</w:t>
      </w:r>
      <w:r w:rsidR="004C095B">
        <w:rPr>
          <w:rFonts w:ascii="標楷體" w:eastAsia="標楷體" w:hint="eastAsia"/>
          <w:spacing w:val="6"/>
          <w:sz w:val="32"/>
          <w:szCs w:val="32"/>
        </w:rPr>
        <w:t>3</w:t>
      </w:r>
      <w:r>
        <w:rPr>
          <w:rFonts w:ascii="標楷體" w:eastAsia="標楷體" w:hint="eastAsia"/>
          <w:spacing w:val="6"/>
          <w:sz w:val="32"/>
          <w:szCs w:val="32"/>
        </w:rPr>
        <w:t>年度金門縣總決算暨附屬單位決算及綜計表，係由金門縣政府依照地方制度法第42條規定，於11</w:t>
      </w:r>
      <w:r w:rsidR="004C095B">
        <w:rPr>
          <w:rFonts w:ascii="標楷體" w:eastAsia="標楷體" w:hint="eastAsia"/>
          <w:spacing w:val="6"/>
          <w:sz w:val="32"/>
          <w:szCs w:val="32"/>
        </w:rPr>
        <w:t>4</w:t>
      </w:r>
      <w:r>
        <w:rPr>
          <w:rFonts w:ascii="標楷體" w:eastAsia="標楷體" w:hint="eastAsia"/>
          <w:spacing w:val="6"/>
          <w:sz w:val="32"/>
          <w:szCs w:val="32"/>
        </w:rPr>
        <w:t>年4月</w:t>
      </w:r>
      <w:r>
        <w:rPr>
          <w:rFonts w:ascii="標楷體" w:eastAsia="標楷體"/>
          <w:spacing w:val="6"/>
          <w:sz w:val="32"/>
          <w:szCs w:val="32"/>
        </w:rPr>
        <w:t>30</w:t>
      </w:r>
      <w:r>
        <w:rPr>
          <w:rFonts w:ascii="標楷體" w:eastAsia="標楷體" w:hint="eastAsia"/>
          <w:spacing w:val="6"/>
          <w:sz w:val="32"/>
          <w:szCs w:val="32"/>
        </w:rPr>
        <w:t>日函送到室，本室依照同法條規定，已於3個月內完成審核，編造最終審定數額表，並提出金門縣總決算暨附屬單位決算及綜計表審核報告。</w:t>
      </w:r>
    </w:p>
    <w:p w14:paraId="0996EF44" w14:textId="2624696D" w:rsidR="00D63762" w:rsidRDefault="00C648CC">
      <w:pPr>
        <w:pStyle w:val="af9"/>
        <w:spacing w:before="240" w:line="660" w:lineRule="exact"/>
        <w:ind w:firstLine="664"/>
        <w:jc w:val="both"/>
        <w:rPr>
          <w:rFonts w:ascii="標楷體" w:eastAsia="標楷體"/>
          <w:spacing w:val="6"/>
          <w:sz w:val="32"/>
          <w:szCs w:val="32"/>
        </w:rPr>
      </w:pPr>
      <w:r>
        <w:rPr>
          <w:rFonts w:ascii="標楷體" w:eastAsia="標楷體" w:hint="eastAsia"/>
          <w:spacing w:val="6"/>
          <w:sz w:val="32"/>
          <w:szCs w:val="32"/>
        </w:rPr>
        <w:t>11</w:t>
      </w:r>
      <w:r w:rsidR="004C095B">
        <w:rPr>
          <w:rFonts w:ascii="標楷體" w:eastAsia="標楷體" w:hint="eastAsia"/>
          <w:spacing w:val="6"/>
          <w:sz w:val="32"/>
          <w:szCs w:val="32"/>
        </w:rPr>
        <w:t>3</w:t>
      </w:r>
      <w:r>
        <w:rPr>
          <w:rFonts w:ascii="標楷體" w:eastAsia="標楷體" w:hint="eastAsia"/>
          <w:spacing w:val="6"/>
          <w:sz w:val="32"/>
          <w:szCs w:val="32"/>
        </w:rPr>
        <w:t>年度金門縣計有編列單位決算之公務機關23個</w:t>
      </w:r>
      <w:r>
        <w:rPr>
          <w:rFonts w:ascii="標楷體" w:eastAsia="標楷體"/>
          <w:spacing w:val="6"/>
          <w:sz w:val="32"/>
          <w:szCs w:val="32"/>
        </w:rPr>
        <w:t>（</w:t>
      </w:r>
      <w:r>
        <w:rPr>
          <w:rFonts w:ascii="標楷體" w:eastAsia="標楷體" w:hint="eastAsia"/>
          <w:spacing w:val="6"/>
          <w:sz w:val="32"/>
          <w:szCs w:val="32"/>
        </w:rPr>
        <w:t>分預算5個</w:t>
      </w:r>
      <w:r>
        <w:rPr>
          <w:rFonts w:ascii="標楷體" w:eastAsia="標楷體"/>
          <w:spacing w:val="6"/>
          <w:sz w:val="32"/>
          <w:szCs w:val="32"/>
        </w:rPr>
        <w:t>）</w:t>
      </w:r>
      <w:r>
        <w:rPr>
          <w:rFonts w:ascii="標楷體" w:eastAsia="標楷體" w:hint="eastAsia"/>
          <w:spacing w:val="6"/>
          <w:sz w:val="32"/>
          <w:szCs w:val="32"/>
        </w:rPr>
        <w:t>；編列附屬單位決算之縣營事業單位6個（分支機構1個）；編列附屬單位決算之非營業特種基金單位</w:t>
      </w:r>
      <w:r w:rsidR="00DE354A" w:rsidRPr="00D11EAB">
        <w:rPr>
          <w:rFonts w:ascii="標楷體" w:eastAsia="標楷體" w:hint="eastAsia"/>
          <w:spacing w:val="6"/>
          <w:sz w:val="32"/>
          <w:szCs w:val="32"/>
        </w:rPr>
        <w:t>15</w:t>
      </w:r>
      <w:r w:rsidRPr="00D11EAB">
        <w:rPr>
          <w:rFonts w:ascii="標楷體" w:eastAsia="標楷體" w:hint="eastAsia"/>
          <w:spacing w:val="6"/>
          <w:sz w:val="32"/>
          <w:szCs w:val="32"/>
        </w:rPr>
        <w:t>個</w:t>
      </w:r>
      <w:r>
        <w:rPr>
          <w:rFonts w:ascii="標楷體" w:eastAsia="標楷體" w:hint="eastAsia"/>
          <w:spacing w:val="6"/>
          <w:sz w:val="32"/>
          <w:szCs w:val="32"/>
        </w:rPr>
        <w:t>（分預算32個）。總計審核4</w:t>
      </w:r>
      <w:r w:rsidR="00D11EAB">
        <w:rPr>
          <w:rFonts w:ascii="標楷體" w:eastAsia="標楷體" w:hint="eastAsia"/>
          <w:spacing w:val="6"/>
          <w:sz w:val="32"/>
          <w:szCs w:val="32"/>
        </w:rPr>
        <w:t>4</w:t>
      </w:r>
      <w:r>
        <w:rPr>
          <w:rFonts w:ascii="標楷體" w:eastAsia="標楷體" w:hint="eastAsia"/>
          <w:spacing w:val="6"/>
          <w:sz w:val="32"/>
          <w:szCs w:val="32"/>
        </w:rPr>
        <w:t>個機關單位（分預算、分支機構共計38個）之決算。</w:t>
      </w:r>
    </w:p>
    <w:p w14:paraId="7E65BD18" w14:textId="6891263C" w:rsidR="00D63762" w:rsidRPr="00274B04" w:rsidRDefault="00C648CC">
      <w:pPr>
        <w:pStyle w:val="af9"/>
        <w:spacing w:before="240" w:line="640" w:lineRule="exact"/>
        <w:ind w:firstLine="664"/>
        <w:jc w:val="both"/>
        <w:rPr>
          <w:rFonts w:ascii="標楷體" w:eastAsia="標楷體"/>
          <w:sz w:val="32"/>
          <w:szCs w:val="32"/>
        </w:rPr>
      </w:pPr>
      <w:r w:rsidRPr="00274B04">
        <w:rPr>
          <w:rFonts w:ascii="標楷體" w:eastAsia="標楷體" w:hint="eastAsia"/>
          <w:sz w:val="32"/>
          <w:szCs w:val="32"/>
        </w:rPr>
        <w:t>11</w:t>
      </w:r>
      <w:r w:rsidR="004C095B" w:rsidRPr="00274B04">
        <w:rPr>
          <w:rFonts w:ascii="標楷體" w:eastAsia="標楷體" w:hint="eastAsia"/>
          <w:sz w:val="32"/>
          <w:szCs w:val="32"/>
        </w:rPr>
        <w:t>3</w:t>
      </w:r>
      <w:r w:rsidRPr="00274B04">
        <w:rPr>
          <w:rFonts w:ascii="標楷體" w:eastAsia="標楷體" w:hint="eastAsia"/>
          <w:sz w:val="32"/>
          <w:szCs w:val="32"/>
        </w:rPr>
        <w:t>年度金門縣總決算審核結果，歲入決算</w:t>
      </w:r>
      <w:r w:rsidR="00585AE9" w:rsidRPr="00274B04">
        <w:rPr>
          <w:rFonts w:ascii="標楷體" w:eastAsia="標楷體" w:hint="eastAsia"/>
          <w:sz w:val="32"/>
          <w:szCs w:val="32"/>
        </w:rPr>
        <w:t>經修正淨增列</w:t>
      </w:r>
      <w:r w:rsidR="00DC525E" w:rsidRPr="00274B04">
        <w:rPr>
          <w:rFonts w:ascii="標楷體" w:eastAsia="標楷體" w:hint="eastAsia"/>
          <w:sz w:val="32"/>
          <w:szCs w:val="32"/>
        </w:rPr>
        <w:t>1</w:t>
      </w:r>
      <w:r w:rsidR="00DC525E" w:rsidRPr="00274B04">
        <w:rPr>
          <w:rFonts w:ascii="標楷體" w:eastAsia="標楷體"/>
          <w:sz w:val="32"/>
          <w:szCs w:val="32"/>
        </w:rPr>
        <w:t>,699</w:t>
      </w:r>
      <w:r w:rsidR="00585AE9" w:rsidRPr="00274B04">
        <w:rPr>
          <w:rFonts w:ascii="標楷體" w:eastAsia="標楷體" w:hint="eastAsia"/>
          <w:sz w:val="32"/>
          <w:szCs w:val="32"/>
        </w:rPr>
        <w:t>萬餘元（增列</w:t>
      </w:r>
      <w:r w:rsidR="00DC525E" w:rsidRPr="00274B04">
        <w:rPr>
          <w:rFonts w:ascii="標楷體" w:eastAsia="標楷體" w:hint="eastAsia"/>
          <w:sz w:val="32"/>
          <w:szCs w:val="32"/>
        </w:rPr>
        <w:t>1,</w:t>
      </w:r>
      <w:r w:rsidR="00DC525E" w:rsidRPr="00274B04">
        <w:rPr>
          <w:rFonts w:ascii="標楷體" w:eastAsia="標楷體"/>
          <w:sz w:val="32"/>
          <w:szCs w:val="32"/>
        </w:rPr>
        <w:t>705</w:t>
      </w:r>
      <w:r w:rsidR="00585AE9" w:rsidRPr="00274B04">
        <w:rPr>
          <w:rFonts w:ascii="標楷體" w:eastAsia="標楷體" w:hint="eastAsia"/>
          <w:sz w:val="32"/>
          <w:szCs w:val="32"/>
        </w:rPr>
        <w:t>萬元</w:t>
      </w:r>
      <w:r w:rsidR="00585AE9" w:rsidRPr="00274B04">
        <w:rPr>
          <w:rFonts w:ascii="標楷體" w:eastAsia="標楷體" w:hAnsi="標楷體" w:hint="eastAsia"/>
          <w:sz w:val="32"/>
          <w:szCs w:val="32"/>
        </w:rPr>
        <w:t>，減列</w:t>
      </w:r>
      <w:r w:rsidR="00DC525E" w:rsidRPr="00274B04">
        <w:rPr>
          <w:rFonts w:ascii="標楷體" w:eastAsia="標楷體" w:hAnsi="標楷體" w:hint="eastAsia"/>
          <w:sz w:val="32"/>
          <w:szCs w:val="32"/>
        </w:rPr>
        <w:t>5</w:t>
      </w:r>
      <w:r w:rsidR="00585AE9" w:rsidRPr="00274B04">
        <w:rPr>
          <w:rFonts w:ascii="標楷體" w:eastAsia="標楷體" w:hAnsi="標楷體" w:hint="eastAsia"/>
          <w:sz w:val="32"/>
          <w:szCs w:val="32"/>
        </w:rPr>
        <w:t>萬餘元</w:t>
      </w:r>
      <w:r w:rsidR="00585AE9" w:rsidRPr="00274B04">
        <w:rPr>
          <w:rFonts w:ascii="標楷體" w:eastAsia="標楷體" w:hint="eastAsia"/>
          <w:sz w:val="32"/>
          <w:szCs w:val="32"/>
        </w:rPr>
        <w:t>）</w:t>
      </w:r>
      <w:r w:rsidR="00585AE9" w:rsidRPr="00274B04">
        <w:rPr>
          <w:rFonts w:ascii="標楷體" w:eastAsia="標楷體" w:hAnsi="標楷體" w:hint="eastAsia"/>
          <w:sz w:val="32"/>
          <w:szCs w:val="32"/>
        </w:rPr>
        <w:t>，</w:t>
      </w:r>
      <w:r w:rsidRPr="00274B04">
        <w:rPr>
          <w:rFonts w:ascii="標楷體" w:eastAsia="標楷體" w:hint="eastAsia"/>
          <w:sz w:val="32"/>
          <w:szCs w:val="32"/>
        </w:rPr>
        <w:t>審定為</w:t>
      </w:r>
      <w:r w:rsidR="00DC525E" w:rsidRPr="00274B04">
        <w:rPr>
          <w:rFonts w:ascii="標楷體" w:eastAsia="標楷體" w:hint="eastAsia"/>
          <w:sz w:val="32"/>
          <w:szCs w:val="32"/>
        </w:rPr>
        <w:t>133</w:t>
      </w:r>
      <w:r w:rsidRPr="00274B04">
        <w:rPr>
          <w:rFonts w:ascii="標楷體" w:eastAsia="標楷體" w:hint="eastAsia"/>
          <w:sz w:val="32"/>
          <w:szCs w:val="32"/>
        </w:rPr>
        <w:t>億</w:t>
      </w:r>
      <w:r w:rsidR="00DC525E" w:rsidRPr="00274B04">
        <w:rPr>
          <w:rFonts w:ascii="標楷體" w:eastAsia="標楷體" w:hint="eastAsia"/>
          <w:sz w:val="32"/>
          <w:szCs w:val="32"/>
        </w:rPr>
        <w:t>5</w:t>
      </w:r>
      <w:r w:rsidR="00DC525E" w:rsidRPr="00274B04">
        <w:rPr>
          <w:rFonts w:ascii="標楷體" w:eastAsia="標楷體"/>
          <w:sz w:val="32"/>
          <w:szCs w:val="32"/>
        </w:rPr>
        <w:t>,</w:t>
      </w:r>
      <w:r w:rsidR="00DC525E" w:rsidRPr="00274B04">
        <w:rPr>
          <w:rFonts w:ascii="標楷體" w:eastAsia="標楷體" w:hint="eastAsia"/>
          <w:sz w:val="32"/>
          <w:szCs w:val="32"/>
        </w:rPr>
        <w:t>785</w:t>
      </w:r>
      <w:r w:rsidRPr="00274B04">
        <w:rPr>
          <w:rFonts w:ascii="標楷體" w:eastAsia="標楷體" w:hint="eastAsia"/>
          <w:sz w:val="32"/>
          <w:szCs w:val="32"/>
        </w:rPr>
        <w:t>萬餘元，較預算增加</w:t>
      </w:r>
      <w:r w:rsidR="00DC525E" w:rsidRPr="00274B04">
        <w:rPr>
          <w:rFonts w:ascii="標楷體" w:eastAsia="標楷體" w:hint="eastAsia"/>
          <w:sz w:val="32"/>
          <w:szCs w:val="32"/>
        </w:rPr>
        <w:t>5</w:t>
      </w:r>
      <w:r w:rsidRPr="00274B04">
        <w:rPr>
          <w:rFonts w:ascii="標楷體" w:eastAsia="標楷體" w:hint="eastAsia"/>
          <w:sz w:val="32"/>
          <w:szCs w:val="32"/>
        </w:rPr>
        <w:t>,</w:t>
      </w:r>
      <w:r w:rsidR="00DC525E" w:rsidRPr="00274B04">
        <w:rPr>
          <w:rFonts w:ascii="標楷體" w:eastAsia="標楷體"/>
          <w:sz w:val="32"/>
          <w:szCs w:val="32"/>
        </w:rPr>
        <w:t>888</w:t>
      </w:r>
      <w:r w:rsidRPr="00274B04">
        <w:rPr>
          <w:rFonts w:ascii="標楷體" w:eastAsia="標楷體" w:hint="eastAsia"/>
          <w:sz w:val="32"/>
          <w:szCs w:val="32"/>
        </w:rPr>
        <w:t>萬餘元，約為</w:t>
      </w:r>
      <w:r w:rsidR="00DC525E" w:rsidRPr="00274B04">
        <w:rPr>
          <w:rFonts w:ascii="標楷體" w:eastAsia="標楷體" w:hint="eastAsia"/>
          <w:sz w:val="32"/>
          <w:szCs w:val="32"/>
        </w:rPr>
        <w:t>0</w:t>
      </w:r>
      <w:r w:rsidR="00DC525E" w:rsidRPr="00274B04">
        <w:rPr>
          <w:rFonts w:ascii="標楷體" w:eastAsia="標楷體"/>
          <w:sz w:val="32"/>
          <w:szCs w:val="32"/>
        </w:rPr>
        <w:t>.44</w:t>
      </w:r>
      <w:r w:rsidRPr="00274B04">
        <w:rPr>
          <w:rFonts w:ascii="標楷體" w:eastAsia="標楷體" w:hint="eastAsia"/>
          <w:sz w:val="32"/>
          <w:szCs w:val="32"/>
        </w:rPr>
        <w:t>％；歲出決算</w:t>
      </w:r>
      <w:r w:rsidR="00585AE9" w:rsidRPr="00274B04">
        <w:rPr>
          <w:rFonts w:ascii="標楷體" w:eastAsia="標楷體" w:hint="eastAsia"/>
          <w:sz w:val="32"/>
          <w:szCs w:val="32"/>
        </w:rPr>
        <w:t>修正減列</w:t>
      </w:r>
      <w:r w:rsidR="00DC525E" w:rsidRPr="00274B04">
        <w:rPr>
          <w:rFonts w:ascii="標楷體" w:eastAsia="標楷體" w:hint="eastAsia"/>
          <w:sz w:val="32"/>
          <w:szCs w:val="32"/>
        </w:rPr>
        <w:t>8</w:t>
      </w:r>
      <w:r w:rsidR="00DC525E" w:rsidRPr="00274B04">
        <w:rPr>
          <w:rFonts w:ascii="標楷體" w:eastAsia="標楷體"/>
          <w:sz w:val="32"/>
          <w:szCs w:val="32"/>
        </w:rPr>
        <w:t>57</w:t>
      </w:r>
      <w:r w:rsidR="00585AE9" w:rsidRPr="00274B04">
        <w:rPr>
          <w:rFonts w:ascii="標楷體" w:eastAsia="標楷體" w:hint="eastAsia"/>
          <w:sz w:val="32"/>
          <w:szCs w:val="32"/>
        </w:rPr>
        <w:t>萬餘元</w:t>
      </w:r>
      <w:r w:rsidR="00585AE9" w:rsidRPr="00274B04">
        <w:rPr>
          <w:rFonts w:ascii="標楷體" w:eastAsia="標楷體" w:hAnsi="標楷體" w:hint="eastAsia"/>
          <w:sz w:val="32"/>
          <w:szCs w:val="32"/>
        </w:rPr>
        <w:t>，</w:t>
      </w:r>
      <w:r w:rsidRPr="00274B04">
        <w:rPr>
          <w:rFonts w:ascii="標楷體" w:eastAsia="標楷體" w:hint="eastAsia"/>
          <w:sz w:val="32"/>
          <w:szCs w:val="32"/>
        </w:rPr>
        <w:t>審定為1</w:t>
      </w:r>
      <w:r w:rsidRPr="00274B04">
        <w:rPr>
          <w:rFonts w:ascii="標楷體" w:eastAsia="標楷體"/>
          <w:sz w:val="32"/>
          <w:szCs w:val="32"/>
        </w:rPr>
        <w:t>3</w:t>
      </w:r>
      <w:r w:rsidR="00DC525E" w:rsidRPr="00274B04">
        <w:rPr>
          <w:rFonts w:ascii="標楷體" w:eastAsia="標楷體"/>
          <w:sz w:val="32"/>
          <w:szCs w:val="32"/>
        </w:rPr>
        <w:t>3</w:t>
      </w:r>
      <w:r w:rsidRPr="00274B04">
        <w:rPr>
          <w:rFonts w:ascii="標楷體" w:eastAsia="標楷體" w:hint="eastAsia"/>
          <w:sz w:val="32"/>
          <w:szCs w:val="32"/>
        </w:rPr>
        <w:t>億</w:t>
      </w:r>
      <w:r w:rsidR="00DC525E" w:rsidRPr="00274B04">
        <w:rPr>
          <w:rFonts w:ascii="標楷體" w:eastAsia="標楷體" w:hint="eastAsia"/>
          <w:sz w:val="32"/>
          <w:szCs w:val="32"/>
        </w:rPr>
        <w:t>1</w:t>
      </w:r>
      <w:r w:rsidRPr="00274B04">
        <w:rPr>
          <w:rFonts w:ascii="標楷體" w:eastAsia="標楷體" w:hint="eastAsia"/>
          <w:sz w:val="32"/>
          <w:szCs w:val="32"/>
        </w:rPr>
        <w:t>,</w:t>
      </w:r>
      <w:r w:rsidRPr="00274B04">
        <w:rPr>
          <w:rFonts w:ascii="標楷體" w:eastAsia="標楷體"/>
          <w:sz w:val="32"/>
          <w:szCs w:val="32"/>
        </w:rPr>
        <w:t>9</w:t>
      </w:r>
      <w:r w:rsidR="00DC525E" w:rsidRPr="00274B04">
        <w:rPr>
          <w:rFonts w:ascii="標楷體" w:eastAsia="標楷體"/>
          <w:sz w:val="32"/>
          <w:szCs w:val="32"/>
        </w:rPr>
        <w:t>73</w:t>
      </w:r>
      <w:r w:rsidRPr="00274B04">
        <w:rPr>
          <w:rFonts w:ascii="標楷體" w:eastAsia="標楷體" w:hint="eastAsia"/>
          <w:sz w:val="32"/>
          <w:szCs w:val="32"/>
        </w:rPr>
        <w:t>萬餘元，較預算減少</w:t>
      </w:r>
      <w:r w:rsidR="00DC525E" w:rsidRPr="00274B04">
        <w:rPr>
          <w:rFonts w:ascii="標楷體" w:eastAsia="標楷體" w:hint="eastAsia"/>
          <w:sz w:val="32"/>
          <w:szCs w:val="32"/>
        </w:rPr>
        <w:t>1</w:t>
      </w:r>
      <w:r w:rsidR="00DC525E" w:rsidRPr="00274B04">
        <w:rPr>
          <w:rFonts w:ascii="標楷體" w:eastAsia="標楷體"/>
          <w:sz w:val="32"/>
          <w:szCs w:val="32"/>
        </w:rPr>
        <w:t>9</w:t>
      </w:r>
      <w:r w:rsidRPr="00274B04">
        <w:rPr>
          <w:rFonts w:ascii="標楷體" w:eastAsia="標楷體" w:hint="eastAsia"/>
          <w:sz w:val="32"/>
          <w:szCs w:val="32"/>
        </w:rPr>
        <w:t>億</w:t>
      </w:r>
      <w:r w:rsidR="00DC525E" w:rsidRPr="00274B04">
        <w:rPr>
          <w:rFonts w:ascii="標楷體" w:eastAsia="標楷體" w:hint="eastAsia"/>
          <w:sz w:val="32"/>
          <w:szCs w:val="32"/>
        </w:rPr>
        <w:t>2</w:t>
      </w:r>
      <w:r w:rsidRPr="00274B04">
        <w:rPr>
          <w:rFonts w:ascii="標楷體" w:eastAsia="標楷體"/>
          <w:sz w:val="32"/>
          <w:szCs w:val="32"/>
        </w:rPr>
        <w:t>,</w:t>
      </w:r>
      <w:r w:rsidR="00DC525E" w:rsidRPr="00274B04">
        <w:rPr>
          <w:rFonts w:ascii="標楷體" w:eastAsia="標楷體"/>
          <w:sz w:val="32"/>
          <w:szCs w:val="32"/>
        </w:rPr>
        <w:t>794</w:t>
      </w:r>
      <w:r w:rsidRPr="00274B04">
        <w:rPr>
          <w:rFonts w:ascii="標楷體" w:eastAsia="標楷體" w:hint="eastAsia"/>
          <w:sz w:val="32"/>
          <w:szCs w:val="32"/>
        </w:rPr>
        <w:t>萬餘元，約為1</w:t>
      </w:r>
      <w:r w:rsidR="00DC525E" w:rsidRPr="00274B04">
        <w:rPr>
          <w:rFonts w:ascii="標楷體" w:eastAsia="標楷體"/>
          <w:sz w:val="32"/>
          <w:szCs w:val="32"/>
        </w:rPr>
        <w:t>2</w:t>
      </w:r>
      <w:r w:rsidRPr="00274B04">
        <w:rPr>
          <w:rFonts w:ascii="標楷體" w:eastAsia="標楷體"/>
          <w:sz w:val="32"/>
          <w:szCs w:val="32"/>
        </w:rPr>
        <w:t>.6</w:t>
      </w:r>
      <w:r w:rsidRPr="00274B04">
        <w:rPr>
          <w:rFonts w:ascii="標楷體" w:eastAsia="標楷體" w:hint="eastAsia"/>
          <w:sz w:val="32"/>
          <w:szCs w:val="32"/>
        </w:rPr>
        <w:t>4％；歲入歲出相抵，審定歲入歲出</w:t>
      </w:r>
      <w:r w:rsidR="00DC525E" w:rsidRPr="00274B04">
        <w:rPr>
          <w:rFonts w:ascii="標楷體" w:eastAsia="標楷體" w:hint="eastAsia"/>
          <w:sz w:val="32"/>
          <w:szCs w:val="32"/>
        </w:rPr>
        <w:t>賸餘</w:t>
      </w:r>
      <w:r w:rsidRPr="00274B04">
        <w:rPr>
          <w:rFonts w:ascii="標楷體" w:eastAsia="標楷體" w:hint="eastAsia"/>
          <w:sz w:val="32"/>
          <w:szCs w:val="32"/>
        </w:rPr>
        <w:t>為</w:t>
      </w:r>
      <w:r w:rsidR="00DC525E" w:rsidRPr="00274B04">
        <w:rPr>
          <w:rFonts w:ascii="標楷體" w:eastAsia="標楷體" w:hint="eastAsia"/>
          <w:sz w:val="32"/>
          <w:szCs w:val="32"/>
        </w:rPr>
        <w:t>3</w:t>
      </w:r>
      <w:r w:rsidRPr="00274B04">
        <w:rPr>
          <w:rFonts w:ascii="標楷體" w:eastAsia="標楷體"/>
          <w:sz w:val="32"/>
          <w:szCs w:val="32"/>
        </w:rPr>
        <w:t>,8</w:t>
      </w:r>
      <w:r w:rsidR="00DC525E" w:rsidRPr="00274B04">
        <w:rPr>
          <w:rFonts w:ascii="標楷體" w:eastAsia="標楷體" w:hint="eastAsia"/>
          <w:sz w:val="32"/>
          <w:szCs w:val="32"/>
        </w:rPr>
        <w:t>12</w:t>
      </w:r>
      <w:r w:rsidRPr="00274B04">
        <w:rPr>
          <w:rFonts w:ascii="標楷體" w:eastAsia="標楷體" w:hint="eastAsia"/>
          <w:sz w:val="32"/>
          <w:szCs w:val="32"/>
        </w:rPr>
        <w:t>萬餘元。</w:t>
      </w:r>
    </w:p>
    <w:p w14:paraId="2014472B" w14:textId="49DB2DE1" w:rsidR="00D63762" w:rsidRPr="00B04650" w:rsidRDefault="00C648CC">
      <w:pPr>
        <w:pStyle w:val="af9"/>
        <w:spacing w:line="660" w:lineRule="exact"/>
        <w:ind w:firstLine="648"/>
        <w:jc w:val="both"/>
        <w:rPr>
          <w:rFonts w:ascii="標楷體" w:eastAsia="標楷體"/>
          <w:spacing w:val="2"/>
          <w:sz w:val="32"/>
          <w:szCs w:val="32"/>
        </w:rPr>
      </w:pPr>
      <w:r>
        <w:rPr>
          <w:rFonts w:ascii="標楷體" w:eastAsia="標楷體" w:hint="eastAsia"/>
          <w:spacing w:val="2"/>
          <w:sz w:val="32"/>
          <w:szCs w:val="32"/>
        </w:rPr>
        <w:lastRenderedPageBreak/>
        <w:t>11</w:t>
      </w:r>
      <w:r w:rsidR="004C095B">
        <w:rPr>
          <w:rFonts w:ascii="標楷體" w:eastAsia="標楷體" w:hint="eastAsia"/>
          <w:spacing w:val="2"/>
          <w:sz w:val="32"/>
          <w:szCs w:val="32"/>
        </w:rPr>
        <w:t>3</w:t>
      </w:r>
      <w:r>
        <w:rPr>
          <w:rFonts w:ascii="標楷體" w:eastAsia="標楷體" w:hint="eastAsia"/>
          <w:spacing w:val="2"/>
          <w:sz w:val="32"/>
          <w:szCs w:val="32"/>
        </w:rPr>
        <w:t>年度縣營事業（總決算附屬單位決算營業部分）決算審核結果，審定總收入</w:t>
      </w:r>
      <w:r w:rsidR="00DC525E">
        <w:rPr>
          <w:rFonts w:ascii="標楷體" w:eastAsia="標楷體" w:hint="eastAsia"/>
          <w:spacing w:val="2"/>
          <w:sz w:val="32"/>
          <w:szCs w:val="32"/>
        </w:rPr>
        <w:t>144</w:t>
      </w:r>
      <w:r>
        <w:rPr>
          <w:rFonts w:ascii="標楷體" w:eastAsia="標楷體" w:hint="eastAsia"/>
          <w:spacing w:val="2"/>
          <w:sz w:val="32"/>
          <w:szCs w:val="32"/>
        </w:rPr>
        <w:t>億</w:t>
      </w:r>
      <w:r w:rsidR="00DC525E">
        <w:rPr>
          <w:rFonts w:ascii="標楷體" w:eastAsia="標楷體" w:hint="eastAsia"/>
          <w:spacing w:val="2"/>
          <w:sz w:val="32"/>
          <w:szCs w:val="32"/>
        </w:rPr>
        <w:t>1</w:t>
      </w:r>
      <w:r>
        <w:rPr>
          <w:rFonts w:ascii="標楷體" w:eastAsia="標楷體" w:hint="eastAsia"/>
          <w:spacing w:val="2"/>
          <w:sz w:val="32"/>
          <w:szCs w:val="32"/>
        </w:rPr>
        <w:t>,</w:t>
      </w:r>
      <w:r w:rsidR="00DC525E">
        <w:rPr>
          <w:rFonts w:ascii="標楷體" w:eastAsia="標楷體" w:hint="eastAsia"/>
          <w:spacing w:val="2"/>
          <w:sz w:val="32"/>
          <w:szCs w:val="32"/>
        </w:rPr>
        <w:t>557</w:t>
      </w:r>
      <w:r>
        <w:rPr>
          <w:rFonts w:ascii="標楷體" w:eastAsia="標楷體" w:hint="eastAsia"/>
          <w:spacing w:val="2"/>
          <w:sz w:val="32"/>
          <w:szCs w:val="32"/>
        </w:rPr>
        <w:t>萬餘元，總支</w:t>
      </w:r>
      <w:r w:rsidRPr="00B04650">
        <w:rPr>
          <w:rFonts w:ascii="標楷體" w:eastAsia="標楷體" w:hint="eastAsia"/>
          <w:spacing w:val="2"/>
          <w:sz w:val="32"/>
          <w:szCs w:val="32"/>
        </w:rPr>
        <w:t>出</w:t>
      </w:r>
      <w:r w:rsidR="00B04650" w:rsidRPr="00B04650">
        <w:rPr>
          <w:rFonts w:ascii="標楷體" w:eastAsia="標楷體" w:hint="eastAsia"/>
          <w:spacing w:val="2"/>
          <w:sz w:val="32"/>
          <w:szCs w:val="32"/>
        </w:rPr>
        <w:t>137億6,626萬餘元</w:t>
      </w:r>
      <w:r w:rsidRPr="00B04650">
        <w:rPr>
          <w:rFonts w:ascii="標楷體" w:eastAsia="標楷體" w:hint="eastAsia"/>
          <w:spacing w:val="2"/>
          <w:sz w:val="32"/>
          <w:szCs w:val="32"/>
        </w:rPr>
        <w:t>，淨利為</w:t>
      </w:r>
      <w:r w:rsidR="00B04650" w:rsidRPr="00B04650">
        <w:rPr>
          <w:rFonts w:ascii="標楷體" w:eastAsia="標楷體" w:hint="eastAsia"/>
          <w:spacing w:val="2"/>
          <w:sz w:val="32"/>
          <w:szCs w:val="32"/>
        </w:rPr>
        <w:t>6</w:t>
      </w:r>
      <w:r w:rsidRPr="00B04650">
        <w:rPr>
          <w:rFonts w:ascii="標楷體" w:eastAsia="標楷體" w:hint="eastAsia"/>
          <w:spacing w:val="2"/>
          <w:sz w:val="32"/>
          <w:szCs w:val="32"/>
        </w:rPr>
        <w:t>億</w:t>
      </w:r>
      <w:r w:rsidR="00B04650" w:rsidRPr="00B04650">
        <w:rPr>
          <w:rFonts w:ascii="標楷體" w:eastAsia="標楷體" w:hint="eastAsia"/>
          <w:spacing w:val="2"/>
          <w:sz w:val="32"/>
          <w:szCs w:val="32"/>
        </w:rPr>
        <w:t>4</w:t>
      </w:r>
      <w:r w:rsidRPr="00B04650">
        <w:rPr>
          <w:rFonts w:ascii="標楷體" w:eastAsia="標楷體" w:hint="eastAsia"/>
          <w:spacing w:val="2"/>
          <w:sz w:val="32"/>
          <w:szCs w:val="32"/>
        </w:rPr>
        <w:t>,</w:t>
      </w:r>
      <w:r w:rsidR="00B04650" w:rsidRPr="00B04650">
        <w:rPr>
          <w:rFonts w:ascii="標楷體" w:eastAsia="標楷體" w:hint="eastAsia"/>
          <w:spacing w:val="2"/>
          <w:sz w:val="32"/>
          <w:szCs w:val="32"/>
        </w:rPr>
        <w:t>9</w:t>
      </w:r>
      <w:r w:rsidRPr="00B04650">
        <w:rPr>
          <w:rFonts w:ascii="標楷體" w:eastAsia="標楷體"/>
          <w:spacing w:val="2"/>
          <w:sz w:val="32"/>
          <w:szCs w:val="32"/>
        </w:rPr>
        <w:t>30</w:t>
      </w:r>
      <w:r w:rsidRPr="00B04650">
        <w:rPr>
          <w:rFonts w:ascii="標楷體" w:eastAsia="標楷體" w:hint="eastAsia"/>
          <w:spacing w:val="2"/>
          <w:sz w:val="32"/>
          <w:szCs w:val="32"/>
        </w:rPr>
        <w:t>萬餘元，較預算增加</w:t>
      </w:r>
      <w:r w:rsidR="00B04650" w:rsidRPr="00B04650">
        <w:rPr>
          <w:rFonts w:ascii="標楷體" w:eastAsia="標楷體" w:hint="eastAsia"/>
          <w:spacing w:val="2"/>
          <w:sz w:val="32"/>
          <w:szCs w:val="32"/>
        </w:rPr>
        <w:t>1</w:t>
      </w:r>
      <w:r w:rsidRPr="00B04650">
        <w:rPr>
          <w:rFonts w:ascii="標楷體" w:eastAsia="標楷體" w:hint="eastAsia"/>
          <w:spacing w:val="2"/>
          <w:sz w:val="32"/>
          <w:szCs w:val="32"/>
        </w:rPr>
        <w:t>億</w:t>
      </w:r>
      <w:r w:rsidR="00B04650" w:rsidRPr="00B04650">
        <w:rPr>
          <w:rFonts w:ascii="標楷體" w:eastAsia="標楷體" w:hint="eastAsia"/>
          <w:spacing w:val="2"/>
          <w:sz w:val="32"/>
          <w:szCs w:val="32"/>
        </w:rPr>
        <w:t>8</w:t>
      </w:r>
      <w:r w:rsidRPr="00B04650">
        <w:rPr>
          <w:rFonts w:ascii="標楷體" w:eastAsia="標楷體"/>
          <w:spacing w:val="2"/>
          <w:sz w:val="32"/>
          <w:szCs w:val="32"/>
        </w:rPr>
        <w:t>,</w:t>
      </w:r>
      <w:r w:rsidR="00B04650" w:rsidRPr="00B04650">
        <w:rPr>
          <w:rFonts w:ascii="標楷體" w:eastAsia="標楷體" w:hint="eastAsia"/>
          <w:spacing w:val="2"/>
          <w:sz w:val="32"/>
          <w:szCs w:val="32"/>
        </w:rPr>
        <w:t>1</w:t>
      </w:r>
      <w:r w:rsidRPr="00B04650">
        <w:rPr>
          <w:rFonts w:ascii="標楷體" w:eastAsia="標楷體"/>
          <w:spacing w:val="2"/>
          <w:sz w:val="32"/>
          <w:szCs w:val="32"/>
        </w:rPr>
        <w:t>6</w:t>
      </w:r>
      <w:r w:rsidR="00B04650" w:rsidRPr="00B04650">
        <w:rPr>
          <w:rFonts w:ascii="標楷體" w:eastAsia="標楷體" w:hint="eastAsia"/>
          <w:spacing w:val="2"/>
          <w:sz w:val="32"/>
          <w:szCs w:val="32"/>
        </w:rPr>
        <w:t>0</w:t>
      </w:r>
      <w:r w:rsidRPr="00B04650">
        <w:rPr>
          <w:rFonts w:ascii="標楷體" w:eastAsia="標楷體" w:hint="eastAsia"/>
          <w:spacing w:val="2"/>
          <w:sz w:val="32"/>
          <w:szCs w:val="32"/>
        </w:rPr>
        <w:t>萬餘元</w:t>
      </w:r>
      <w:r w:rsidRPr="00B04650">
        <w:rPr>
          <w:rFonts w:ascii="標楷體" w:eastAsia="標楷體" w:hint="eastAsia"/>
          <w:spacing w:val="6"/>
          <w:sz w:val="32"/>
          <w:szCs w:val="32"/>
        </w:rPr>
        <w:t>，約為</w:t>
      </w:r>
      <w:r w:rsidR="00B04650" w:rsidRPr="00B04650">
        <w:rPr>
          <w:rFonts w:ascii="標楷體" w:eastAsia="標楷體" w:hint="eastAsia"/>
          <w:spacing w:val="6"/>
          <w:sz w:val="32"/>
          <w:szCs w:val="32"/>
        </w:rPr>
        <w:t>38.83</w:t>
      </w:r>
      <w:r w:rsidRPr="00B04650">
        <w:rPr>
          <w:rFonts w:ascii="標楷體" w:eastAsia="標楷體" w:hint="eastAsia"/>
          <w:spacing w:val="6"/>
          <w:sz w:val="32"/>
          <w:szCs w:val="32"/>
        </w:rPr>
        <w:t>％</w:t>
      </w:r>
      <w:r w:rsidRPr="00B04650">
        <w:rPr>
          <w:rFonts w:ascii="標楷體" w:eastAsia="標楷體" w:hint="eastAsia"/>
          <w:spacing w:val="2"/>
          <w:sz w:val="32"/>
          <w:szCs w:val="32"/>
        </w:rPr>
        <w:t>。審定繳庫股息紅利為3億元，與預算相同。</w:t>
      </w:r>
    </w:p>
    <w:p w14:paraId="44FB036E" w14:textId="2935B601" w:rsidR="00D63762" w:rsidRDefault="00C648CC">
      <w:pPr>
        <w:pStyle w:val="af9"/>
        <w:spacing w:before="120" w:line="660" w:lineRule="exact"/>
        <w:ind w:firstLine="664"/>
        <w:jc w:val="both"/>
        <w:rPr>
          <w:rFonts w:ascii="標楷體" w:eastAsia="標楷體"/>
          <w:spacing w:val="6"/>
          <w:sz w:val="32"/>
          <w:szCs w:val="32"/>
        </w:rPr>
      </w:pPr>
      <w:r>
        <w:rPr>
          <w:rFonts w:ascii="標楷體" w:eastAsia="標楷體" w:hint="eastAsia"/>
          <w:spacing w:val="6"/>
          <w:sz w:val="32"/>
          <w:szCs w:val="32"/>
        </w:rPr>
        <w:t>11</w:t>
      </w:r>
      <w:r w:rsidR="004C095B">
        <w:rPr>
          <w:rFonts w:ascii="標楷體" w:eastAsia="標楷體" w:hint="eastAsia"/>
          <w:spacing w:val="6"/>
          <w:sz w:val="32"/>
          <w:szCs w:val="32"/>
        </w:rPr>
        <w:t>3</w:t>
      </w:r>
      <w:r>
        <w:rPr>
          <w:rFonts w:ascii="標楷體" w:eastAsia="標楷體" w:hint="eastAsia"/>
          <w:spacing w:val="6"/>
          <w:sz w:val="32"/>
          <w:szCs w:val="32"/>
        </w:rPr>
        <w:t>年度非營業特種基金（總決算附屬單位決算非營業部分）決算審核結果，審定總收入（含基金來源）</w:t>
      </w:r>
      <w:r w:rsidR="00B507AF">
        <w:rPr>
          <w:rFonts w:ascii="標楷體" w:eastAsia="標楷體" w:hint="eastAsia"/>
          <w:spacing w:val="6"/>
          <w:sz w:val="32"/>
          <w:szCs w:val="32"/>
        </w:rPr>
        <w:t>63</w:t>
      </w:r>
      <w:r>
        <w:rPr>
          <w:rFonts w:ascii="標楷體" w:eastAsia="標楷體" w:hint="eastAsia"/>
          <w:spacing w:val="6"/>
          <w:sz w:val="32"/>
          <w:szCs w:val="32"/>
        </w:rPr>
        <w:t>億</w:t>
      </w:r>
      <w:r w:rsidR="00B507AF">
        <w:rPr>
          <w:rFonts w:ascii="標楷體" w:eastAsia="標楷體" w:hint="eastAsia"/>
          <w:spacing w:val="6"/>
          <w:sz w:val="32"/>
          <w:szCs w:val="32"/>
        </w:rPr>
        <w:t>7</w:t>
      </w:r>
      <w:r>
        <w:rPr>
          <w:rFonts w:ascii="標楷體" w:eastAsia="標楷體" w:hint="eastAsia"/>
          <w:spacing w:val="6"/>
          <w:sz w:val="32"/>
          <w:szCs w:val="32"/>
        </w:rPr>
        <w:t>,</w:t>
      </w:r>
      <w:r w:rsidR="00B507AF">
        <w:rPr>
          <w:rFonts w:ascii="標楷體" w:eastAsia="標楷體" w:hint="eastAsia"/>
          <w:spacing w:val="6"/>
          <w:sz w:val="32"/>
          <w:szCs w:val="32"/>
        </w:rPr>
        <w:t>404</w:t>
      </w:r>
      <w:r>
        <w:rPr>
          <w:rFonts w:ascii="標楷體" w:eastAsia="標楷體" w:hint="eastAsia"/>
          <w:spacing w:val="6"/>
          <w:sz w:val="32"/>
          <w:szCs w:val="32"/>
        </w:rPr>
        <w:t>萬餘元，總支出（含基金用途）</w:t>
      </w:r>
      <w:r w:rsidR="00B507AF">
        <w:rPr>
          <w:rFonts w:ascii="標楷體" w:eastAsia="標楷體" w:hint="eastAsia"/>
          <w:spacing w:val="6"/>
          <w:sz w:val="32"/>
          <w:szCs w:val="32"/>
        </w:rPr>
        <w:t>61</w:t>
      </w:r>
      <w:r>
        <w:rPr>
          <w:rFonts w:ascii="標楷體" w:eastAsia="標楷體" w:hint="eastAsia"/>
          <w:spacing w:val="6"/>
          <w:sz w:val="32"/>
          <w:szCs w:val="32"/>
        </w:rPr>
        <w:t>億</w:t>
      </w:r>
      <w:r w:rsidR="00B507AF">
        <w:rPr>
          <w:rFonts w:ascii="標楷體" w:eastAsia="標楷體" w:hint="eastAsia"/>
          <w:spacing w:val="6"/>
          <w:sz w:val="32"/>
          <w:szCs w:val="32"/>
        </w:rPr>
        <w:t>164</w:t>
      </w:r>
      <w:r>
        <w:rPr>
          <w:rFonts w:ascii="標楷體" w:eastAsia="標楷體" w:hint="eastAsia"/>
          <w:spacing w:val="6"/>
          <w:sz w:val="32"/>
          <w:szCs w:val="32"/>
        </w:rPr>
        <w:t>萬餘元，</w:t>
      </w:r>
      <w:r w:rsidR="00B507AF">
        <w:rPr>
          <w:rFonts w:ascii="標楷體" w:eastAsia="標楷體" w:hint="eastAsia"/>
          <w:spacing w:val="6"/>
          <w:sz w:val="32"/>
          <w:szCs w:val="32"/>
        </w:rPr>
        <w:t>賸餘2</w:t>
      </w:r>
      <w:r>
        <w:rPr>
          <w:rFonts w:ascii="標楷體" w:eastAsia="標楷體" w:hint="eastAsia"/>
          <w:spacing w:val="6"/>
          <w:sz w:val="32"/>
          <w:szCs w:val="32"/>
        </w:rPr>
        <w:t>億</w:t>
      </w:r>
      <w:r w:rsidR="00B507AF">
        <w:rPr>
          <w:rFonts w:ascii="標楷體" w:eastAsia="標楷體" w:hint="eastAsia"/>
          <w:spacing w:val="6"/>
          <w:sz w:val="32"/>
          <w:szCs w:val="32"/>
        </w:rPr>
        <w:t>7</w:t>
      </w:r>
      <w:r>
        <w:rPr>
          <w:rFonts w:ascii="標楷體" w:eastAsia="標楷體" w:hint="eastAsia"/>
          <w:spacing w:val="6"/>
          <w:sz w:val="32"/>
          <w:szCs w:val="32"/>
        </w:rPr>
        <w:t>,</w:t>
      </w:r>
      <w:r w:rsidR="00B507AF">
        <w:rPr>
          <w:rFonts w:ascii="標楷體" w:eastAsia="標楷體" w:hint="eastAsia"/>
          <w:spacing w:val="6"/>
          <w:sz w:val="32"/>
          <w:szCs w:val="32"/>
        </w:rPr>
        <w:t>240</w:t>
      </w:r>
      <w:r>
        <w:rPr>
          <w:rFonts w:ascii="標楷體" w:eastAsia="標楷體" w:hint="eastAsia"/>
          <w:spacing w:val="6"/>
          <w:sz w:val="32"/>
          <w:szCs w:val="32"/>
        </w:rPr>
        <w:t>萬餘元，較預算減少7,</w:t>
      </w:r>
      <w:r w:rsidR="00B507AF">
        <w:rPr>
          <w:rFonts w:ascii="標楷體" w:eastAsia="標楷體" w:hint="eastAsia"/>
          <w:spacing w:val="6"/>
          <w:sz w:val="32"/>
          <w:szCs w:val="32"/>
        </w:rPr>
        <w:t>722</w:t>
      </w:r>
      <w:r>
        <w:rPr>
          <w:rFonts w:ascii="標楷體" w:eastAsia="標楷體" w:hint="eastAsia"/>
          <w:spacing w:val="6"/>
          <w:sz w:val="32"/>
          <w:szCs w:val="32"/>
        </w:rPr>
        <w:t>萬餘元，約為</w:t>
      </w:r>
      <w:r w:rsidR="00B507AF">
        <w:rPr>
          <w:rFonts w:ascii="標楷體" w:eastAsia="標楷體" w:hint="eastAsia"/>
          <w:spacing w:val="6"/>
          <w:sz w:val="32"/>
          <w:szCs w:val="32"/>
        </w:rPr>
        <w:t>22.09</w:t>
      </w:r>
      <w:r>
        <w:rPr>
          <w:rFonts w:ascii="標楷體" w:eastAsia="標楷體" w:hint="eastAsia"/>
          <w:spacing w:val="6"/>
          <w:sz w:val="32"/>
          <w:szCs w:val="32"/>
        </w:rPr>
        <w:t>％。</w:t>
      </w:r>
    </w:p>
    <w:p w14:paraId="6CBF5F63" w14:textId="56E3A6A5" w:rsidR="00D63762" w:rsidRPr="00CF7FE8" w:rsidRDefault="00C648CC" w:rsidP="00274B04">
      <w:pPr>
        <w:pStyle w:val="af9"/>
        <w:spacing w:before="240" w:line="680" w:lineRule="exact"/>
        <w:ind w:firstLine="663"/>
        <w:jc w:val="both"/>
        <w:rPr>
          <w:rFonts w:ascii="標楷體" w:eastAsia="標楷體"/>
          <w:sz w:val="32"/>
          <w:szCs w:val="32"/>
        </w:rPr>
      </w:pPr>
      <w:r w:rsidRPr="00CF7FE8">
        <w:rPr>
          <w:rFonts w:ascii="標楷體" w:eastAsia="標楷體" w:hint="eastAsia"/>
          <w:sz w:val="32"/>
          <w:szCs w:val="32"/>
        </w:rPr>
        <w:t>11</w:t>
      </w:r>
      <w:r w:rsidR="004C095B" w:rsidRPr="00CF7FE8">
        <w:rPr>
          <w:rFonts w:ascii="標楷體" w:eastAsia="標楷體" w:hint="eastAsia"/>
          <w:sz w:val="32"/>
          <w:szCs w:val="32"/>
        </w:rPr>
        <w:t>3</w:t>
      </w:r>
      <w:r w:rsidRPr="00CF7FE8">
        <w:rPr>
          <w:rFonts w:ascii="標楷體" w:eastAsia="標楷體" w:hint="eastAsia"/>
          <w:sz w:val="32"/>
          <w:szCs w:val="32"/>
        </w:rPr>
        <w:t>年度金門縣總預算執行結果，歲入歲出</w:t>
      </w:r>
      <w:r w:rsidR="00DE354A" w:rsidRPr="00CF7FE8">
        <w:rPr>
          <w:rFonts w:ascii="標楷體" w:eastAsia="標楷體" w:hint="eastAsia"/>
          <w:sz w:val="32"/>
          <w:szCs w:val="32"/>
        </w:rPr>
        <w:t>賸餘</w:t>
      </w:r>
      <w:r w:rsidR="0065355E" w:rsidRPr="00CF7FE8">
        <w:rPr>
          <w:rFonts w:ascii="標楷體" w:eastAsia="標楷體" w:hint="eastAsia"/>
          <w:sz w:val="32"/>
          <w:szCs w:val="32"/>
        </w:rPr>
        <w:t>3</w:t>
      </w:r>
      <w:r w:rsidRPr="00CF7FE8">
        <w:rPr>
          <w:rFonts w:ascii="標楷體" w:eastAsia="標楷體"/>
          <w:sz w:val="32"/>
          <w:szCs w:val="32"/>
        </w:rPr>
        <w:t>,</w:t>
      </w:r>
      <w:r w:rsidR="0065355E" w:rsidRPr="00CF7FE8">
        <w:rPr>
          <w:rFonts w:ascii="標楷體" w:eastAsia="標楷體" w:hint="eastAsia"/>
          <w:sz w:val="32"/>
          <w:szCs w:val="32"/>
        </w:rPr>
        <w:t>812</w:t>
      </w:r>
      <w:r w:rsidRPr="00CF7FE8">
        <w:rPr>
          <w:rFonts w:ascii="標楷體" w:eastAsia="標楷體" w:hint="eastAsia"/>
          <w:sz w:val="32"/>
          <w:szCs w:val="32"/>
        </w:rPr>
        <w:t>萬餘元，</w:t>
      </w:r>
      <w:r w:rsidR="00EE43D8" w:rsidRPr="00CF7FE8">
        <w:rPr>
          <w:rFonts w:ascii="標楷體" w:eastAsia="標楷體" w:hAnsi="標楷體" w:hint="eastAsia"/>
          <w:color w:val="000000" w:themeColor="text1"/>
          <w:sz w:val="32"/>
          <w:szCs w:val="32"/>
        </w:rPr>
        <w:t>雖較1</w:t>
      </w:r>
      <w:r w:rsidR="00EE43D8" w:rsidRPr="00CF7FE8">
        <w:rPr>
          <w:rFonts w:ascii="標楷體" w:eastAsia="標楷體" w:hAnsi="標楷體"/>
          <w:color w:val="000000" w:themeColor="text1"/>
          <w:sz w:val="32"/>
          <w:szCs w:val="32"/>
        </w:rPr>
        <w:t>12</w:t>
      </w:r>
      <w:r w:rsidR="00EE43D8" w:rsidRPr="00CF7FE8">
        <w:rPr>
          <w:rFonts w:ascii="標楷體" w:eastAsia="標楷體" w:hAnsi="標楷體" w:hint="eastAsia"/>
          <w:color w:val="000000" w:themeColor="text1"/>
          <w:sz w:val="32"/>
          <w:szCs w:val="32"/>
        </w:rPr>
        <w:t>年度短絀</w:t>
      </w:r>
      <w:r w:rsidR="00EE43D8" w:rsidRPr="00CF7FE8">
        <w:rPr>
          <w:rFonts w:ascii="標楷體" w:eastAsia="標楷體" w:hAnsi="標楷體"/>
          <w:color w:val="000000" w:themeColor="text1"/>
          <w:sz w:val="32"/>
          <w:szCs w:val="32"/>
        </w:rPr>
        <w:t>8</w:t>
      </w:r>
      <w:r w:rsidR="00EE43D8" w:rsidRPr="00CF7FE8">
        <w:rPr>
          <w:rFonts w:ascii="標楷體" w:eastAsia="標楷體" w:hAnsi="標楷體" w:hint="eastAsia"/>
          <w:color w:val="000000" w:themeColor="text1"/>
          <w:sz w:val="32"/>
          <w:szCs w:val="32"/>
        </w:rPr>
        <w:t>,</w:t>
      </w:r>
      <w:r w:rsidR="00EE43D8" w:rsidRPr="00CF7FE8">
        <w:rPr>
          <w:rFonts w:ascii="標楷體" w:eastAsia="標楷體" w:hAnsi="標楷體"/>
          <w:color w:val="000000" w:themeColor="text1"/>
          <w:sz w:val="32"/>
          <w:szCs w:val="32"/>
        </w:rPr>
        <w:t>908</w:t>
      </w:r>
      <w:r w:rsidR="00EE43D8" w:rsidRPr="00CF7FE8">
        <w:rPr>
          <w:rFonts w:ascii="標楷體" w:eastAsia="標楷體" w:hAnsi="標楷體" w:hint="eastAsia"/>
          <w:color w:val="000000" w:themeColor="text1"/>
          <w:sz w:val="32"/>
          <w:szCs w:val="32"/>
        </w:rPr>
        <w:t>萬餘元已有改善，惟縣庫餘額由10</w:t>
      </w:r>
      <w:r w:rsidR="00EE43D8" w:rsidRPr="00CF7FE8">
        <w:rPr>
          <w:rFonts w:ascii="標楷體" w:eastAsia="標楷體" w:hAnsi="標楷體"/>
          <w:color w:val="000000" w:themeColor="text1"/>
          <w:sz w:val="32"/>
          <w:szCs w:val="32"/>
        </w:rPr>
        <w:t>5</w:t>
      </w:r>
      <w:r w:rsidR="00EE43D8" w:rsidRPr="00CF7FE8">
        <w:rPr>
          <w:rFonts w:ascii="標楷體" w:eastAsia="標楷體" w:hAnsi="標楷體" w:hint="eastAsia"/>
          <w:color w:val="000000" w:themeColor="text1"/>
          <w:sz w:val="32"/>
          <w:szCs w:val="32"/>
        </w:rPr>
        <w:t>年底之</w:t>
      </w:r>
      <w:r w:rsidR="00EE43D8" w:rsidRPr="00CF7FE8">
        <w:rPr>
          <w:rFonts w:ascii="標楷體" w:eastAsia="標楷體" w:hAnsi="標楷體"/>
          <w:color w:val="000000" w:themeColor="text1"/>
          <w:sz w:val="32"/>
          <w:szCs w:val="32"/>
        </w:rPr>
        <w:t>182</w:t>
      </w:r>
      <w:r w:rsidR="00EE43D8" w:rsidRPr="00CF7FE8">
        <w:rPr>
          <w:rFonts w:ascii="標楷體" w:eastAsia="標楷體" w:hAnsi="標楷體" w:hint="eastAsia"/>
          <w:color w:val="000000" w:themeColor="text1"/>
          <w:sz w:val="32"/>
          <w:szCs w:val="32"/>
        </w:rPr>
        <w:t>億</w:t>
      </w:r>
      <w:r w:rsidR="00EE43D8" w:rsidRPr="00CF7FE8">
        <w:rPr>
          <w:rFonts w:ascii="標楷體" w:eastAsia="標楷體" w:hAnsi="標楷體"/>
          <w:color w:val="000000" w:themeColor="text1"/>
          <w:sz w:val="32"/>
          <w:szCs w:val="32"/>
        </w:rPr>
        <w:t>9,464</w:t>
      </w:r>
      <w:r w:rsidR="00EE43D8" w:rsidRPr="00CF7FE8">
        <w:rPr>
          <w:rFonts w:ascii="標楷體" w:eastAsia="標楷體" w:hAnsi="標楷體" w:hint="eastAsia"/>
          <w:color w:val="000000" w:themeColor="text1"/>
          <w:sz w:val="32"/>
          <w:szCs w:val="32"/>
        </w:rPr>
        <w:t>萬餘元，下降至113年底之72億509萬餘元，減幅達60.62％</w:t>
      </w:r>
      <w:r w:rsidR="000C5CA9" w:rsidRPr="00CF7FE8">
        <w:rPr>
          <w:rFonts w:ascii="標楷體" w:eastAsia="標楷體" w:hAnsi="標楷體" w:hint="eastAsia"/>
          <w:color w:val="000000" w:themeColor="text1"/>
          <w:sz w:val="32"/>
          <w:szCs w:val="32"/>
        </w:rPr>
        <w:t>，</w:t>
      </w:r>
      <w:r w:rsidR="00CF7FE8" w:rsidRPr="00CF7FE8">
        <w:rPr>
          <w:rFonts w:ascii="標楷體" w:eastAsia="標楷體" w:hAnsi="標楷體" w:hint="eastAsia"/>
          <w:color w:val="000000" w:themeColor="text1"/>
          <w:sz w:val="32"/>
          <w:szCs w:val="32"/>
        </w:rPr>
        <w:t>另</w:t>
      </w:r>
      <w:r w:rsidR="00370EEA" w:rsidRPr="00CF7FE8">
        <w:rPr>
          <w:rFonts w:ascii="標楷體" w:eastAsia="標楷體" w:hAnsi="標楷體" w:hint="eastAsia"/>
          <w:color w:val="000000" w:themeColor="text1"/>
          <w:sz w:val="32"/>
          <w:szCs w:val="32"/>
        </w:rPr>
        <w:t>113年度歲入自籌財源</w:t>
      </w:r>
      <w:r w:rsidR="00CF7FE8" w:rsidRPr="00CF7FE8">
        <w:rPr>
          <w:rFonts w:ascii="標楷體" w:eastAsia="標楷體" w:hAnsi="標楷體" w:hint="eastAsia"/>
          <w:color w:val="000000" w:themeColor="text1"/>
          <w:sz w:val="32"/>
          <w:szCs w:val="32"/>
        </w:rPr>
        <w:t>44</w:t>
      </w:r>
      <w:r w:rsidR="00370EEA" w:rsidRPr="00CF7FE8">
        <w:rPr>
          <w:rFonts w:ascii="標楷體" w:eastAsia="標楷體" w:hAnsi="標楷體" w:hint="eastAsia"/>
          <w:color w:val="000000" w:themeColor="text1"/>
          <w:sz w:val="32"/>
          <w:szCs w:val="32"/>
        </w:rPr>
        <w:t>億</w:t>
      </w:r>
      <w:r w:rsidR="00CF7FE8" w:rsidRPr="00CF7FE8">
        <w:rPr>
          <w:rFonts w:ascii="標楷體" w:eastAsia="標楷體" w:hAnsi="標楷體" w:hint="eastAsia"/>
          <w:color w:val="000000" w:themeColor="text1"/>
          <w:sz w:val="32"/>
          <w:szCs w:val="32"/>
        </w:rPr>
        <w:t>7</w:t>
      </w:r>
      <w:r w:rsidR="00CF7FE8" w:rsidRPr="00CF7FE8">
        <w:rPr>
          <w:rFonts w:ascii="標楷體" w:eastAsia="標楷體" w:hAnsi="標楷體"/>
          <w:color w:val="000000" w:themeColor="text1"/>
          <w:sz w:val="32"/>
          <w:szCs w:val="32"/>
        </w:rPr>
        <w:t>,1</w:t>
      </w:r>
      <w:r w:rsidR="00370EEA" w:rsidRPr="00CF7FE8">
        <w:rPr>
          <w:rFonts w:ascii="標楷體" w:eastAsia="標楷體" w:hAnsi="標楷體" w:hint="eastAsia"/>
          <w:color w:val="000000" w:themeColor="text1"/>
          <w:sz w:val="32"/>
          <w:szCs w:val="32"/>
        </w:rPr>
        <w:t>61萬餘元，較112年度之54億3,867萬餘元，</w:t>
      </w:r>
      <w:r w:rsidR="00CF7FE8" w:rsidRPr="00CF7FE8">
        <w:rPr>
          <w:rFonts w:ascii="標楷體" w:eastAsia="標楷體" w:hAnsi="標楷體" w:hint="eastAsia"/>
          <w:color w:val="000000" w:themeColor="text1"/>
          <w:sz w:val="32"/>
          <w:szCs w:val="32"/>
        </w:rPr>
        <w:t>減少</w:t>
      </w:r>
      <w:r w:rsidR="00370EEA" w:rsidRPr="00CF7FE8">
        <w:rPr>
          <w:rFonts w:ascii="標楷體" w:eastAsia="標楷體" w:hAnsi="標楷體" w:hint="eastAsia"/>
          <w:color w:val="000000" w:themeColor="text1"/>
          <w:sz w:val="32"/>
          <w:szCs w:val="32"/>
        </w:rPr>
        <w:t>9億</w:t>
      </w:r>
      <w:r w:rsidR="00CF7FE8" w:rsidRPr="00CF7FE8">
        <w:rPr>
          <w:rFonts w:ascii="標楷體" w:eastAsia="標楷體" w:hAnsi="標楷體" w:hint="eastAsia"/>
          <w:color w:val="000000" w:themeColor="text1"/>
          <w:sz w:val="32"/>
          <w:szCs w:val="32"/>
        </w:rPr>
        <w:t>6</w:t>
      </w:r>
      <w:r w:rsidR="00370EEA" w:rsidRPr="00CF7FE8">
        <w:rPr>
          <w:rFonts w:ascii="標楷體" w:eastAsia="標楷體" w:hAnsi="標楷體" w:hint="eastAsia"/>
          <w:color w:val="000000" w:themeColor="text1"/>
          <w:sz w:val="32"/>
          <w:szCs w:val="32"/>
        </w:rPr>
        <w:t>,</w:t>
      </w:r>
      <w:r w:rsidR="00CF7FE8" w:rsidRPr="00CF7FE8">
        <w:rPr>
          <w:rFonts w:ascii="標楷體" w:eastAsia="標楷體" w:hAnsi="標楷體" w:hint="eastAsia"/>
          <w:color w:val="000000" w:themeColor="text1"/>
          <w:sz w:val="32"/>
          <w:szCs w:val="32"/>
        </w:rPr>
        <w:t>706</w:t>
      </w:r>
      <w:r w:rsidR="00370EEA" w:rsidRPr="00CF7FE8">
        <w:rPr>
          <w:rFonts w:ascii="標楷體" w:eastAsia="標楷體" w:hAnsi="標楷體" w:hint="eastAsia"/>
          <w:color w:val="000000" w:themeColor="text1"/>
          <w:sz w:val="32"/>
          <w:szCs w:val="32"/>
        </w:rPr>
        <w:t>萬餘元，</w:t>
      </w:r>
      <w:r w:rsidR="00CF7FE8" w:rsidRPr="00CF7FE8">
        <w:rPr>
          <w:rFonts w:ascii="標楷體" w:eastAsia="標楷體" w:hAnsi="標楷體" w:hint="eastAsia"/>
          <w:color w:val="000000" w:themeColor="text1"/>
          <w:sz w:val="32"/>
          <w:szCs w:val="32"/>
        </w:rPr>
        <w:t>減幅17.78％，且</w:t>
      </w:r>
      <w:r w:rsidR="00370EEA" w:rsidRPr="00CF7FE8">
        <w:rPr>
          <w:rFonts w:ascii="標楷體" w:eastAsia="標楷體" w:hAnsi="標楷體" w:hint="eastAsia"/>
          <w:color w:val="000000" w:themeColor="text1"/>
          <w:sz w:val="32"/>
          <w:szCs w:val="32"/>
        </w:rPr>
        <w:t>近5年度自籌財源占歲出決算數比率介於26.83％至40.12％，顯示</w:t>
      </w:r>
      <w:r w:rsidR="0065355E" w:rsidRPr="00CF7FE8">
        <w:rPr>
          <w:rFonts w:ascii="標楷體" w:eastAsia="標楷體" w:hAnsi="標楷體" w:hint="eastAsia"/>
          <w:color w:val="000000" w:themeColor="text1"/>
          <w:sz w:val="32"/>
          <w:szCs w:val="32"/>
        </w:rPr>
        <w:t>縣政府</w:t>
      </w:r>
      <w:r w:rsidR="00370EEA" w:rsidRPr="00CF7FE8">
        <w:rPr>
          <w:rFonts w:ascii="標楷體" w:eastAsia="標楷體" w:hAnsi="標楷體" w:hint="eastAsia"/>
          <w:color w:val="000000" w:themeColor="text1"/>
          <w:sz w:val="32"/>
          <w:szCs w:val="32"/>
        </w:rPr>
        <w:t>推動各項施政計畫所需財源，主要仍仰賴中央政府挹注，財政自主能力</w:t>
      </w:r>
      <w:r w:rsidR="004D6C46" w:rsidRPr="00CF7FE8">
        <w:rPr>
          <w:rFonts w:ascii="標楷體" w:eastAsia="標楷體" w:hAnsi="標楷體" w:hint="eastAsia"/>
          <w:color w:val="000000" w:themeColor="text1"/>
          <w:sz w:val="32"/>
          <w:szCs w:val="32"/>
        </w:rPr>
        <w:t>尚待提升</w:t>
      </w:r>
      <w:r w:rsidR="00DE5841">
        <w:rPr>
          <w:rFonts w:ascii="標楷體" w:eastAsia="標楷體" w:hAnsi="標楷體" w:hint="eastAsia"/>
          <w:color w:val="000000" w:themeColor="text1"/>
          <w:sz w:val="32"/>
          <w:szCs w:val="32"/>
        </w:rPr>
        <w:t>；</w:t>
      </w:r>
      <w:r w:rsidR="0065355E" w:rsidRPr="00CF7FE8">
        <w:rPr>
          <w:rFonts w:ascii="標楷體" w:eastAsia="標楷體" w:hAnsi="標楷體" w:hint="eastAsia"/>
          <w:color w:val="000000" w:themeColor="text1"/>
          <w:sz w:val="32"/>
          <w:szCs w:val="32"/>
        </w:rPr>
        <w:t>又截至1</w:t>
      </w:r>
      <w:r w:rsidR="0065355E" w:rsidRPr="00CF7FE8">
        <w:rPr>
          <w:rFonts w:ascii="標楷體" w:eastAsia="標楷體" w:hAnsi="標楷體"/>
          <w:color w:val="000000" w:themeColor="text1"/>
          <w:sz w:val="32"/>
          <w:szCs w:val="32"/>
        </w:rPr>
        <w:t>1</w:t>
      </w:r>
      <w:r w:rsidR="0065355E" w:rsidRPr="00CF7FE8">
        <w:rPr>
          <w:rFonts w:ascii="標楷體" w:eastAsia="標楷體" w:hAnsi="標楷體" w:hint="eastAsia"/>
          <w:color w:val="000000" w:themeColor="text1"/>
          <w:sz w:val="32"/>
          <w:szCs w:val="32"/>
        </w:rPr>
        <w:t>3年底止，未來需支付舊制公教人員退休金及優惠存款差額利息計49億5</w:t>
      </w:r>
      <w:r w:rsidR="0065355E" w:rsidRPr="00CF7FE8">
        <w:rPr>
          <w:rFonts w:ascii="標楷體" w:eastAsia="標楷體" w:hAnsi="標楷體"/>
          <w:color w:val="000000" w:themeColor="text1"/>
          <w:sz w:val="32"/>
          <w:szCs w:val="32"/>
        </w:rPr>
        <w:t>,</w:t>
      </w:r>
      <w:r w:rsidR="0065355E" w:rsidRPr="00CF7FE8">
        <w:rPr>
          <w:rFonts w:ascii="標楷體" w:eastAsia="標楷體" w:hAnsi="標楷體" w:hint="eastAsia"/>
          <w:color w:val="000000" w:themeColor="text1"/>
          <w:sz w:val="32"/>
          <w:szCs w:val="32"/>
        </w:rPr>
        <w:t>155萬餘元，亦可能產生日後財務負擔。</w:t>
      </w:r>
      <w:r w:rsidR="004D6C46" w:rsidRPr="00CF7FE8">
        <w:rPr>
          <w:rFonts w:ascii="標楷體" w:eastAsia="標楷體" w:hAnsi="標楷體" w:hint="eastAsia"/>
          <w:color w:val="000000" w:themeColor="text1"/>
          <w:sz w:val="32"/>
          <w:szCs w:val="32"/>
        </w:rPr>
        <w:t>縣政府</w:t>
      </w:r>
      <w:r w:rsidR="000C5CA9" w:rsidRPr="00CF7FE8">
        <w:rPr>
          <w:rFonts w:ascii="標楷體" w:eastAsia="標楷體" w:hAnsi="標楷體" w:hint="eastAsia"/>
          <w:color w:val="000000" w:themeColor="text1"/>
          <w:sz w:val="32"/>
          <w:szCs w:val="32"/>
        </w:rPr>
        <w:t>允應</w:t>
      </w:r>
      <w:r w:rsidR="00370EEA" w:rsidRPr="00CF7FE8">
        <w:rPr>
          <w:rFonts w:ascii="標楷體" w:eastAsia="標楷體" w:hAnsi="標楷體" w:hint="eastAsia"/>
          <w:color w:val="000000" w:themeColor="text1"/>
          <w:sz w:val="32"/>
          <w:szCs w:val="32"/>
        </w:rPr>
        <w:t>本於財政自我負責精神，積極開源節流，依自身財務能力審慎評估施政計畫，妥為維持適度之歲出規模，以強化財政結構，落實財政紀律</w:t>
      </w:r>
      <w:r w:rsidR="00EE43D8" w:rsidRPr="00CF7FE8">
        <w:rPr>
          <w:rFonts w:ascii="標楷體" w:eastAsia="標楷體" w:hAnsi="標楷體"/>
          <w:color w:val="000000" w:themeColor="text1"/>
          <w:sz w:val="32"/>
          <w:szCs w:val="32"/>
        </w:rPr>
        <w:t>，以</w:t>
      </w:r>
      <w:r w:rsidR="00EE43D8" w:rsidRPr="00CF7FE8">
        <w:rPr>
          <w:rFonts w:ascii="標楷體" w:eastAsia="標楷體" w:hAnsi="標楷體" w:hint="eastAsia"/>
          <w:color w:val="000000" w:themeColor="text1"/>
          <w:sz w:val="32"/>
          <w:szCs w:val="32"/>
        </w:rPr>
        <w:t>促進</w:t>
      </w:r>
      <w:r w:rsidR="00EE43D8" w:rsidRPr="00CF7FE8">
        <w:rPr>
          <w:rFonts w:ascii="標楷體" w:eastAsia="標楷體" w:hAnsi="標楷體"/>
          <w:color w:val="000000" w:themeColor="text1"/>
          <w:sz w:val="32"/>
          <w:szCs w:val="32"/>
        </w:rPr>
        <w:t>縣政永續發展。</w:t>
      </w:r>
    </w:p>
    <w:p w14:paraId="04BB3D4C" w14:textId="634E77C2" w:rsidR="00D63762" w:rsidRPr="00ED5F94" w:rsidRDefault="00C648CC" w:rsidP="00274B04">
      <w:pPr>
        <w:pStyle w:val="af9"/>
        <w:spacing w:line="700" w:lineRule="exact"/>
        <w:ind w:firstLine="663"/>
        <w:jc w:val="both"/>
        <w:rPr>
          <w:rFonts w:ascii="標楷體" w:eastAsia="標楷體"/>
          <w:sz w:val="32"/>
          <w:szCs w:val="32"/>
        </w:rPr>
      </w:pPr>
      <w:r w:rsidRPr="00ED5F94">
        <w:rPr>
          <w:rFonts w:ascii="標楷體" w:eastAsia="標楷體" w:hint="eastAsia"/>
          <w:spacing w:val="-4"/>
          <w:sz w:val="32"/>
          <w:szCs w:val="32"/>
        </w:rPr>
        <w:lastRenderedPageBreak/>
        <w:t>11</w:t>
      </w:r>
      <w:r w:rsidR="004C095B" w:rsidRPr="00ED5F94">
        <w:rPr>
          <w:rFonts w:ascii="標楷體" w:eastAsia="標楷體" w:hint="eastAsia"/>
          <w:spacing w:val="-4"/>
          <w:sz w:val="32"/>
          <w:szCs w:val="32"/>
        </w:rPr>
        <w:t>3</w:t>
      </w:r>
      <w:r w:rsidRPr="00ED5F94">
        <w:rPr>
          <w:rFonts w:ascii="標楷體" w:eastAsia="標楷體" w:hint="eastAsia"/>
          <w:spacing w:val="-4"/>
          <w:sz w:val="32"/>
          <w:szCs w:val="32"/>
        </w:rPr>
        <w:t>年度金門縣政府施政</w:t>
      </w:r>
      <w:r w:rsidR="00DE5841">
        <w:rPr>
          <w:rFonts w:ascii="標楷體" w:eastAsia="標楷體" w:hAnsi="標楷體" w:hint="eastAsia"/>
          <w:spacing w:val="-4"/>
          <w:sz w:val="32"/>
          <w:szCs w:val="32"/>
        </w:rPr>
        <w:t>，</w:t>
      </w:r>
      <w:r w:rsidR="00DE5841">
        <w:rPr>
          <w:rFonts w:ascii="標楷體" w:eastAsia="標楷體" w:hint="eastAsia"/>
          <w:spacing w:val="-4"/>
          <w:sz w:val="32"/>
          <w:szCs w:val="32"/>
        </w:rPr>
        <w:t>係以</w:t>
      </w:r>
      <w:r w:rsidR="00D11EAB" w:rsidRPr="00ED5F94">
        <w:rPr>
          <w:rFonts w:ascii="標楷體" w:eastAsia="標楷體" w:hint="eastAsia"/>
          <w:spacing w:val="-4"/>
          <w:sz w:val="32"/>
          <w:szCs w:val="32"/>
        </w:rPr>
        <w:t>優質教育文化環境</w:t>
      </w:r>
      <w:r w:rsidR="00DE5841">
        <w:rPr>
          <w:rFonts w:ascii="標楷體" w:eastAsia="標楷體" w:hAnsi="標楷體" w:hint="eastAsia"/>
          <w:spacing w:val="-4"/>
          <w:sz w:val="32"/>
          <w:szCs w:val="32"/>
        </w:rPr>
        <w:t>、</w:t>
      </w:r>
      <w:r w:rsidR="00D11EAB" w:rsidRPr="00ED5F94">
        <w:rPr>
          <w:rFonts w:ascii="標楷體" w:eastAsia="標楷體" w:hint="eastAsia"/>
          <w:spacing w:val="-4"/>
          <w:sz w:val="32"/>
          <w:szCs w:val="32"/>
        </w:rPr>
        <w:t>永續社福照護服務</w:t>
      </w:r>
      <w:r w:rsidR="00DE5841">
        <w:rPr>
          <w:rFonts w:ascii="標楷體" w:eastAsia="標楷體" w:hAnsi="標楷體" w:hint="eastAsia"/>
          <w:spacing w:val="-4"/>
          <w:sz w:val="32"/>
          <w:szCs w:val="32"/>
        </w:rPr>
        <w:t>、</w:t>
      </w:r>
      <w:r w:rsidR="00D11EAB" w:rsidRPr="00ED5F94">
        <w:rPr>
          <w:rFonts w:ascii="標楷體" w:eastAsia="標楷體" w:hint="eastAsia"/>
          <w:spacing w:val="-4"/>
          <w:sz w:val="32"/>
          <w:szCs w:val="32"/>
        </w:rPr>
        <w:t>健全醫療照顧品質</w:t>
      </w:r>
      <w:r w:rsidR="00DE5841">
        <w:rPr>
          <w:rFonts w:ascii="標楷體" w:eastAsia="標楷體" w:hAnsi="標楷體" w:hint="eastAsia"/>
          <w:spacing w:val="-4"/>
          <w:sz w:val="32"/>
          <w:szCs w:val="32"/>
        </w:rPr>
        <w:t>、</w:t>
      </w:r>
      <w:r w:rsidR="00D11EAB" w:rsidRPr="00ED5F94">
        <w:rPr>
          <w:rFonts w:ascii="標楷體" w:eastAsia="標楷體" w:hint="eastAsia"/>
          <w:spacing w:val="-4"/>
          <w:sz w:val="32"/>
          <w:szCs w:val="32"/>
        </w:rPr>
        <w:t>推動環保永續建設</w:t>
      </w:r>
      <w:r w:rsidR="00DE5841">
        <w:rPr>
          <w:rFonts w:ascii="標楷體" w:eastAsia="標楷體" w:hAnsi="標楷體" w:hint="eastAsia"/>
          <w:spacing w:val="-4"/>
          <w:sz w:val="32"/>
          <w:szCs w:val="32"/>
        </w:rPr>
        <w:t>、</w:t>
      </w:r>
      <w:r w:rsidR="00D11EAB" w:rsidRPr="00ED5F94">
        <w:rPr>
          <w:rFonts w:ascii="標楷體" w:eastAsia="標楷體" w:hint="eastAsia"/>
          <w:spacing w:val="-4"/>
          <w:sz w:val="32"/>
          <w:szCs w:val="32"/>
        </w:rPr>
        <w:t>營造幸福宜居家園</w:t>
      </w:r>
      <w:r w:rsidR="00DE5841">
        <w:rPr>
          <w:rFonts w:ascii="標楷體" w:eastAsia="標楷體" w:hAnsi="標楷體" w:hint="eastAsia"/>
          <w:spacing w:val="-4"/>
          <w:sz w:val="32"/>
          <w:szCs w:val="32"/>
        </w:rPr>
        <w:t>、</w:t>
      </w:r>
      <w:r w:rsidR="00D11EAB" w:rsidRPr="00ED5F94">
        <w:rPr>
          <w:rFonts w:ascii="標楷體" w:eastAsia="標楷體" w:hint="eastAsia"/>
          <w:spacing w:val="-4"/>
          <w:sz w:val="32"/>
          <w:szCs w:val="32"/>
        </w:rPr>
        <w:t>豐富觀光樂活內涵</w:t>
      </w:r>
      <w:r w:rsidR="00DE5841">
        <w:rPr>
          <w:rFonts w:ascii="標楷體" w:eastAsia="標楷體" w:hAnsi="標楷體" w:hint="eastAsia"/>
          <w:spacing w:val="-4"/>
          <w:sz w:val="32"/>
          <w:szCs w:val="32"/>
        </w:rPr>
        <w:t>、</w:t>
      </w:r>
      <w:r w:rsidR="00D11EAB" w:rsidRPr="00ED5F94">
        <w:rPr>
          <w:rFonts w:ascii="標楷體" w:eastAsia="標楷體" w:hint="eastAsia"/>
          <w:spacing w:val="-4"/>
          <w:sz w:val="32"/>
          <w:szCs w:val="32"/>
        </w:rPr>
        <w:t>暢達便捷交通網路</w:t>
      </w:r>
      <w:r w:rsidR="00DE5841">
        <w:rPr>
          <w:rFonts w:ascii="標楷體" w:eastAsia="標楷體" w:hAnsi="標楷體" w:hint="eastAsia"/>
          <w:spacing w:val="-4"/>
          <w:sz w:val="32"/>
          <w:szCs w:val="32"/>
        </w:rPr>
        <w:t>、</w:t>
      </w:r>
      <w:r w:rsidR="00D11EAB" w:rsidRPr="00ED5F94">
        <w:rPr>
          <w:rFonts w:ascii="標楷體" w:eastAsia="標楷體" w:hint="eastAsia"/>
          <w:spacing w:val="-4"/>
          <w:sz w:val="32"/>
          <w:szCs w:val="32"/>
        </w:rPr>
        <w:t>升級地方特色產業</w:t>
      </w:r>
      <w:r w:rsidR="00DE5841">
        <w:rPr>
          <w:rFonts w:ascii="標楷體" w:eastAsia="標楷體" w:hAnsi="標楷體" w:hint="eastAsia"/>
          <w:spacing w:val="-4"/>
          <w:sz w:val="32"/>
          <w:szCs w:val="32"/>
        </w:rPr>
        <w:t>、</w:t>
      </w:r>
      <w:r w:rsidR="00D11EAB" w:rsidRPr="00ED5F94">
        <w:rPr>
          <w:rFonts w:ascii="標楷體" w:eastAsia="標楷體" w:hint="eastAsia"/>
          <w:spacing w:val="-4"/>
          <w:sz w:val="32"/>
          <w:szCs w:val="32"/>
        </w:rPr>
        <w:t>維護民眾安心生活</w:t>
      </w:r>
      <w:r w:rsidR="00DE5841">
        <w:rPr>
          <w:rFonts w:ascii="標楷體" w:eastAsia="標楷體" w:hAnsi="標楷體" w:hint="eastAsia"/>
          <w:spacing w:val="-4"/>
          <w:sz w:val="32"/>
          <w:szCs w:val="32"/>
        </w:rPr>
        <w:t>、</w:t>
      </w:r>
      <w:r w:rsidR="00D11EAB" w:rsidRPr="00ED5F94">
        <w:rPr>
          <w:rFonts w:ascii="標楷體" w:eastAsia="標楷體" w:hint="eastAsia"/>
          <w:spacing w:val="-4"/>
          <w:sz w:val="32"/>
          <w:szCs w:val="32"/>
        </w:rPr>
        <w:t>簡政便民提升效能</w:t>
      </w:r>
      <w:r w:rsidRPr="00ED5F94">
        <w:rPr>
          <w:rFonts w:ascii="標楷體" w:eastAsia="標楷體" w:hint="eastAsia"/>
          <w:spacing w:val="-4"/>
          <w:sz w:val="32"/>
          <w:szCs w:val="32"/>
        </w:rPr>
        <w:t>等</w:t>
      </w:r>
      <w:r w:rsidR="00DE5841">
        <w:rPr>
          <w:rFonts w:ascii="標楷體" w:eastAsia="標楷體" w:hint="eastAsia"/>
          <w:spacing w:val="-4"/>
          <w:sz w:val="32"/>
          <w:szCs w:val="32"/>
        </w:rPr>
        <w:t>為施政重點</w:t>
      </w:r>
      <w:r w:rsidRPr="00ED5F94">
        <w:rPr>
          <w:rFonts w:ascii="標楷體" w:eastAsia="標楷體" w:hint="eastAsia"/>
          <w:spacing w:val="-4"/>
          <w:sz w:val="32"/>
          <w:szCs w:val="32"/>
        </w:rPr>
        <w:t>。</w:t>
      </w:r>
      <w:r w:rsidRPr="00ED5F94">
        <w:rPr>
          <w:rFonts w:ascii="標楷體" w:eastAsia="標楷體" w:hint="eastAsia"/>
          <w:sz w:val="32"/>
          <w:szCs w:val="32"/>
        </w:rPr>
        <w:t>各項政事推動執行結果，整體而言，尚能符合既定施政目標，並獲致具體成果，包括：</w:t>
      </w:r>
      <w:r w:rsidR="00632FFD" w:rsidRPr="00ED5F94">
        <w:rPr>
          <w:rFonts w:ascii="標楷體" w:eastAsia="標楷體" w:hint="eastAsia"/>
          <w:sz w:val="32"/>
          <w:szCs w:val="32"/>
        </w:rPr>
        <w:t>設置金門縣國際教育資源中心</w:t>
      </w:r>
      <w:r w:rsidR="00632FFD" w:rsidRPr="00ED5F94">
        <w:rPr>
          <w:rFonts w:ascii="標楷體" w:eastAsia="標楷體" w:hAnsi="標楷體" w:hint="eastAsia"/>
          <w:sz w:val="32"/>
          <w:szCs w:val="32"/>
        </w:rPr>
        <w:t>，推動國際教育在地化課程</w:t>
      </w:r>
      <w:r w:rsidRPr="00ED5F94">
        <w:rPr>
          <w:rFonts w:ascii="標楷體" w:eastAsia="標楷體" w:hint="eastAsia"/>
          <w:sz w:val="32"/>
          <w:szCs w:val="32"/>
        </w:rPr>
        <w:t>；</w:t>
      </w:r>
      <w:r w:rsidR="008B7BB9" w:rsidRPr="00ED5F94">
        <w:rPr>
          <w:rFonts w:ascii="標楷體" w:eastAsia="標楷體" w:hint="eastAsia"/>
          <w:sz w:val="32"/>
          <w:szCs w:val="32"/>
        </w:rPr>
        <w:t>設置21個長照巷弄站及43處社區關懷據點</w:t>
      </w:r>
      <w:r w:rsidRPr="00ED5F94">
        <w:rPr>
          <w:rFonts w:ascii="標楷體" w:eastAsia="標楷體" w:hint="eastAsia"/>
          <w:sz w:val="32"/>
          <w:szCs w:val="32"/>
        </w:rPr>
        <w:t>；</w:t>
      </w:r>
      <w:r w:rsidR="008B7BB9" w:rsidRPr="00ED5F94">
        <w:rPr>
          <w:rFonts w:ascii="標楷體" w:eastAsia="標楷體" w:hint="eastAsia"/>
          <w:sz w:val="32"/>
          <w:szCs w:val="32"/>
        </w:rPr>
        <w:t>設立金西醫療門診中心</w:t>
      </w:r>
      <w:r w:rsidR="008B7BB9" w:rsidRPr="00ED5F94">
        <w:rPr>
          <w:rFonts w:ascii="標楷體" w:eastAsia="標楷體" w:hAnsi="標楷體" w:hint="eastAsia"/>
          <w:sz w:val="32"/>
          <w:szCs w:val="32"/>
        </w:rPr>
        <w:t>，提升金西地區民眾醫療可近性，落實醫療在地化</w:t>
      </w:r>
      <w:r w:rsidRPr="00ED5F94">
        <w:rPr>
          <w:rFonts w:ascii="標楷體" w:eastAsia="標楷體" w:hint="eastAsia"/>
          <w:sz w:val="32"/>
          <w:szCs w:val="32"/>
        </w:rPr>
        <w:t>；</w:t>
      </w:r>
      <w:r w:rsidR="003F3CE6" w:rsidRPr="00ED5F94">
        <w:rPr>
          <w:rFonts w:ascii="標楷體" w:eastAsia="標楷體" w:hint="eastAsia"/>
          <w:sz w:val="32"/>
          <w:szCs w:val="32"/>
        </w:rPr>
        <w:t>辦理各鄉鎮公共污水下水道及用戶接管工程建設，提高金門地區污水下水道用戶接管普及率</w:t>
      </w:r>
      <w:r w:rsidRPr="00ED5F94">
        <w:rPr>
          <w:rFonts w:ascii="標楷體" w:eastAsia="標楷體" w:hint="eastAsia"/>
          <w:sz w:val="32"/>
          <w:szCs w:val="32"/>
        </w:rPr>
        <w:t>；</w:t>
      </w:r>
      <w:r w:rsidR="00CA7466" w:rsidRPr="00ED5F94">
        <w:rPr>
          <w:rFonts w:ascii="標楷體" w:eastAsia="標楷體" w:hint="eastAsia"/>
          <w:sz w:val="32"/>
          <w:szCs w:val="32"/>
        </w:rPr>
        <w:t>配合內政部國土</w:t>
      </w:r>
      <w:r w:rsidR="00281D15">
        <w:rPr>
          <w:rFonts w:ascii="標楷體" w:eastAsia="標楷體" w:hint="eastAsia"/>
          <w:sz w:val="32"/>
          <w:szCs w:val="32"/>
        </w:rPr>
        <w:t>管理</w:t>
      </w:r>
      <w:r w:rsidR="00CA7466" w:rsidRPr="00ED5F94">
        <w:rPr>
          <w:rFonts w:ascii="標楷體" w:eastAsia="標楷體" w:hint="eastAsia"/>
          <w:sz w:val="32"/>
          <w:szCs w:val="32"/>
        </w:rPr>
        <w:t>署住宅及都市更新中心推動社宅首案「金湖安居」，預計完工後可為金門縣提供230餘戶社會住宅</w:t>
      </w:r>
      <w:r w:rsidRPr="00ED5F94">
        <w:rPr>
          <w:rFonts w:ascii="標楷體" w:eastAsia="標楷體" w:hint="eastAsia"/>
          <w:sz w:val="32"/>
          <w:szCs w:val="32"/>
        </w:rPr>
        <w:t>；</w:t>
      </w:r>
      <w:r w:rsidR="00CA7466" w:rsidRPr="00ED5F94">
        <w:rPr>
          <w:rFonts w:ascii="標楷體" w:eastAsia="標楷體" w:hint="eastAsia"/>
          <w:sz w:val="32"/>
          <w:szCs w:val="32"/>
        </w:rPr>
        <w:t>運用網路行銷平</w:t>
      </w:r>
      <w:r w:rsidR="0044555C" w:rsidRPr="00ED5F94">
        <w:rPr>
          <w:rFonts w:ascii="標楷體" w:eastAsia="標楷體" w:hint="eastAsia"/>
          <w:sz w:val="32"/>
          <w:szCs w:val="32"/>
        </w:rPr>
        <w:t>臺</w:t>
      </w:r>
      <w:r w:rsidR="00CA7466" w:rsidRPr="00ED5F94">
        <w:rPr>
          <w:rFonts w:ascii="標楷體" w:eastAsia="標楷體" w:hint="eastAsia"/>
          <w:sz w:val="32"/>
          <w:szCs w:val="32"/>
        </w:rPr>
        <w:t>，利用圖文、影音等推播方式，行銷金門觀光旅遊，強化金門觀光旅遊形象品牌</w:t>
      </w:r>
      <w:r w:rsidRPr="00ED5F94">
        <w:rPr>
          <w:rFonts w:ascii="標楷體" w:eastAsia="標楷體" w:hint="eastAsia"/>
          <w:sz w:val="32"/>
          <w:szCs w:val="32"/>
        </w:rPr>
        <w:t>；</w:t>
      </w:r>
      <w:r w:rsidR="00DC7DE9" w:rsidRPr="00ED5F94">
        <w:rPr>
          <w:rFonts w:ascii="標楷體" w:eastAsia="標楷體" w:hint="eastAsia"/>
          <w:sz w:val="32"/>
          <w:szCs w:val="32"/>
        </w:rPr>
        <w:t>完成金城鎮民族路（稅務局至西海路三段）排水</w:t>
      </w:r>
      <w:r w:rsidR="00DC7DE9" w:rsidRPr="00ED5F94">
        <w:rPr>
          <w:rFonts w:ascii="標楷體" w:eastAsia="標楷體" w:hAnsi="標楷體" w:hint="eastAsia"/>
          <w:sz w:val="32"/>
          <w:szCs w:val="32"/>
        </w:rPr>
        <w:t>、</w:t>
      </w:r>
      <w:r w:rsidR="00DC7DE9" w:rsidRPr="00ED5F94">
        <w:rPr>
          <w:rFonts w:ascii="標楷體" w:eastAsia="標楷體" w:hint="eastAsia"/>
          <w:sz w:val="32"/>
          <w:szCs w:val="32"/>
        </w:rPr>
        <w:t>污水暨道路改善工程</w:t>
      </w:r>
      <w:r w:rsidR="00DC7DE9" w:rsidRPr="00ED5F94">
        <w:rPr>
          <w:rFonts w:ascii="標楷體" w:eastAsia="標楷體" w:hAnsi="標楷體" w:hint="eastAsia"/>
          <w:sz w:val="32"/>
          <w:szCs w:val="32"/>
        </w:rPr>
        <w:t>，</w:t>
      </w:r>
      <w:r w:rsidR="00DC7DE9" w:rsidRPr="00ED5F94">
        <w:rPr>
          <w:rFonts w:ascii="標楷體" w:eastAsia="標楷體" w:hint="eastAsia"/>
          <w:sz w:val="32"/>
          <w:szCs w:val="32"/>
        </w:rPr>
        <w:t>及</w:t>
      </w:r>
      <w:r w:rsidR="00AB767F" w:rsidRPr="00ED5F94">
        <w:rPr>
          <w:rFonts w:ascii="標楷體" w:eastAsia="標楷體" w:hint="eastAsia"/>
          <w:sz w:val="32"/>
          <w:szCs w:val="32"/>
        </w:rPr>
        <w:t>新建</w:t>
      </w:r>
      <w:r w:rsidR="00DC7DE9" w:rsidRPr="00ED5F94">
        <w:rPr>
          <w:rFonts w:ascii="標楷體" w:eastAsia="標楷體" w:hint="eastAsia"/>
          <w:sz w:val="32"/>
          <w:szCs w:val="32"/>
        </w:rPr>
        <w:t>金城分局旁平面停車場</w:t>
      </w:r>
      <w:r w:rsidR="00DC7DE9" w:rsidRPr="00ED5F94">
        <w:rPr>
          <w:rFonts w:ascii="標楷體" w:eastAsia="標楷體" w:hAnsi="標楷體" w:hint="eastAsia"/>
          <w:sz w:val="32"/>
          <w:szCs w:val="32"/>
        </w:rPr>
        <w:t>，</w:t>
      </w:r>
      <w:r w:rsidR="00DC7DE9" w:rsidRPr="00ED5F94">
        <w:rPr>
          <w:rFonts w:ascii="標楷體" w:eastAsia="標楷體" w:hint="eastAsia"/>
          <w:sz w:val="32"/>
          <w:szCs w:val="32"/>
        </w:rPr>
        <w:t>提供200個小客車停車位</w:t>
      </w:r>
      <w:r w:rsidRPr="00ED5F94">
        <w:rPr>
          <w:rFonts w:ascii="標楷體" w:eastAsia="標楷體" w:hint="eastAsia"/>
          <w:sz w:val="32"/>
          <w:szCs w:val="32"/>
        </w:rPr>
        <w:t>；</w:t>
      </w:r>
      <w:r w:rsidR="00DA0CC2" w:rsidRPr="00ED5F94">
        <w:rPr>
          <w:rFonts w:ascii="標楷體" w:eastAsia="標楷體" w:hint="eastAsia"/>
          <w:sz w:val="32"/>
          <w:szCs w:val="32"/>
        </w:rPr>
        <w:t>推動產業品牌化、輔導產品精緻化，多款金門在地品牌產品榮獲比利時ITI（International Taste Institute）風味絕佳獎章肯定</w:t>
      </w:r>
      <w:r w:rsidRPr="00ED5F94">
        <w:rPr>
          <w:rFonts w:ascii="標楷體" w:eastAsia="標楷體" w:hint="eastAsia"/>
          <w:sz w:val="32"/>
          <w:szCs w:val="32"/>
        </w:rPr>
        <w:t>；</w:t>
      </w:r>
      <w:r w:rsidR="0044555C" w:rsidRPr="00ED5F94">
        <w:rPr>
          <w:rFonts w:ascii="標楷體" w:eastAsia="標楷體" w:hint="eastAsia"/>
          <w:sz w:val="32"/>
          <w:szCs w:val="32"/>
        </w:rPr>
        <w:t>針對易肇事路口</w:t>
      </w:r>
      <w:r w:rsidR="00DC7DE9" w:rsidRPr="00ED5F94">
        <w:rPr>
          <w:rFonts w:ascii="標楷體" w:eastAsia="標楷體" w:hint="eastAsia"/>
          <w:sz w:val="32"/>
          <w:szCs w:val="32"/>
        </w:rPr>
        <w:t>（</w:t>
      </w:r>
      <w:r w:rsidR="0044555C" w:rsidRPr="00ED5F94">
        <w:rPr>
          <w:rFonts w:ascii="標楷體" w:eastAsia="標楷體" w:hint="eastAsia"/>
          <w:sz w:val="32"/>
          <w:szCs w:val="32"/>
        </w:rPr>
        <w:t>段</w:t>
      </w:r>
      <w:r w:rsidR="00DC7DE9" w:rsidRPr="00ED5F94">
        <w:rPr>
          <w:rFonts w:ascii="標楷體" w:eastAsia="標楷體" w:hint="eastAsia"/>
          <w:sz w:val="32"/>
          <w:szCs w:val="32"/>
        </w:rPr>
        <w:t>）</w:t>
      </w:r>
      <w:r w:rsidR="0044555C" w:rsidRPr="00ED5F94">
        <w:rPr>
          <w:rFonts w:ascii="標楷體" w:eastAsia="標楷體" w:hint="eastAsia"/>
          <w:sz w:val="32"/>
          <w:szCs w:val="32"/>
        </w:rPr>
        <w:t>，編排防制交通事故兼執法取締勤務，導正用路人路權觀念</w:t>
      </w:r>
      <w:r w:rsidRPr="00ED5F94">
        <w:rPr>
          <w:rFonts w:ascii="標楷體" w:eastAsia="標楷體" w:hint="eastAsia"/>
          <w:sz w:val="32"/>
          <w:szCs w:val="32"/>
        </w:rPr>
        <w:t>；</w:t>
      </w:r>
      <w:r w:rsidR="00632FFD" w:rsidRPr="00ED5F94">
        <w:rPr>
          <w:rFonts w:ascii="標楷體" w:eastAsia="標楷體" w:hint="eastAsia"/>
          <w:sz w:val="32"/>
          <w:szCs w:val="32"/>
        </w:rPr>
        <w:t>執行113年金門縣強韌臺灣大規模風災震災整備與協作計畫</w:t>
      </w:r>
      <w:r w:rsidR="00DC7DE9" w:rsidRPr="00ED5F94">
        <w:rPr>
          <w:rFonts w:ascii="標楷體" w:eastAsia="標楷體" w:hint="eastAsia"/>
          <w:sz w:val="32"/>
          <w:szCs w:val="32"/>
        </w:rPr>
        <w:t>，經內政部評核為「全國優等」</w:t>
      </w:r>
      <w:r w:rsidR="00DC7DE9" w:rsidRPr="00ED5F94">
        <w:rPr>
          <w:rFonts w:ascii="標楷體" w:eastAsia="標楷體" w:hAnsi="標楷體" w:hint="eastAsia"/>
          <w:sz w:val="32"/>
          <w:szCs w:val="32"/>
        </w:rPr>
        <w:t>；113年度行政院災害防救業務訪評，獲得20項優等及1項佳等之成績，持續蟬</w:t>
      </w:r>
      <w:r w:rsidR="0078335A" w:rsidRPr="00ED5F94">
        <w:rPr>
          <w:rFonts w:ascii="標楷體" w:eastAsia="標楷體" w:hAnsi="標楷體" w:hint="eastAsia"/>
          <w:sz w:val="32"/>
          <w:szCs w:val="32"/>
        </w:rPr>
        <w:t>連</w:t>
      </w:r>
      <w:r w:rsidR="00DC7DE9" w:rsidRPr="00ED5F94">
        <w:rPr>
          <w:rFonts w:ascii="標楷體" w:eastAsia="標楷體" w:hAnsi="標楷體" w:hint="eastAsia"/>
          <w:sz w:val="32"/>
          <w:szCs w:val="32"/>
        </w:rPr>
        <w:t>離島分區第一名</w:t>
      </w:r>
      <w:r w:rsidRPr="00ED5F94">
        <w:rPr>
          <w:rFonts w:ascii="標楷體" w:eastAsia="標楷體" w:hint="eastAsia"/>
          <w:sz w:val="32"/>
          <w:szCs w:val="32"/>
        </w:rPr>
        <w:t>。</w:t>
      </w:r>
    </w:p>
    <w:p w14:paraId="1E2B487B" w14:textId="7966E008" w:rsidR="00D63762" w:rsidRPr="00B70ED0" w:rsidRDefault="00C648CC">
      <w:pPr>
        <w:pStyle w:val="af9"/>
        <w:spacing w:before="240" w:line="650" w:lineRule="exact"/>
        <w:ind w:firstLine="664"/>
        <w:jc w:val="both"/>
        <w:rPr>
          <w:rFonts w:ascii="標楷體" w:eastAsia="標楷體"/>
          <w:spacing w:val="4"/>
          <w:sz w:val="32"/>
          <w:szCs w:val="32"/>
        </w:rPr>
      </w:pPr>
      <w:r w:rsidRPr="00B70ED0">
        <w:rPr>
          <w:rFonts w:ascii="標楷體" w:eastAsia="標楷體" w:hint="eastAsia"/>
          <w:spacing w:val="4"/>
          <w:sz w:val="32"/>
          <w:szCs w:val="32"/>
        </w:rPr>
        <w:lastRenderedPageBreak/>
        <w:t>本室辦理各項審計業務，秉持獨立、廉正、專業、創新之核心價值，財務審計、遵循審計及績效審計並重，冀能踐行優質審計服務，創造最大審計價值，促進政府良善治理，實現國家永續發展。11</w:t>
      </w:r>
      <w:r w:rsidR="004C095B" w:rsidRPr="00B70ED0">
        <w:rPr>
          <w:rFonts w:ascii="標楷體" w:eastAsia="標楷體" w:hint="eastAsia"/>
          <w:spacing w:val="4"/>
          <w:sz w:val="32"/>
          <w:szCs w:val="32"/>
        </w:rPr>
        <w:t>3</w:t>
      </w:r>
      <w:r w:rsidRPr="00B70ED0">
        <w:rPr>
          <w:rFonts w:ascii="標楷體" w:eastAsia="標楷體" w:hint="eastAsia"/>
          <w:spacing w:val="4"/>
          <w:sz w:val="32"/>
          <w:szCs w:val="32"/>
        </w:rPr>
        <w:t>年度稽察發現金門縣各機關</w:t>
      </w:r>
      <w:r w:rsidR="00281565" w:rsidRPr="00B70ED0">
        <w:rPr>
          <w:rFonts w:ascii="標楷體" w:eastAsia="標楷體" w:hint="eastAsia"/>
          <w:spacing w:val="4"/>
          <w:sz w:val="32"/>
          <w:szCs w:val="32"/>
        </w:rPr>
        <w:t>、縣營事業及基金</w:t>
      </w:r>
      <w:r w:rsidRPr="00B70ED0">
        <w:rPr>
          <w:rFonts w:ascii="標楷體" w:eastAsia="標楷體" w:hint="eastAsia"/>
          <w:spacing w:val="4"/>
          <w:sz w:val="32"/>
          <w:szCs w:val="32"/>
        </w:rPr>
        <w:t>財務違失案件</w:t>
      </w:r>
      <w:r w:rsidR="00277DBD" w:rsidRPr="00B70ED0">
        <w:rPr>
          <w:rFonts w:ascii="標楷體" w:eastAsia="標楷體" w:hint="eastAsia"/>
          <w:spacing w:val="4"/>
          <w:sz w:val="32"/>
          <w:szCs w:val="32"/>
        </w:rPr>
        <w:t>3</w:t>
      </w:r>
      <w:r w:rsidRPr="00B70ED0">
        <w:rPr>
          <w:rFonts w:ascii="標楷體" w:eastAsia="標楷體" w:hint="eastAsia"/>
          <w:spacing w:val="4"/>
          <w:sz w:val="32"/>
          <w:szCs w:val="32"/>
        </w:rPr>
        <w:t>件，經通知機關查明處分，受處分人員共計</w:t>
      </w:r>
      <w:r w:rsidR="00277DBD" w:rsidRPr="00B70ED0">
        <w:rPr>
          <w:rFonts w:ascii="標楷體" w:eastAsia="標楷體" w:hint="eastAsia"/>
          <w:spacing w:val="4"/>
          <w:sz w:val="32"/>
          <w:szCs w:val="32"/>
        </w:rPr>
        <w:t>6</w:t>
      </w:r>
      <w:r w:rsidRPr="00B70ED0">
        <w:rPr>
          <w:rFonts w:ascii="標楷體" w:eastAsia="標楷體" w:hint="eastAsia"/>
          <w:spacing w:val="4"/>
          <w:sz w:val="32"/>
          <w:szCs w:val="32"/>
        </w:rPr>
        <w:t>人次；考核各機關、縣營事業及基金施政績效結果，認為有未盡職責或效能過低情事，經依法通知其上級機關長官並報告監察院者</w:t>
      </w:r>
      <w:r w:rsidR="00277DBD" w:rsidRPr="00B70ED0">
        <w:rPr>
          <w:rFonts w:ascii="標楷體" w:eastAsia="標楷體" w:hint="eastAsia"/>
          <w:spacing w:val="4"/>
          <w:sz w:val="32"/>
          <w:szCs w:val="32"/>
        </w:rPr>
        <w:t>2</w:t>
      </w:r>
      <w:r w:rsidRPr="00B70ED0">
        <w:rPr>
          <w:rFonts w:ascii="標楷體" w:eastAsia="標楷體" w:hint="eastAsia"/>
          <w:spacing w:val="4"/>
          <w:sz w:val="32"/>
          <w:szCs w:val="32"/>
        </w:rPr>
        <w:t>件；另依法提供金門縣政府有關財務上增進效能與減少不經濟支出之建議意見6項。</w:t>
      </w:r>
    </w:p>
    <w:p w14:paraId="7D884F2D" w14:textId="77777777" w:rsidR="00D63762" w:rsidRDefault="00C648CC">
      <w:pPr>
        <w:pStyle w:val="af9"/>
        <w:spacing w:before="240" w:line="650" w:lineRule="exact"/>
        <w:ind w:firstLine="664"/>
        <w:jc w:val="both"/>
        <w:rPr>
          <w:rFonts w:ascii="標楷體" w:eastAsia="標楷體"/>
          <w:spacing w:val="6"/>
          <w:sz w:val="32"/>
          <w:szCs w:val="32"/>
        </w:rPr>
      </w:pPr>
      <w:r>
        <w:rPr>
          <w:rFonts w:ascii="標楷體" w:eastAsia="標楷體" w:hint="eastAsia"/>
          <w:spacing w:val="6"/>
          <w:sz w:val="32"/>
          <w:szCs w:val="32"/>
        </w:rPr>
        <w:t>本室對於金門縣各機關、縣營事業及基金預算執行之審核、計畫實施之考核及重要審核意見，已在報告有關章節予以分析說明，以供參閱。</w:t>
      </w:r>
    </w:p>
    <w:p w14:paraId="71526FE6" w14:textId="4C8CCECE" w:rsidR="00D63762" w:rsidRDefault="00C648CC">
      <w:pPr>
        <w:pStyle w:val="af9"/>
        <w:spacing w:before="240" w:line="650" w:lineRule="exact"/>
        <w:ind w:firstLine="664"/>
        <w:jc w:val="both"/>
        <w:rPr>
          <w:rFonts w:ascii="標楷體" w:eastAsia="標楷體"/>
          <w:sz w:val="32"/>
          <w:szCs w:val="32"/>
        </w:rPr>
      </w:pPr>
      <w:r>
        <w:rPr>
          <w:rFonts w:ascii="標楷體" w:eastAsia="標楷體" w:hint="eastAsia"/>
          <w:spacing w:val="6"/>
          <w:sz w:val="32"/>
          <w:szCs w:val="32"/>
        </w:rPr>
        <w:t>茲當總決算審核完竣，謹編具中華民國11</w:t>
      </w:r>
      <w:r w:rsidR="004C095B">
        <w:rPr>
          <w:rFonts w:ascii="標楷體" w:eastAsia="標楷體" w:hint="eastAsia"/>
          <w:spacing w:val="6"/>
          <w:sz w:val="32"/>
          <w:szCs w:val="32"/>
        </w:rPr>
        <w:t>3</w:t>
      </w:r>
      <w:r>
        <w:rPr>
          <w:rFonts w:ascii="標楷體" w:eastAsia="標楷體" w:hint="eastAsia"/>
          <w:spacing w:val="6"/>
          <w:sz w:val="32"/>
          <w:szCs w:val="32"/>
        </w:rPr>
        <w:t>年度金門縣總決算暨附屬單位決算及綜計表審核報告，敬請審議。</w:t>
      </w:r>
    </w:p>
    <w:sectPr w:rsidR="00D63762">
      <w:footerReference w:type="even" r:id="rId8"/>
      <w:footerReference w:type="default" r:id="rId9"/>
      <w:pgSz w:w="11906" w:h="16838" w:orient="landscape"/>
      <w:pgMar w:top="1418" w:right="992" w:bottom="1418" w:left="992" w:header="1021" w:footer="737" w:gutter="0"/>
      <w:pgNumType w:start="1"/>
      <w:cols w:space="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31DB1" w14:textId="77777777" w:rsidR="00016442" w:rsidRDefault="00016442">
      <w:r>
        <w:separator/>
      </w:r>
    </w:p>
  </w:endnote>
  <w:endnote w:type="continuationSeparator" w:id="0">
    <w:p w14:paraId="0CA4D58C" w14:textId="77777777" w:rsidR="00016442" w:rsidRDefault="0001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5BB11" w14:textId="77777777" w:rsidR="00D63762" w:rsidRDefault="00C648CC">
    <w:pPr>
      <w:pStyle w:val="afa"/>
    </w:pPr>
    <w:r>
      <w:rPr>
        <w:lang w:val="zh-TW"/>
      </w:rPr>
      <w:t>[</w:t>
    </w:r>
    <w:r>
      <w:rPr>
        <w:lang w:val="zh-TW"/>
      </w:rPr>
      <w:t>在此鍵入</w:t>
    </w:r>
    <w:r>
      <w:rPr>
        <w:lang w:val="zh-TW"/>
      </w:rPr>
      <w:t>]</w:t>
    </w:r>
  </w:p>
  <w:p w14:paraId="47A6304D" w14:textId="77777777" w:rsidR="00D63762" w:rsidRDefault="00D63762">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69297" w14:textId="77777777" w:rsidR="00D63762" w:rsidRDefault="00C648CC">
    <w:pPr>
      <w:pStyle w:val="afa"/>
      <w:tabs>
        <w:tab w:val="clear" w:pos="4153"/>
        <w:tab w:val="clear" w:pos="8306"/>
      </w:tabs>
      <w:jc w:val="center"/>
    </w:pPr>
    <w:r>
      <w:rPr>
        <w:rFonts w:ascii="標楷體" w:hAnsi="標楷體" w:hint="eastAsia"/>
      </w:rPr>
      <w:t>前言－</w:t>
    </w:r>
    <w:r>
      <w:rPr>
        <w:rFonts w:ascii="標楷體" w:hAnsi="標楷體"/>
      </w:rPr>
      <w:fldChar w:fldCharType="begin"/>
    </w:r>
    <w:r>
      <w:rPr>
        <w:rFonts w:ascii="標楷體" w:hAnsi="標楷體"/>
      </w:rPr>
      <w:instrText xml:space="preserve"> PAGE </w:instrText>
    </w:r>
    <w:r>
      <w:rPr>
        <w:rFonts w:ascii="標楷體" w:hAnsi="標楷體"/>
      </w:rPr>
      <w:fldChar w:fldCharType="separate"/>
    </w:r>
    <w:r>
      <w:rPr>
        <w:rFonts w:ascii="標楷體" w:hAnsi="標楷體"/>
      </w:rPr>
      <w:t>4</w:t>
    </w:r>
    <w:r>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3FF11" w14:textId="77777777" w:rsidR="00016442" w:rsidRDefault="00016442">
      <w:r>
        <w:separator/>
      </w:r>
    </w:p>
  </w:footnote>
  <w:footnote w:type="continuationSeparator" w:id="0">
    <w:p w14:paraId="184E4B8B" w14:textId="77777777" w:rsidR="00016442" w:rsidRDefault="00016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D3E08"/>
    <w:multiLevelType w:val="multilevel"/>
    <w:tmpl w:val="07EEB310"/>
    <w:lvl w:ilvl="0">
      <w:start w:val="1"/>
      <w:numFmt w:val="taiwaneseCountingThousand"/>
      <w:suff w:val="space"/>
      <w:lvlText w:val="%1、"/>
      <w:lvlJc w:val="left"/>
      <w:pPr>
        <w:tabs>
          <w:tab w:val="num" w:pos="1686"/>
        </w:tabs>
        <w:ind w:left="1686" w:hanging="1125"/>
      </w:pPr>
      <w:rPr>
        <w:rFonts w:hint="default"/>
        <w:b/>
      </w:rPr>
    </w:lvl>
    <w:lvl w:ilvl="1">
      <w:start w:val="1"/>
      <w:numFmt w:val="ideographTraditional"/>
      <w:suff w:val="space"/>
      <w:lvlText w:val="%2、"/>
      <w:lvlJc w:val="left"/>
      <w:pPr>
        <w:tabs>
          <w:tab w:val="num" w:pos="1521"/>
        </w:tabs>
        <w:ind w:left="1521" w:hanging="480"/>
      </w:pPr>
    </w:lvl>
    <w:lvl w:ilvl="2">
      <w:start w:val="1"/>
      <w:numFmt w:val="lowerRoman"/>
      <w:suff w:val="space"/>
      <w:lvlText w:val="%3."/>
      <w:lvlJc w:val="right"/>
      <w:pPr>
        <w:tabs>
          <w:tab w:val="num" w:pos="2001"/>
        </w:tabs>
        <w:ind w:left="2001" w:hanging="480"/>
      </w:pPr>
    </w:lvl>
    <w:lvl w:ilvl="3">
      <w:start w:val="1"/>
      <w:numFmt w:val="decimal"/>
      <w:suff w:val="space"/>
      <w:lvlText w:val="%4."/>
      <w:lvlJc w:val="left"/>
      <w:pPr>
        <w:tabs>
          <w:tab w:val="num" w:pos="2481"/>
        </w:tabs>
        <w:ind w:left="2481" w:hanging="480"/>
      </w:pPr>
    </w:lvl>
    <w:lvl w:ilvl="4">
      <w:start w:val="1"/>
      <w:numFmt w:val="ideographTraditional"/>
      <w:suff w:val="space"/>
      <w:lvlText w:val="%5、"/>
      <w:lvlJc w:val="left"/>
      <w:pPr>
        <w:tabs>
          <w:tab w:val="num" w:pos="2961"/>
        </w:tabs>
        <w:ind w:left="2961" w:hanging="480"/>
      </w:pPr>
    </w:lvl>
    <w:lvl w:ilvl="5">
      <w:start w:val="1"/>
      <w:numFmt w:val="lowerRoman"/>
      <w:suff w:val="space"/>
      <w:lvlText w:val="%6."/>
      <w:lvlJc w:val="right"/>
      <w:pPr>
        <w:tabs>
          <w:tab w:val="num" w:pos="3441"/>
        </w:tabs>
        <w:ind w:left="3441" w:hanging="480"/>
      </w:pPr>
    </w:lvl>
    <w:lvl w:ilvl="6">
      <w:start w:val="1"/>
      <w:numFmt w:val="decimal"/>
      <w:suff w:val="space"/>
      <w:lvlText w:val="%7."/>
      <w:lvlJc w:val="left"/>
      <w:pPr>
        <w:tabs>
          <w:tab w:val="num" w:pos="3921"/>
        </w:tabs>
        <w:ind w:left="3921" w:hanging="480"/>
      </w:pPr>
    </w:lvl>
    <w:lvl w:ilvl="7">
      <w:start w:val="1"/>
      <w:numFmt w:val="ideographTraditional"/>
      <w:suff w:val="space"/>
      <w:lvlText w:val="%8、"/>
      <w:lvlJc w:val="left"/>
      <w:pPr>
        <w:tabs>
          <w:tab w:val="num" w:pos="4401"/>
        </w:tabs>
        <w:ind w:left="4401" w:hanging="480"/>
      </w:pPr>
    </w:lvl>
    <w:lvl w:ilvl="8">
      <w:start w:val="1"/>
      <w:numFmt w:val="lowerRoman"/>
      <w:suff w:val="space"/>
      <w:lvlText w:val="%9."/>
      <w:lvlJc w:val="right"/>
      <w:pPr>
        <w:tabs>
          <w:tab w:val="num" w:pos="4881"/>
        </w:tabs>
        <w:ind w:left="4881" w:hanging="480"/>
      </w:pPr>
    </w:lvl>
  </w:abstractNum>
  <w:abstractNum w:abstractNumId="1" w15:restartNumberingAfterBreak="0">
    <w:nsid w:val="2F4D5704"/>
    <w:multiLevelType w:val="multilevel"/>
    <w:tmpl w:val="F53EF4C6"/>
    <w:lvl w:ilvl="0">
      <w:start w:val="1"/>
      <w:numFmt w:val="taiwaneseCountingThousand"/>
      <w:suff w:val="space"/>
      <w:lvlText w:val="%1、"/>
      <w:lvlJc w:val="left"/>
      <w:pPr>
        <w:tabs>
          <w:tab w:val="num" w:pos="726"/>
        </w:tabs>
        <w:ind w:left="726" w:hanging="720"/>
      </w:pPr>
      <w:rPr>
        <w:rFonts w:hint="default"/>
      </w:rPr>
    </w:lvl>
    <w:lvl w:ilvl="1">
      <w:start w:val="1"/>
      <w:numFmt w:val="ideographTraditional"/>
      <w:suff w:val="space"/>
      <w:lvlText w:val="%2、"/>
      <w:lvlJc w:val="left"/>
      <w:pPr>
        <w:tabs>
          <w:tab w:val="num" w:pos="966"/>
        </w:tabs>
        <w:ind w:left="966" w:hanging="480"/>
      </w:pPr>
    </w:lvl>
    <w:lvl w:ilvl="2">
      <w:start w:val="1"/>
      <w:numFmt w:val="lowerRoman"/>
      <w:suff w:val="space"/>
      <w:lvlText w:val="%3."/>
      <w:lvlJc w:val="right"/>
      <w:pPr>
        <w:tabs>
          <w:tab w:val="num" w:pos="1446"/>
        </w:tabs>
        <w:ind w:left="1446" w:hanging="480"/>
      </w:pPr>
    </w:lvl>
    <w:lvl w:ilvl="3">
      <w:start w:val="1"/>
      <w:numFmt w:val="decimal"/>
      <w:suff w:val="space"/>
      <w:lvlText w:val="%4."/>
      <w:lvlJc w:val="left"/>
      <w:pPr>
        <w:tabs>
          <w:tab w:val="num" w:pos="1926"/>
        </w:tabs>
        <w:ind w:left="1926" w:hanging="480"/>
      </w:pPr>
    </w:lvl>
    <w:lvl w:ilvl="4">
      <w:start w:val="1"/>
      <w:numFmt w:val="ideographTraditional"/>
      <w:suff w:val="space"/>
      <w:lvlText w:val="%5、"/>
      <w:lvlJc w:val="left"/>
      <w:pPr>
        <w:tabs>
          <w:tab w:val="num" w:pos="2406"/>
        </w:tabs>
        <w:ind w:left="2406" w:hanging="480"/>
      </w:pPr>
    </w:lvl>
    <w:lvl w:ilvl="5">
      <w:start w:val="1"/>
      <w:numFmt w:val="lowerRoman"/>
      <w:suff w:val="space"/>
      <w:lvlText w:val="%6."/>
      <w:lvlJc w:val="right"/>
      <w:pPr>
        <w:tabs>
          <w:tab w:val="num" w:pos="2886"/>
        </w:tabs>
        <w:ind w:left="2886" w:hanging="480"/>
      </w:pPr>
    </w:lvl>
    <w:lvl w:ilvl="6">
      <w:start w:val="1"/>
      <w:numFmt w:val="decimal"/>
      <w:suff w:val="space"/>
      <w:lvlText w:val="%7."/>
      <w:lvlJc w:val="left"/>
      <w:pPr>
        <w:tabs>
          <w:tab w:val="num" w:pos="3366"/>
        </w:tabs>
        <w:ind w:left="3366" w:hanging="480"/>
      </w:pPr>
    </w:lvl>
    <w:lvl w:ilvl="7">
      <w:start w:val="1"/>
      <w:numFmt w:val="ideographTraditional"/>
      <w:suff w:val="space"/>
      <w:lvlText w:val="%8、"/>
      <w:lvlJc w:val="left"/>
      <w:pPr>
        <w:tabs>
          <w:tab w:val="num" w:pos="3846"/>
        </w:tabs>
        <w:ind w:left="3846" w:hanging="480"/>
      </w:pPr>
    </w:lvl>
    <w:lvl w:ilvl="8">
      <w:start w:val="1"/>
      <w:numFmt w:val="lowerRoman"/>
      <w:suff w:val="space"/>
      <w:lvlText w:val="%9."/>
      <w:lvlJc w:val="right"/>
      <w:pPr>
        <w:tabs>
          <w:tab w:val="num" w:pos="4326"/>
        </w:tabs>
        <w:ind w:left="4326" w:hanging="480"/>
      </w:pPr>
    </w:lvl>
  </w:abstractNum>
  <w:abstractNum w:abstractNumId="2" w15:restartNumberingAfterBreak="0">
    <w:nsid w:val="7C051600"/>
    <w:multiLevelType w:val="multilevel"/>
    <w:tmpl w:val="5BC04982"/>
    <w:lvl w:ilvl="0">
      <w:start w:val="1"/>
      <w:numFmt w:val="bullet"/>
      <w:suff w:val="space"/>
      <w:lvlText w:val=""/>
      <w:lvlJc w:val="left"/>
      <w:pPr>
        <w:tabs>
          <w:tab w:val="num" w:pos="1047"/>
        </w:tabs>
        <w:ind w:left="1047" w:hanging="480"/>
      </w:pPr>
      <w:rPr>
        <w:rFonts w:ascii="Wingdings" w:hAnsi="Wingdings" w:hint="default"/>
      </w:rPr>
    </w:lvl>
    <w:lvl w:ilvl="1">
      <w:start w:val="1"/>
      <w:numFmt w:val="bullet"/>
      <w:suff w:val="space"/>
      <w:lvlText w:val=""/>
      <w:lvlJc w:val="left"/>
      <w:pPr>
        <w:tabs>
          <w:tab w:val="num" w:pos="1527"/>
        </w:tabs>
        <w:ind w:left="1527" w:hanging="480"/>
      </w:pPr>
      <w:rPr>
        <w:rFonts w:ascii="Wingdings" w:hAnsi="Wingdings" w:hint="default"/>
      </w:rPr>
    </w:lvl>
    <w:lvl w:ilvl="2">
      <w:start w:val="1"/>
      <w:numFmt w:val="bullet"/>
      <w:suff w:val="space"/>
      <w:lvlText w:val=""/>
      <w:lvlJc w:val="left"/>
      <w:pPr>
        <w:tabs>
          <w:tab w:val="num" w:pos="2007"/>
        </w:tabs>
        <w:ind w:left="2007" w:hanging="480"/>
      </w:pPr>
      <w:rPr>
        <w:rFonts w:ascii="Wingdings" w:hAnsi="Wingdings" w:hint="default"/>
      </w:rPr>
    </w:lvl>
    <w:lvl w:ilvl="3">
      <w:start w:val="1"/>
      <w:numFmt w:val="bullet"/>
      <w:suff w:val="space"/>
      <w:lvlText w:val=""/>
      <w:lvlJc w:val="left"/>
      <w:pPr>
        <w:tabs>
          <w:tab w:val="num" w:pos="2487"/>
        </w:tabs>
        <w:ind w:left="2487" w:hanging="480"/>
      </w:pPr>
      <w:rPr>
        <w:rFonts w:ascii="Wingdings" w:hAnsi="Wingdings" w:hint="default"/>
      </w:rPr>
    </w:lvl>
    <w:lvl w:ilvl="4">
      <w:start w:val="1"/>
      <w:numFmt w:val="bullet"/>
      <w:suff w:val="space"/>
      <w:lvlText w:val=""/>
      <w:lvlJc w:val="left"/>
      <w:pPr>
        <w:tabs>
          <w:tab w:val="num" w:pos="2967"/>
        </w:tabs>
        <w:ind w:left="2967" w:hanging="480"/>
      </w:pPr>
      <w:rPr>
        <w:rFonts w:ascii="Wingdings" w:hAnsi="Wingdings" w:hint="default"/>
      </w:rPr>
    </w:lvl>
    <w:lvl w:ilvl="5">
      <w:start w:val="1"/>
      <w:numFmt w:val="bullet"/>
      <w:suff w:val="space"/>
      <w:lvlText w:val=""/>
      <w:lvlJc w:val="left"/>
      <w:pPr>
        <w:tabs>
          <w:tab w:val="num" w:pos="3447"/>
        </w:tabs>
        <w:ind w:left="3447" w:hanging="480"/>
      </w:pPr>
      <w:rPr>
        <w:rFonts w:ascii="Wingdings" w:hAnsi="Wingdings" w:hint="default"/>
      </w:rPr>
    </w:lvl>
    <w:lvl w:ilvl="6">
      <w:start w:val="1"/>
      <w:numFmt w:val="bullet"/>
      <w:suff w:val="space"/>
      <w:lvlText w:val=""/>
      <w:lvlJc w:val="left"/>
      <w:pPr>
        <w:tabs>
          <w:tab w:val="num" w:pos="3927"/>
        </w:tabs>
        <w:ind w:left="3927" w:hanging="480"/>
      </w:pPr>
      <w:rPr>
        <w:rFonts w:ascii="Wingdings" w:hAnsi="Wingdings" w:hint="default"/>
      </w:rPr>
    </w:lvl>
    <w:lvl w:ilvl="7">
      <w:start w:val="1"/>
      <w:numFmt w:val="bullet"/>
      <w:suff w:val="space"/>
      <w:lvlText w:val=""/>
      <w:lvlJc w:val="left"/>
      <w:pPr>
        <w:tabs>
          <w:tab w:val="num" w:pos="4407"/>
        </w:tabs>
        <w:ind w:left="4407" w:hanging="480"/>
      </w:pPr>
      <w:rPr>
        <w:rFonts w:ascii="Wingdings" w:hAnsi="Wingdings" w:hint="default"/>
      </w:rPr>
    </w:lvl>
    <w:lvl w:ilvl="8">
      <w:start w:val="1"/>
      <w:numFmt w:val="bullet"/>
      <w:suff w:val="space"/>
      <w:lvlText w:val=""/>
      <w:lvlJc w:val="left"/>
      <w:pPr>
        <w:tabs>
          <w:tab w:val="num" w:pos="4887"/>
        </w:tabs>
        <w:ind w:left="4887" w:hanging="48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defaultTabStop w:val="480"/>
  <w:characterSpacingControl w:val="doNotCompress"/>
  <w:hdrShapeDefaults>
    <o:shapedefaults v:ext="edit" spidmax="2049"/>
  </w:hdrShapeDefaults>
  <w:footnotePr>
    <w:footnote w:id="-1"/>
    <w:footnote w:id="0"/>
  </w:footnotePr>
  <w:endnotePr>
    <w:endnote w:id="-1"/>
    <w:endnote w:id="0"/>
  </w:endnotePr>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762"/>
    <w:rsid w:val="00016442"/>
    <w:rsid w:val="000C5CA9"/>
    <w:rsid w:val="000E5DE2"/>
    <w:rsid w:val="000F7D81"/>
    <w:rsid w:val="00274B04"/>
    <w:rsid w:val="00277DBD"/>
    <w:rsid w:val="00281565"/>
    <w:rsid w:val="00281D15"/>
    <w:rsid w:val="00345A63"/>
    <w:rsid w:val="00370EEA"/>
    <w:rsid w:val="003F3CE6"/>
    <w:rsid w:val="0044555C"/>
    <w:rsid w:val="004C095B"/>
    <w:rsid w:val="004D6C46"/>
    <w:rsid w:val="00510E86"/>
    <w:rsid w:val="005565F0"/>
    <w:rsid w:val="00577AEC"/>
    <w:rsid w:val="00585AE9"/>
    <w:rsid w:val="00632FFD"/>
    <w:rsid w:val="0065355E"/>
    <w:rsid w:val="00764878"/>
    <w:rsid w:val="0078335A"/>
    <w:rsid w:val="007B62E4"/>
    <w:rsid w:val="00810166"/>
    <w:rsid w:val="00810217"/>
    <w:rsid w:val="0081154C"/>
    <w:rsid w:val="008846D8"/>
    <w:rsid w:val="008B7BB9"/>
    <w:rsid w:val="009C4ECE"/>
    <w:rsid w:val="00AB767F"/>
    <w:rsid w:val="00B04650"/>
    <w:rsid w:val="00B507AF"/>
    <w:rsid w:val="00B70ED0"/>
    <w:rsid w:val="00B83C23"/>
    <w:rsid w:val="00BC2C22"/>
    <w:rsid w:val="00BC7924"/>
    <w:rsid w:val="00C648CC"/>
    <w:rsid w:val="00CA7466"/>
    <w:rsid w:val="00CF7FE8"/>
    <w:rsid w:val="00D11EAB"/>
    <w:rsid w:val="00D34A3F"/>
    <w:rsid w:val="00D63762"/>
    <w:rsid w:val="00DA0CC2"/>
    <w:rsid w:val="00DC525E"/>
    <w:rsid w:val="00DC7DE9"/>
    <w:rsid w:val="00DE354A"/>
    <w:rsid w:val="00DE5841"/>
    <w:rsid w:val="00E47683"/>
    <w:rsid w:val="00E76415"/>
    <w:rsid w:val="00ED5F94"/>
    <w:rsid w:val="00EE43D8"/>
    <w:rsid w:val="00FB6EA0"/>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80C9F5"/>
  <w15:docId w15:val="{8458B108-0C5F-4F71-B3D1-DE05C8653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eastAsia="標楷體"/>
      <w:sz w:val="28"/>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Pr>
      <w:rFonts w:ascii="Arial" w:eastAsia="Arial" w:hAnsi="Arial" w:cs="Arial"/>
      <w:sz w:val="40"/>
      <w:szCs w:val="40"/>
    </w:rPr>
  </w:style>
  <w:style w:type="character" w:customStyle="1" w:styleId="20">
    <w:name w:val="標題 2 字元"/>
    <w:basedOn w:val="a0"/>
    <w:link w:val="2"/>
    <w:uiPriority w:val="9"/>
    <w:rPr>
      <w:rFonts w:ascii="Arial" w:eastAsia="Arial" w:hAnsi="Arial" w:cs="Arial"/>
      <w:sz w:val="34"/>
    </w:rPr>
  </w:style>
  <w:style w:type="character" w:customStyle="1" w:styleId="30">
    <w:name w:val="標題 3 字元"/>
    <w:basedOn w:val="a0"/>
    <w:link w:val="3"/>
    <w:uiPriority w:val="9"/>
    <w:rPr>
      <w:rFonts w:ascii="Arial" w:eastAsia="Arial" w:hAnsi="Arial" w:cs="Arial"/>
      <w:sz w:val="30"/>
      <w:szCs w:val="30"/>
    </w:rPr>
  </w:style>
  <w:style w:type="character" w:customStyle="1" w:styleId="40">
    <w:name w:val="標題 4 字元"/>
    <w:basedOn w:val="a0"/>
    <w:link w:val="4"/>
    <w:uiPriority w:val="9"/>
    <w:rPr>
      <w:rFonts w:ascii="Arial" w:eastAsia="Arial" w:hAnsi="Arial" w:cs="Arial"/>
      <w:b/>
      <w:bCs/>
      <w:sz w:val="26"/>
      <w:szCs w:val="26"/>
    </w:rPr>
  </w:style>
  <w:style w:type="character" w:customStyle="1" w:styleId="50">
    <w:name w:val="標題 5 字元"/>
    <w:basedOn w:val="a0"/>
    <w:link w:val="5"/>
    <w:uiPriority w:val="9"/>
    <w:rPr>
      <w:rFonts w:ascii="Arial" w:eastAsia="Arial" w:hAnsi="Arial" w:cs="Arial"/>
      <w:b/>
      <w:bCs/>
      <w:sz w:val="24"/>
      <w:szCs w:val="24"/>
    </w:rPr>
  </w:style>
  <w:style w:type="character" w:customStyle="1" w:styleId="60">
    <w:name w:val="標題 6 字元"/>
    <w:basedOn w:val="a0"/>
    <w:link w:val="6"/>
    <w:uiPriority w:val="9"/>
    <w:rPr>
      <w:rFonts w:ascii="Arial" w:eastAsia="Arial" w:hAnsi="Arial" w:cs="Arial"/>
      <w:b/>
      <w:bCs/>
      <w:sz w:val="22"/>
      <w:szCs w:val="22"/>
    </w:rPr>
  </w:style>
  <w:style w:type="character" w:customStyle="1" w:styleId="70">
    <w:name w:val="標題 7 字元"/>
    <w:basedOn w:val="a0"/>
    <w:link w:val="7"/>
    <w:uiPriority w:val="9"/>
    <w:rPr>
      <w:rFonts w:ascii="Arial" w:eastAsia="Arial" w:hAnsi="Arial" w:cs="Arial"/>
      <w:b/>
      <w:bCs/>
      <w:i/>
      <w:iCs/>
      <w:sz w:val="22"/>
      <w:szCs w:val="22"/>
    </w:rPr>
  </w:style>
  <w:style w:type="character" w:customStyle="1" w:styleId="80">
    <w:name w:val="標題 8 字元"/>
    <w:basedOn w:val="a0"/>
    <w:link w:val="8"/>
    <w:uiPriority w:val="9"/>
    <w:rPr>
      <w:rFonts w:ascii="Arial" w:eastAsia="Arial" w:hAnsi="Arial" w:cs="Arial"/>
      <w:i/>
      <w:iCs/>
      <w:sz w:val="22"/>
      <w:szCs w:val="22"/>
    </w:rPr>
  </w:style>
  <w:style w:type="character" w:customStyle="1" w:styleId="90">
    <w:name w:val="標題 9 字元"/>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標題 字元"/>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副標題 字元"/>
    <w:basedOn w:val="a0"/>
    <w:link w:val="a6"/>
    <w:uiPriority w:val="11"/>
    <w:rPr>
      <w:sz w:val="24"/>
      <w:szCs w:val="24"/>
    </w:rPr>
  </w:style>
  <w:style w:type="paragraph" w:styleId="a8">
    <w:name w:val="Quote"/>
    <w:basedOn w:val="a"/>
    <w:next w:val="a"/>
    <w:link w:val="a9"/>
    <w:uiPriority w:val="29"/>
    <w:qFormat/>
    <w:pPr>
      <w:ind w:left="720" w:right="720"/>
    </w:pPr>
    <w:rPr>
      <w:i/>
    </w:rPr>
  </w:style>
  <w:style w:type="character" w:customStyle="1" w:styleId="a9">
    <w:name w:val="引文 字元"/>
    <w:link w:val="a8"/>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鮮明引文 字元"/>
    <w:link w:val="aa"/>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2">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2">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2">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3">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3">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3">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3">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d">
    <w:name w:val="Hyperlink"/>
    <w:uiPriority w:val="99"/>
    <w:unhideWhenUsed/>
    <w:rPr>
      <w:color w:val="0000FF" w:themeColor="hyperlink"/>
      <w:u w:val="single"/>
    </w:rPr>
  </w:style>
  <w:style w:type="paragraph" w:styleId="ae">
    <w:name w:val="footnote text"/>
    <w:basedOn w:val="a"/>
    <w:link w:val="af"/>
    <w:uiPriority w:val="99"/>
    <w:semiHidden/>
    <w:unhideWhenUsed/>
    <w:pPr>
      <w:spacing w:after="40"/>
    </w:pPr>
    <w:rPr>
      <w:sz w:val="18"/>
    </w:rPr>
  </w:style>
  <w:style w:type="character" w:customStyle="1" w:styleId="af">
    <w:name w:val="註腳文字 字元"/>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rPr>
      <w:sz w:val="20"/>
    </w:rPr>
  </w:style>
  <w:style w:type="character" w:customStyle="1" w:styleId="af2">
    <w:name w:val="章節附註文字 字元"/>
    <w:link w:val="af1"/>
    <w:uiPriority w:val="99"/>
    <w:rPr>
      <w:sz w:val="20"/>
    </w:rPr>
  </w:style>
  <w:style w:type="character" w:styleId="af3">
    <w:name w:val="endnote reference"/>
    <w:basedOn w:val="a0"/>
    <w:uiPriority w:val="99"/>
    <w:semiHidden/>
    <w:unhideWhenUsed/>
    <w:rPr>
      <w:vertAlign w:val="superscript"/>
    </w:rPr>
  </w:style>
  <w:style w:type="paragraph" w:styleId="14">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4">
    <w:name w:val="toc 3"/>
    <w:basedOn w:val="a"/>
    <w:next w:val="a"/>
    <w:uiPriority w:val="39"/>
    <w:unhideWhenUsed/>
    <w:pPr>
      <w:spacing w:after="57"/>
      <w:ind w:left="567"/>
    </w:pPr>
  </w:style>
  <w:style w:type="paragraph" w:styleId="44">
    <w:name w:val="toc 4"/>
    <w:basedOn w:val="a"/>
    <w:next w:val="a"/>
    <w:uiPriority w:val="39"/>
    <w:unhideWhenUsed/>
    <w:pPr>
      <w:spacing w:after="57"/>
      <w:ind w:left="850"/>
    </w:pPr>
  </w:style>
  <w:style w:type="paragraph" w:styleId="54">
    <w:name w:val="toc 5"/>
    <w:basedOn w:val="a"/>
    <w:next w:val="a"/>
    <w:uiPriority w:val="39"/>
    <w:unhideWhenUsed/>
    <w:pPr>
      <w:spacing w:after="57"/>
      <w:ind w:left="1134"/>
    </w:pPr>
  </w:style>
  <w:style w:type="paragraph" w:styleId="63">
    <w:name w:val="toc 6"/>
    <w:basedOn w:val="a"/>
    <w:next w:val="a"/>
    <w:uiPriority w:val="39"/>
    <w:unhideWhenUsed/>
    <w:pPr>
      <w:spacing w:after="57"/>
      <w:ind w:left="1417"/>
    </w:pPr>
  </w:style>
  <w:style w:type="paragraph" w:styleId="73">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style>
  <w:style w:type="paragraph" w:styleId="af6">
    <w:name w:val="Normal Indent"/>
    <w:basedOn w:val="a"/>
    <w:pPr>
      <w:ind w:left="480"/>
    </w:pPr>
  </w:style>
  <w:style w:type="paragraph" w:styleId="af7">
    <w:name w:val="Body Text Indent"/>
    <w:basedOn w:val="a"/>
    <w:link w:val="af8"/>
    <w:pPr>
      <w:spacing w:line="560" w:lineRule="atLeast"/>
      <w:ind w:right="-38" w:firstLine="480"/>
      <w:jc w:val="both"/>
    </w:pPr>
    <w:rPr>
      <w:rFonts w:ascii="細明體" w:eastAsia="新細明體"/>
      <w:spacing w:val="-6"/>
      <w:sz w:val="22"/>
    </w:rPr>
  </w:style>
  <w:style w:type="paragraph" w:styleId="35">
    <w:name w:val="Body Text Indent 3"/>
    <w:basedOn w:val="a"/>
    <w:pPr>
      <w:spacing w:line="500" w:lineRule="exact"/>
      <w:ind w:right="17" w:firstLine="482"/>
      <w:jc w:val="both"/>
    </w:pPr>
    <w:rPr>
      <w:rFonts w:ascii="細明體" w:eastAsia="新細明體"/>
      <w:sz w:val="22"/>
    </w:rPr>
  </w:style>
  <w:style w:type="paragraph" w:styleId="af9">
    <w:name w:val="Plain Text"/>
    <w:basedOn w:val="a"/>
    <w:rPr>
      <w:rFonts w:ascii="細明體" w:eastAsia="細明體" w:hAnsi="Courier New"/>
      <w:sz w:val="24"/>
    </w:rPr>
  </w:style>
  <w:style w:type="paragraph" w:styleId="afa">
    <w:name w:val="footer"/>
    <w:basedOn w:val="a"/>
    <w:link w:val="afb"/>
    <w:uiPriority w:val="99"/>
    <w:pPr>
      <w:tabs>
        <w:tab w:val="center" w:pos="4153"/>
        <w:tab w:val="right" w:pos="8306"/>
      </w:tabs>
    </w:pPr>
    <w:rPr>
      <w:sz w:val="20"/>
    </w:rPr>
  </w:style>
  <w:style w:type="character" w:styleId="afc">
    <w:name w:val="page number"/>
    <w:basedOn w:val="a0"/>
  </w:style>
  <w:style w:type="paragraph" w:styleId="afd">
    <w:name w:val="header"/>
    <w:basedOn w:val="a"/>
    <w:link w:val="afe"/>
    <w:uiPriority w:val="99"/>
    <w:pPr>
      <w:tabs>
        <w:tab w:val="center" w:pos="4153"/>
        <w:tab w:val="right" w:pos="8306"/>
      </w:tabs>
    </w:pPr>
    <w:rPr>
      <w:sz w:val="20"/>
    </w:rPr>
  </w:style>
  <w:style w:type="paragraph" w:styleId="25">
    <w:name w:val="Body Text Indent 2"/>
    <w:basedOn w:val="a"/>
    <w:pPr>
      <w:spacing w:line="640" w:lineRule="atLeast"/>
      <w:ind w:firstLine="561"/>
      <w:jc w:val="both"/>
    </w:pPr>
    <w:rPr>
      <w:rFonts w:ascii="標楷體" w:hAnsi="標楷體"/>
    </w:rPr>
  </w:style>
  <w:style w:type="paragraph" w:customStyle="1" w:styleId="15">
    <w:name w:val="字元1 字元 字元 字元 字元 字元"/>
    <w:basedOn w:val="a"/>
    <w:pPr>
      <w:widowControl/>
      <w:spacing w:after="160" w:line="240" w:lineRule="exact"/>
    </w:pPr>
    <w:rPr>
      <w:rFonts w:ascii="Verdana" w:eastAsia="新細明體" w:hAnsi="Verdana"/>
      <w:sz w:val="20"/>
      <w:lang w:eastAsia="en-US"/>
    </w:rPr>
  </w:style>
  <w:style w:type="paragraph" w:styleId="aff">
    <w:name w:val="Body Text"/>
    <w:basedOn w:val="a"/>
    <w:pPr>
      <w:spacing w:line="200" w:lineRule="exact"/>
      <w:jc w:val="both"/>
    </w:pPr>
    <w:rPr>
      <w:rFonts w:eastAsia="新細明體"/>
      <w:b/>
      <w:bCs/>
      <w:sz w:val="20"/>
      <w:szCs w:val="24"/>
    </w:rPr>
  </w:style>
  <w:style w:type="paragraph" w:customStyle="1" w:styleId="aff0">
    <w:name w:val="字元"/>
    <w:basedOn w:val="a"/>
    <w:semiHidden/>
    <w:pPr>
      <w:widowControl/>
      <w:spacing w:after="160" w:line="240" w:lineRule="exact"/>
    </w:pPr>
    <w:rPr>
      <w:rFonts w:ascii="Verdana" w:eastAsia="Times New Roman" w:hAnsi="Verdana"/>
      <w:sz w:val="20"/>
      <w:lang w:eastAsia="en-US"/>
    </w:rPr>
  </w:style>
  <w:style w:type="paragraph" w:customStyle="1" w:styleId="aff1">
    <w:name w:val="字元 字元 字元 字元"/>
    <w:basedOn w:val="a"/>
    <w:semiHidden/>
    <w:pPr>
      <w:widowControl/>
      <w:spacing w:after="160" w:line="240" w:lineRule="exact"/>
    </w:pPr>
    <w:rPr>
      <w:rFonts w:ascii="Verdana" w:eastAsia="Times New Roman" w:hAnsi="Verdana" w:cs="Mangal"/>
      <w:sz w:val="20"/>
      <w:szCs w:val="24"/>
      <w:lang w:eastAsia="en-US" w:bidi="hi-IN"/>
    </w:rPr>
  </w:style>
  <w:style w:type="paragraph" w:customStyle="1" w:styleId="aff2">
    <w:name w:val="字元 字元 字元 字元 字元 字元"/>
    <w:basedOn w:val="a"/>
    <w:pPr>
      <w:widowControl/>
      <w:spacing w:after="160" w:line="240" w:lineRule="exact"/>
    </w:pPr>
    <w:rPr>
      <w:rFonts w:ascii="Verdana" w:eastAsia="新細明體" w:hAnsi="Verdana"/>
      <w:sz w:val="20"/>
      <w:lang w:eastAsia="en-US"/>
    </w:rPr>
  </w:style>
  <w:style w:type="paragraph" w:customStyle="1" w:styleId="aff3">
    <w:name w:val="字元 字元 字元 字元 字元 字元 字元 字元 字元"/>
    <w:basedOn w:val="a"/>
    <w:pPr>
      <w:widowControl/>
      <w:spacing w:after="160" w:line="240" w:lineRule="exact"/>
    </w:pPr>
    <w:rPr>
      <w:rFonts w:ascii="Verdana" w:eastAsia="新細明體" w:hAnsi="Verdana"/>
      <w:sz w:val="20"/>
      <w:lang w:eastAsia="en-US"/>
    </w:rPr>
  </w:style>
  <w:style w:type="paragraph" w:customStyle="1" w:styleId="aff4">
    <w:name w:val="字元 字元 字元"/>
    <w:basedOn w:val="a"/>
    <w:pPr>
      <w:widowControl/>
      <w:spacing w:after="160" w:line="240" w:lineRule="exact"/>
    </w:pPr>
    <w:rPr>
      <w:rFonts w:ascii="Verdana" w:eastAsia="新細明體" w:hAnsi="Verdana"/>
      <w:sz w:val="20"/>
      <w:lang w:eastAsia="en-US"/>
    </w:rPr>
  </w:style>
  <w:style w:type="paragraph" w:customStyle="1" w:styleId="16">
    <w:name w:val="字元 字元1"/>
    <w:basedOn w:val="a"/>
    <w:pPr>
      <w:widowControl/>
      <w:spacing w:after="160" w:line="240" w:lineRule="exact"/>
    </w:pPr>
    <w:rPr>
      <w:rFonts w:ascii="Verdana" w:eastAsia="新細明體" w:hAnsi="Verdana"/>
      <w:sz w:val="20"/>
      <w:lang w:eastAsia="en-US"/>
    </w:rPr>
  </w:style>
  <w:style w:type="paragraph" w:styleId="aff5">
    <w:name w:val="Balloon Text"/>
    <w:basedOn w:val="a"/>
    <w:link w:val="aff6"/>
    <w:uiPriority w:val="99"/>
    <w:semiHidden/>
    <w:unhideWhenUsed/>
    <w:rPr>
      <w:rFonts w:ascii="Cambria" w:eastAsia="新細明體" w:hAnsi="Cambria"/>
      <w:sz w:val="18"/>
      <w:szCs w:val="18"/>
    </w:rPr>
  </w:style>
  <w:style w:type="character" w:customStyle="1" w:styleId="aff6">
    <w:name w:val="註解方塊文字 字元"/>
    <w:link w:val="aff5"/>
    <w:uiPriority w:val="99"/>
    <w:semiHidden/>
    <w:rPr>
      <w:rFonts w:ascii="Cambria" w:eastAsia="新細明體" w:hAnsi="Cambria" w:cs="Times New Roman"/>
      <w:sz w:val="18"/>
      <w:szCs w:val="18"/>
    </w:rPr>
  </w:style>
  <w:style w:type="table" w:styleId="aff7">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8">
    <w:name w:val="本文縮排 字元"/>
    <w:link w:val="af7"/>
    <w:rPr>
      <w:rFonts w:ascii="細明體"/>
      <w:spacing w:val="-6"/>
      <w:sz w:val="22"/>
    </w:rPr>
  </w:style>
  <w:style w:type="paragraph" w:customStyle="1" w:styleId="aff8">
    <w:name w:val="表數"/>
    <w:basedOn w:val="a"/>
    <w:pPr>
      <w:keepNext/>
      <w:jc w:val="right"/>
    </w:pPr>
    <w:rPr>
      <w:rFonts w:ascii="標楷體"/>
      <w:sz w:val="20"/>
      <w:szCs w:val="24"/>
    </w:rPr>
  </w:style>
  <w:style w:type="paragraph" w:styleId="aff9">
    <w:name w:val="List Paragraph"/>
    <w:basedOn w:val="a"/>
    <w:uiPriority w:val="34"/>
    <w:qFormat/>
    <w:pPr>
      <w:ind w:left="480"/>
    </w:pPr>
    <w:rPr>
      <w:rFonts w:ascii="Calibri" w:eastAsia="新細明體" w:hAnsi="Calibri"/>
      <w:sz w:val="24"/>
      <w:szCs w:val="22"/>
    </w:rPr>
  </w:style>
  <w:style w:type="paragraph" w:customStyle="1" w:styleId="affa">
    <w:name w:val="字元 字元"/>
    <w:basedOn w:val="a"/>
    <w:pPr>
      <w:widowControl/>
      <w:spacing w:after="160" w:line="240" w:lineRule="exact"/>
    </w:pPr>
    <w:rPr>
      <w:rFonts w:ascii="Verdana" w:eastAsia="新細明體" w:hAnsi="Verdana"/>
      <w:sz w:val="20"/>
      <w:lang w:eastAsia="en-US"/>
    </w:rPr>
  </w:style>
  <w:style w:type="character" w:customStyle="1" w:styleId="afb">
    <w:name w:val="頁尾 字元"/>
    <w:link w:val="afa"/>
    <w:uiPriority w:val="99"/>
    <w:rPr>
      <w:rFonts w:eastAsia="標楷體"/>
    </w:rPr>
  </w:style>
  <w:style w:type="character" w:styleId="affb">
    <w:name w:val="Strong"/>
    <w:uiPriority w:val="22"/>
    <w:qFormat/>
    <w:rPr>
      <w:b/>
      <w:bCs/>
    </w:rPr>
  </w:style>
  <w:style w:type="character" w:customStyle="1" w:styleId="afe">
    <w:name w:val="頁首 字元"/>
    <w:link w:val="afd"/>
    <w:uiPriority w:val="99"/>
    <w:rPr>
      <w:rFonts w:eastAsia="標楷體"/>
    </w:rPr>
  </w:style>
  <w:style w:type="character" w:styleId="affc">
    <w:name w:val="annotation reference"/>
    <w:basedOn w:val="a0"/>
    <w:uiPriority w:val="99"/>
    <w:semiHidden/>
    <w:unhideWhenUsed/>
    <w:rPr>
      <w:sz w:val="18"/>
      <w:szCs w:val="18"/>
    </w:rPr>
  </w:style>
  <w:style w:type="paragraph" w:styleId="affd">
    <w:name w:val="annotation text"/>
    <w:basedOn w:val="a"/>
    <w:link w:val="affe"/>
    <w:uiPriority w:val="99"/>
    <w:semiHidden/>
    <w:unhideWhenUsed/>
  </w:style>
  <w:style w:type="character" w:customStyle="1" w:styleId="affe">
    <w:name w:val="註解文字 字元"/>
    <w:basedOn w:val="a0"/>
    <w:link w:val="affd"/>
    <w:uiPriority w:val="99"/>
    <w:semiHidden/>
    <w:rPr>
      <w:rFonts w:eastAsia="標楷體"/>
      <w:sz w:val="28"/>
    </w:rPr>
  </w:style>
  <w:style w:type="paragraph" w:styleId="afff">
    <w:name w:val="annotation subject"/>
    <w:basedOn w:val="affd"/>
    <w:next w:val="affd"/>
    <w:link w:val="afff0"/>
    <w:uiPriority w:val="99"/>
    <w:semiHidden/>
    <w:unhideWhenUsed/>
    <w:rPr>
      <w:b/>
      <w:bCs/>
    </w:rPr>
  </w:style>
  <w:style w:type="character" w:customStyle="1" w:styleId="afff0">
    <w:name w:val="註解主旨 字元"/>
    <w:basedOn w:val="affe"/>
    <w:link w:val="afff"/>
    <w:uiPriority w:val="99"/>
    <w:semiHidden/>
    <w:rPr>
      <w:rFonts w:eastAsia="標楷體"/>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Arial"/>
      </a:majorFont>
      <a:minorFont>
        <a:latin typeface="Calibri"/>
        <a:ea typeface="新細明體"/>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16A31-AA61-4712-BB0F-36A220186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309</Words>
  <Characters>1767</Characters>
  <Application>Microsoft Office Word</Application>
  <DocSecurity>0</DocSecurity>
  <Lines>14</Lines>
  <Paragraphs>4</Paragraphs>
  <ScaleCrop>false</ScaleCrop>
  <Company>基隆市審計室</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前言</dc:title>
  <dc:creator>A</dc:creator>
  <cp:lastModifiedBy>謝欣雯</cp:lastModifiedBy>
  <cp:revision>3</cp:revision>
  <cp:lastPrinted>2025-07-03T08:35:00Z</cp:lastPrinted>
  <dcterms:created xsi:type="dcterms:W3CDTF">2025-07-08T02:29:00Z</dcterms:created>
  <dcterms:modified xsi:type="dcterms:W3CDTF">2025-07-08T02:29:00Z</dcterms:modified>
</cp:coreProperties>
</file>