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7BEA" w14:textId="77777777" w:rsidR="00AB096C" w:rsidRPr="00BF5B0E" w:rsidRDefault="00667CD0" w:rsidP="00BF5B0E">
      <w:pPr>
        <w:jc w:val="both"/>
        <w:rPr>
          <w:rFonts w:ascii="標楷體" w:eastAsia="標楷體" w:hAnsi="標楷體"/>
          <w:b/>
        </w:rPr>
      </w:pPr>
      <w:r w:rsidRPr="00BF5B0E">
        <w:rPr>
          <w:rFonts w:ascii="標楷體" w:eastAsia="標楷體" w:hAnsi="標楷體" w:hint="eastAsia"/>
          <w:b/>
          <w:sz w:val="32"/>
        </w:rPr>
        <w:t>十</w:t>
      </w:r>
      <w:r w:rsidR="004E62F5" w:rsidRPr="00BF5B0E">
        <w:rPr>
          <w:rFonts w:ascii="標楷體" w:eastAsia="標楷體" w:hAnsi="標楷體" w:hint="eastAsia"/>
          <w:b/>
          <w:sz w:val="32"/>
        </w:rPr>
        <w:t>四</w:t>
      </w:r>
      <w:r w:rsidRPr="00BF5B0E">
        <w:rPr>
          <w:rFonts w:ascii="標楷體" w:eastAsia="標楷體" w:hAnsi="標楷體" w:hint="eastAsia"/>
          <w:b/>
          <w:sz w:val="32"/>
        </w:rPr>
        <w:t>、金融監督管理委員會主管</w:t>
      </w:r>
    </w:p>
    <w:p w14:paraId="59FF8611" w14:textId="77777777" w:rsidR="00667CD0" w:rsidRPr="00BF5B0E" w:rsidRDefault="00667CD0" w:rsidP="00BF5B0E">
      <w:pPr>
        <w:ind w:firstLineChars="150" w:firstLine="480"/>
        <w:jc w:val="both"/>
        <w:rPr>
          <w:rFonts w:ascii="標楷體" w:eastAsia="標楷體" w:hAnsi="標楷體" w:cs="微軟正黑體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微軟正黑體" w:hint="eastAsia"/>
          <w:b/>
          <w:kern w:val="0"/>
          <w:sz w:val="32"/>
          <w:szCs w:val="32"/>
        </w:rPr>
        <w:t>金融監督管理基金</w:t>
      </w:r>
    </w:p>
    <w:p w14:paraId="3AC70DA6" w14:textId="1E7C6646" w:rsidR="00667CD0" w:rsidRPr="00BF5B0E" w:rsidRDefault="00667CD0" w:rsidP="00635B9D">
      <w:pPr>
        <w:overflowPunct w:val="0"/>
        <w:adjustRightInd w:val="0"/>
        <w:spacing w:line="54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Cs w:val="24"/>
        </w:rPr>
      </w:pPr>
      <w:r w:rsidRPr="00BF5B0E">
        <w:rPr>
          <w:rFonts w:ascii="標楷體" w:eastAsia="標楷體" w:hAnsi="標楷體" w:cs="微軟正黑體" w:hint="eastAsia"/>
          <w:kern w:val="0"/>
          <w:szCs w:val="24"/>
        </w:rPr>
        <w:t>政府為健全金融機構業務經營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維持金融穩定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促進金融市場發展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依金融監督管理委員會組織法規定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設立金融監督管理基金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。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該基金</w:t>
      </w:r>
      <w:proofErr w:type="gramStart"/>
      <w:r w:rsidR="00833848" w:rsidRPr="00BF5B0E">
        <w:rPr>
          <w:rFonts w:ascii="標楷體" w:eastAsia="標楷體" w:hAnsi="標楷體" w:cs="DFKaiShu-SB-Estd-BF"/>
          <w:kern w:val="0"/>
          <w:szCs w:val="24"/>
        </w:rPr>
        <w:t>11</w:t>
      </w:r>
      <w:r w:rsidR="00EE0E1A">
        <w:rPr>
          <w:rFonts w:ascii="標楷體" w:eastAsia="標楷體" w:hAnsi="標楷體" w:cs="DFKaiShu-SB-Estd-BF"/>
          <w:kern w:val="0"/>
          <w:szCs w:val="24"/>
        </w:rPr>
        <w:t>3</w:t>
      </w:r>
      <w:proofErr w:type="gramEnd"/>
      <w:r w:rsidRPr="00BF5B0E">
        <w:rPr>
          <w:rFonts w:ascii="標楷體" w:eastAsia="標楷體" w:hAnsi="標楷體" w:cs="微軟正黑體" w:hint="eastAsia"/>
          <w:kern w:val="0"/>
          <w:szCs w:val="24"/>
        </w:rPr>
        <w:t>年度各項業務計畫及預算之執行等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經予書面審核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並派員就地抽查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茲將查核結果說明如次</w:t>
      </w:r>
      <w:r w:rsidRPr="00BF5B0E">
        <w:rPr>
          <w:rFonts w:ascii="標楷體" w:eastAsia="標楷體" w:hAnsi="標楷體" w:cs="DFKaiShu-SB-Estd-BF" w:hint="eastAsia"/>
          <w:kern w:val="0"/>
          <w:szCs w:val="24"/>
        </w:rPr>
        <w:t>：</w:t>
      </w:r>
    </w:p>
    <w:p w14:paraId="01635A1F" w14:textId="77777777" w:rsidR="00667CD0" w:rsidRPr="00BF5B0E" w:rsidRDefault="00667CD0" w:rsidP="00635B9D">
      <w:pPr>
        <w:autoSpaceDE w:val="0"/>
        <w:autoSpaceDN w:val="0"/>
        <w:adjustRightInd w:val="0"/>
        <w:spacing w:line="540" w:lineRule="exact"/>
        <w:ind w:firstLineChars="450" w:firstLine="1261"/>
        <w:jc w:val="both"/>
        <w:rPr>
          <w:rFonts w:ascii="標楷體" w:eastAsia="標楷體" w:hAnsi="標楷體" w:cs="微軟正黑體"/>
          <w:b/>
          <w:kern w:val="0"/>
          <w:sz w:val="32"/>
          <w:szCs w:val="28"/>
        </w:rPr>
      </w:pP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24"/>
        </w:rPr>
        <w:t xml:space="preserve">1.　</w:t>
      </w:r>
      <w:r w:rsidRPr="00BF5B0E">
        <w:rPr>
          <w:rFonts w:ascii="標楷體" w:eastAsia="標楷體" w:hAnsi="標楷體" w:cs="微軟正黑體" w:hint="eastAsia"/>
          <w:b/>
          <w:kern w:val="0"/>
          <w:sz w:val="28"/>
          <w:szCs w:val="28"/>
        </w:rPr>
        <w:t>業務計畫實施情形之查核</w:t>
      </w:r>
    </w:p>
    <w:p w14:paraId="5B850F4F" w14:textId="34A5C1EA" w:rsidR="00667CD0" w:rsidRPr="00BF5B0E" w:rsidRDefault="00667CD0" w:rsidP="00635B9D">
      <w:pPr>
        <w:overflowPunct w:val="0"/>
        <w:adjustRightInd w:val="0"/>
        <w:spacing w:afterLines="20" w:after="72" w:line="54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 w:val="32"/>
          <w:szCs w:val="24"/>
        </w:rPr>
      </w:pPr>
      <w:r w:rsidRPr="00BF5B0E">
        <w:rPr>
          <w:rFonts w:ascii="標楷體" w:eastAsia="標楷體" w:hAnsi="標楷體" w:cs="微軟正黑體" w:hint="eastAsia"/>
          <w:kern w:val="0"/>
          <w:szCs w:val="24"/>
        </w:rPr>
        <w:t>該基金主要業務係辦理銀行、證券期貨及保險等金融業務之法令制定、規劃及監督管理等。</w:t>
      </w:r>
      <w:proofErr w:type="gramStart"/>
      <w:r w:rsidR="00833848" w:rsidRPr="00BF5B0E">
        <w:rPr>
          <w:rFonts w:ascii="標楷體" w:eastAsia="標楷體" w:hAnsi="標楷體" w:cs="微軟正黑體"/>
          <w:kern w:val="0"/>
          <w:szCs w:val="24"/>
        </w:rPr>
        <w:t>11</w:t>
      </w:r>
      <w:r w:rsidR="00EE0E1A">
        <w:rPr>
          <w:rFonts w:ascii="標楷體" w:eastAsia="標楷體" w:hAnsi="標楷體" w:cs="微軟正黑體"/>
          <w:kern w:val="0"/>
          <w:szCs w:val="24"/>
        </w:rPr>
        <w:t>3</w:t>
      </w:r>
      <w:proofErr w:type="gramEnd"/>
      <w:r w:rsidRPr="00BF5B0E">
        <w:rPr>
          <w:rFonts w:ascii="標楷體" w:eastAsia="標楷體" w:hAnsi="標楷體" w:cs="微軟正黑體" w:hint="eastAsia"/>
          <w:kern w:val="0"/>
          <w:szCs w:val="24"/>
        </w:rPr>
        <w:t>年度業務計畫</w:t>
      </w:r>
      <w:r w:rsidR="00833848" w:rsidRPr="00BF5B0E">
        <w:rPr>
          <w:rFonts w:ascii="標楷體" w:eastAsia="標楷體" w:hAnsi="標楷體" w:cs="微軟正黑體"/>
          <w:kern w:val="0"/>
          <w:szCs w:val="24"/>
        </w:rPr>
        <w:t>5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項，實施結果，實際數較原預計增加者</w:t>
      </w:r>
      <w:r w:rsidR="00550462">
        <w:rPr>
          <w:rFonts w:ascii="標楷體" w:eastAsia="標楷體" w:hAnsi="標楷體" w:cs="微軟正黑體" w:hint="eastAsia"/>
          <w:kern w:val="0"/>
          <w:szCs w:val="24"/>
        </w:rPr>
        <w:t>3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項，減少者</w:t>
      </w:r>
      <w:r w:rsidR="00550462">
        <w:rPr>
          <w:rFonts w:ascii="標楷體" w:eastAsia="標楷體" w:hAnsi="標楷體" w:cs="微軟正黑體" w:hint="eastAsia"/>
          <w:kern w:val="0"/>
          <w:szCs w:val="24"/>
        </w:rPr>
        <w:t>2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項，其執行情形列表如次：</w:t>
      </w:r>
    </w:p>
    <w:tbl>
      <w:tblPr>
        <w:tblW w:w="10163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7"/>
        <w:gridCol w:w="767"/>
        <w:gridCol w:w="1213"/>
        <w:gridCol w:w="1302"/>
        <w:gridCol w:w="1276"/>
        <w:gridCol w:w="850"/>
        <w:gridCol w:w="2638"/>
      </w:tblGrid>
      <w:tr w:rsidR="00BF5B0E" w:rsidRPr="00BF5B0E" w14:paraId="2ECE2595" w14:textId="77777777" w:rsidTr="00226ABD">
        <w:trPr>
          <w:cantSplit/>
          <w:trHeight w:val="397"/>
          <w:jc w:val="center"/>
        </w:trPr>
        <w:tc>
          <w:tcPr>
            <w:tcW w:w="21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A91E72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項目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01CB10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單位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D801E0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預計數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CCB8C7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實際數</w:t>
            </w:r>
          </w:p>
        </w:tc>
        <w:tc>
          <w:tcPr>
            <w:tcW w:w="476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D9924B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比較增減</w:t>
            </w:r>
          </w:p>
        </w:tc>
      </w:tr>
      <w:tr w:rsidR="00BF5B0E" w:rsidRPr="00BF5B0E" w14:paraId="2A03FF22" w14:textId="77777777" w:rsidTr="00226ABD">
        <w:trPr>
          <w:cantSplit/>
          <w:trHeight w:val="397"/>
          <w:jc w:val="center"/>
        </w:trPr>
        <w:tc>
          <w:tcPr>
            <w:tcW w:w="21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8492E8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7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049696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11DD32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5FA5CD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686CC3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增減數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212CA9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％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5BB3598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原因</w:t>
            </w:r>
          </w:p>
        </w:tc>
      </w:tr>
      <w:tr w:rsidR="00BF5B0E" w:rsidRPr="00BF5B0E" w14:paraId="00C9EC92" w14:textId="77777777" w:rsidTr="00226ABD">
        <w:trPr>
          <w:cantSplit/>
          <w:trHeight w:val="680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5F7904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推動保護金融</w:t>
            </w:r>
          </w:p>
          <w:p w14:paraId="47B27B19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消費者權益計畫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569C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C610F" w14:textId="4976C64C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36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4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5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792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453BE" w14:textId="49ED4FC5" w:rsidR="00112195" w:rsidRPr="00BF5B0E" w:rsidRDefault="00F94DF0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/>
                <w:sz w:val="22"/>
              </w:rPr>
              <w:t>10</w:t>
            </w:r>
            <w:r w:rsidR="00EE0E1A">
              <w:rPr>
                <w:rFonts w:ascii="標楷體" w:eastAsia="標楷體" w:hAnsi="標楷體" w:cs="Times New Roman"/>
                <w:sz w:val="22"/>
              </w:rPr>
              <w:t>5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z w:val="22"/>
              </w:rPr>
              <w:t>912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D6AF4" w14:textId="70198926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pacing w:val="-6"/>
                <w:sz w:val="22"/>
              </w:rPr>
              <w:t>60</w:t>
            </w:r>
            <w:r w:rsidR="00112195"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>,</w:t>
            </w:r>
            <w:r w:rsidR="00F94DF0" w:rsidRPr="00BF5B0E">
              <w:rPr>
                <w:rFonts w:ascii="標楷體" w:eastAsia="標楷體" w:hAnsi="標楷體" w:cs="Times New Roman"/>
                <w:spacing w:val="-6"/>
                <w:sz w:val="22"/>
              </w:rPr>
              <w:t>1</w:t>
            </w:r>
            <w:r>
              <w:rPr>
                <w:rFonts w:ascii="標楷體" w:eastAsia="標楷體" w:hAnsi="標楷體" w:cs="Times New Roman"/>
                <w:spacing w:val="-6"/>
                <w:sz w:val="22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CDEB2" w14:textId="5CBD1716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1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3</w:t>
            </w:r>
            <w:r>
              <w:rPr>
                <w:rFonts w:ascii="標楷體" w:eastAsia="標楷體" w:hAnsi="標楷體" w:cs="Times New Roman"/>
                <w:sz w:val="22"/>
              </w:rPr>
              <w:t>1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>
              <w:rPr>
                <w:rFonts w:ascii="標楷體" w:eastAsia="標楷體" w:hAnsi="標楷體" w:cs="Times New Roman"/>
                <w:sz w:val="22"/>
              </w:rPr>
              <w:t>29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181427" w14:textId="46CB08FB" w:rsidR="00112195" w:rsidRPr="00BF5B0E" w:rsidRDefault="00507FC2" w:rsidP="00507FC2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D0404F">
              <w:rPr>
                <w:rFonts w:ascii="標楷體" w:eastAsia="標楷體" w:hAnsi="標楷體" w:cs="Times New Roman" w:hint="eastAsia"/>
                <w:sz w:val="22"/>
              </w:rPr>
              <w:t>銀行局</w:t>
            </w:r>
            <w:r w:rsidR="00ED1D81" w:rsidRPr="00D0404F">
              <w:rPr>
                <w:rFonts w:ascii="標楷體" w:eastAsia="標楷體" w:hAnsi="標楷體" w:cs="Times New Roman" w:hint="eastAsia"/>
                <w:sz w:val="22"/>
              </w:rPr>
              <w:t>辦公廳舍搬遷</w:t>
            </w:r>
            <w:r w:rsidR="00EB626B" w:rsidRPr="00D0404F">
              <w:rPr>
                <w:rFonts w:ascii="標楷體" w:eastAsia="標楷體" w:hAnsi="標楷體" w:cs="Times New Roman" w:hint="eastAsia"/>
                <w:sz w:val="22"/>
              </w:rPr>
              <w:t>計畫經費</w:t>
            </w:r>
            <w:r w:rsidR="00ED1D81" w:rsidRPr="00D0404F">
              <w:rPr>
                <w:rFonts w:ascii="標楷體" w:eastAsia="標楷體" w:hAnsi="標楷體" w:cs="Times New Roman" w:hint="eastAsia"/>
                <w:sz w:val="22"/>
              </w:rPr>
              <w:t>保留</w:t>
            </w:r>
            <w:r w:rsidR="00EB626B" w:rsidRPr="00D0404F">
              <w:rPr>
                <w:rFonts w:ascii="標楷體" w:eastAsia="標楷體" w:hAnsi="標楷體" w:cs="Times New Roman" w:hint="eastAsia"/>
                <w:sz w:val="22"/>
              </w:rPr>
              <w:t>至</w:t>
            </w:r>
            <w:proofErr w:type="gramStart"/>
            <w:r w:rsidR="00514CF6" w:rsidRPr="00D0404F">
              <w:rPr>
                <w:rFonts w:ascii="標楷體" w:eastAsia="標楷體" w:hAnsi="標楷體" w:cs="Times New Roman" w:hint="eastAsia"/>
                <w:sz w:val="22"/>
              </w:rPr>
              <w:t>1</w:t>
            </w:r>
            <w:r w:rsidR="00514CF6" w:rsidRPr="00D0404F">
              <w:rPr>
                <w:rFonts w:ascii="標楷體" w:eastAsia="標楷體" w:hAnsi="標楷體" w:cs="Times New Roman"/>
                <w:sz w:val="22"/>
              </w:rPr>
              <w:t>1</w:t>
            </w:r>
            <w:r w:rsidR="00EE0E1A" w:rsidRPr="00D0404F">
              <w:rPr>
                <w:rFonts w:ascii="標楷體" w:eastAsia="標楷體" w:hAnsi="標楷體" w:cs="Times New Roman"/>
                <w:sz w:val="22"/>
              </w:rPr>
              <w:t>3</w:t>
            </w:r>
            <w:proofErr w:type="gramEnd"/>
            <w:r w:rsidR="00EB626B" w:rsidRPr="00D0404F">
              <w:rPr>
                <w:rFonts w:ascii="標楷體" w:eastAsia="標楷體" w:hAnsi="標楷體" w:cs="Times New Roman" w:hint="eastAsia"/>
                <w:sz w:val="22"/>
              </w:rPr>
              <w:t>年度執行</w:t>
            </w:r>
            <w:r w:rsidR="00112195" w:rsidRPr="00D0404F">
              <w:rPr>
                <w:rFonts w:ascii="標楷體" w:eastAsia="標楷體" w:hAnsi="標楷體" w:cs="Times New Roman" w:hint="eastAsia"/>
                <w:sz w:val="22"/>
              </w:rPr>
              <w:t>所致。</w:t>
            </w:r>
          </w:p>
        </w:tc>
      </w:tr>
      <w:tr w:rsidR="00BF5B0E" w:rsidRPr="00BF5B0E" w14:paraId="7445A21D" w14:textId="77777777" w:rsidTr="00226ABD">
        <w:trPr>
          <w:cantSplit/>
          <w:trHeight w:val="794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54CB1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推動金融制度、</w:t>
            </w:r>
          </w:p>
          <w:p w14:paraId="5DDC1038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新種金融商品之</w:t>
            </w:r>
          </w:p>
          <w:p w14:paraId="5E672B8E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研究及發展計畫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EC00D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A87EA" w14:textId="1239D682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94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767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D0A01" w14:textId="27DDC2F2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88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2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3</w:t>
            </w:r>
            <w:r>
              <w:rPr>
                <w:rFonts w:ascii="標楷體" w:eastAsia="標楷體" w:hAnsi="標楷體" w:cs="Times New Roman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594B8" w14:textId="789C9480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 xml:space="preserve">- 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6</w:t>
            </w:r>
            <w:r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>,</w:t>
            </w:r>
            <w:r w:rsidR="00F94DF0" w:rsidRPr="00BF5B0E">
              <w:rPr>
                <w:rFonts w:ascii="標楷體" w:eastAsia="標楷體" w:hAnsi="標楷體" w:cs="Times New Roman"/>
                <w:spacing w:val="-6"/>
                <w:sz w:val="22"/>
              </w:rPr>
              <w:t>5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70DD7" w14:textId="74A1779B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 xml:space="preserve">- 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6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 w:rsidR="00EE0E1A">
              <w:rPr>
                <w:rFonts w:ascii="標楷體" w:eastAsia="標楷體" w:hAnsi="標楷體" w:cs="Times New Roman"/>
                <w:sz w:val="22"/>
              </w:rPr>
              <w:t>89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9AD761" w14:textId="77777777" w:rsidR="00112195" w:rsidRPr="00BF5B0E" w:rsidRDefault="00112195" w:rsidP="00F03CAA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</w:tr>
      <w:tr w:rsidR="00BF5B0E" w:rsidRPr="00BF5B0E" w14:paraId="56707968" w14:textId="77777777" w:rsidTr="00226ABD">
        <w:trPr>
          <w:cantSplit/>
          <w:trHeight w:val="680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6938BC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推動金融資訊</w:t>
            </w:r>
          </w:p>
          <w:p w14:paraId="15B24410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公開計畫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9E364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55B68" w14:textId="2485DDBE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3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3</w:t>
            </w:r>
            <w:r>
              <w:rPr>
                <w:rFonts w:ascii="標楷體" w:eastAsia="標楷體" w:hAnsi="標楷體" w:cs="Times New Roman"/>
                <w:sz w:val="22"/>
              </w:rPr>
              <w:t>,625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063CB" w14:textId="7927322F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30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476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159BC" w14:textId="0B2F8D3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 xml:space="preserve">- 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3</w:t>
            </w:r>
            <w:r w:rsidR="00F94DF0" w:rsidRPr="00BF5B0E">
              <w:rPr>
                <w:rFonts w:ascii="標楷體" w:eastAsia="標楷體" w:hAnsi="標楷體" w:cs="Times New Roman"/>
                <w:spacing w:val="-6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148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C45DB" w14:textId="3BA52FA1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 xml:space="preserve">- </w:t>
            </w:r>
            <w:r w:rsidR="00EE0E1A">
              <w:rPr>
                <w:rFonts w:ascii="標楷體" w:eastAsia="標楷體" w:hAnsi="標楷體" w:cs="Times New Roman"/>
                <w:sz w:val="22"/>
              </w:rPr>
              <w:t>9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 w:rsidR="00EE0E1A">
              <w:rPr>
                <w:rFonts w:ascii="標楷體" w:eastAsia="標楷體" w:hAnsi="標楷體" w:cs="Times New Roman"/>
                <w:sz w:val="22"/>
              </w:rPr>
              <w:t>36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0C41E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</w:tr>
      <w:tr w:rsidR="00BF5B0E" w:rsidRPr="00BF5B0E" w14:paraId="1EE3D233" w14:textId="77777777" w:rsidTr="00226ABD">
        <w:trPr>
          <w:cantSplit/>
          <w:trHeight w:val="680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EE61B3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推動國際金融</w:t>
            </w:r>
          </w:p>
          <w:p w14:paraId="5B26DE7A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交流計畫</w:t>
            </w:r>
          </w:p>
          <w:p w14:paraId="7D31CEF9" w14:textId="77777777" w:rsidR="009E5028" w:rsidRPr="00BF5B0E" w:rsidRDefault="009E5028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E32CB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F9E31" w14:textId="79D221A4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1</w:t>
            </w:r>
            <w:r w:rsidR="00EE0E1A">
              <w:rPr>
                <w:rFonts w:ascii="標楷體" w:eastAsia="標楷體" w:hAnsi="標楷體" w:cs="Times New Roman"/>
                <w:sz w:val="22"/>
              </w:rPr>
              <w:t>1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8</w:t>
            </w:r>
            <w:r w:rsidR="00EE0E1A">
              <w:rPr>
                <w:rFonts w:ascii="標楷體" w:eastAsia="標楷體" w:hAnsi="標楷體" w:cs="Times New Roman"/>
                <w:sz w:val="22"/>
              </w:rPr>
              <w:t>44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48ECC" w14:textId="0D149D6D" w:rsidR="00112195" w:rsidRPr="00BF5B0E" w:rsidRDefault="00F94DF0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/>
                <w:sz w:val="22"/>
              </w:rPr>
              <w:t>1</w:t>
            </w:r>
            <w:r w:rsidR="00EE0E1A">
              <w:rPr>
                <w:rFonts w:ascii="標楷體" w:eastAsia="標楷體" w:hAnsi="標楷體" w:cs="Times New Roman"/>
                <w:sz w:val="22"/>
              </w:rPr>
              <w:t>3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z w:val="22"/>
              </w:rPr>
              <w:t>2</w:t>
            </w:r>
            <w:r w:rsidRPr="00BF5B0E">
              <w:rPr>
                <w:rFonts w:ascii="標楷體" w:eastAsia="標楷體" w:hAnsi="標楷體" w:cs="Times New Roman"/>
                <w:sz w:val="22"/>
              </w:rPr>
              <w:t>3</w:t>
            </w:r>
            <w:r w:rsidR="00EE0E1A">
              <w:rPr>
                <w:rFonts w:ascii="標楷體" w:eastAsia="標楷體" w:hAnsi="標楷體" w:cs="Times New Roman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70F83" w14:textId="14AE06B0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198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pacing w:val="-6"/>
                <w:sz w:val="22"/>
              </w:rPr>
              <w:t>1,391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AE18A" w14:textId="41959F55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11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.</w:t>
            </w:r>
            <w:r>
              <w:rPr>
                <w:rFonts w:ascii="標楷體" w:eastAsia="標楷體" w:hAnsi="標楷體" w:cs="Times New Roman"/>
                <w:sz w:val="22"/>
              </w:rPr>
              <w:t>75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B59E0" w14:textId="358A8E1A" w:rsidR="00112195" w:rsidRPr="00BF5B0E" w:rsidRDefault="00B415DC" w:rsidP="00B415DC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jc w:val="both"/>
              <w:rPr>
                <w:rFonts w:ascii="標楷體" w:eastAsia="標楷體" w:hAnsi="標楷體" w:cs="Times New Roman"/>
                <w:spacing w:val="-4"/>
                <w:sz w:val="22"/>
                <w:highlight w:val="yellow"/>
              </w:rPr>
            </w:pPr>
            <w:r w:rsidRPr="00B415DC">
              <w:rPr>
                <w:rFonts w:ascii="標楷體" w:eastAsia="標楷體" w:hAnsi="標楷體" w:cs="Times New Roman" w:hint="eastAsia"/>
                <w:spacing w:val="-4"/>
                <w:sz w:val="22"/>
              </w:rPr>
              <w:t>新增印</w:t>
            </w:r>
            <w:proofErr w:type="gramStart"/>
            <w:r w:rsidRPr="00B415DC">
              <w:rPr>
                <w:rFonts w:ascii="標楷體" w:eastAsia="標楷體" w:hAnsi="標楷體" w:cs="Times New Roman" w:hint="eastAsia"/>
                <w:spacing w:val="-4"/>
                <w:sz w:val="22"/>
              </w:rPr>
              <w:t>太</w:t>
            </w:r>
            <w:proofErr w:type="gramEnd"/>
            <w:r w:rsidRPr="00B415DC">
              <w:rPr>
                <w:rFonts w:ascii="標楷體" w:eastAsia="標楷體" w:hAnsi="標楷體" w:cs="Times New Roman" w:hint="eastAsia"/>
                <w:spacing w:val="-4"/>
                <w:sz w:val="22"/>
              </w:rPr>
              <w:t>地區金融犯罪訓練費用</w:t>
            </w:r>
            <w:r>
              <w:rPr>
                <w:rFonts w:ascii="標楷體" w:eastAsia="標楷體" w:hAnsi="標楷體" w:cs="Times New Roman" w:hint="eastAsia"/>
                <w:spacing w:val="-4"/>
                <w:sz w:val="22"/>
              </w:rPr>
              <w:t>所</w:t>
            </w:r>
            <w:r w:rsidRPr="00B415DC">
              <w:rPr>
                <w:rFonts w:ascii="標楷體" w:eastAsia="標楷體" w:hAnsi="標楷體" w:cs="Times New Roman" w:hint="eastAsia"/>
                <w:spacing w:val="-4"/>
                <w:sz w:val="22"/>
              </w:rPr>
              <w:t>致。</w:t>
            </w:r>
          </w:p>
        </w:tc>
      </w:tr>
      <w:tr w:rsidR="00BF5B0E" w:rsidRPr="00BF5B0E" w14:paraId="500DB133" w14:textId="77777777" w:rsidTr="00226ABD">
        <w:trPr>
          <w:cantSplit/>
          <w:trHeight w:val="964"/>
          <w:jc w:val="center"/>
        </w:trPr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503B09E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支應金融業</w:t>
            </w:r>
          </w:p>
          <w:p w14:paraId="199B58D2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退場處理計畫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7AB2556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BC44528" w14:textId="553C9821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29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2</w:t>
            </w:r>
            <w:r w:rsidR="00EE0E1A">
              <w:rPr>
                <w:rFonts w:ascii="標楷體" w:eastAsia="標楷體" w:hAnsi="標楷體" w:cs="Times New Roman"/>
                <w:sz w:val="22"/>
              </w:rPr>
              <w:t>8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z w:val="22"/>
              </w:rPr>
              <w:t>882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z w:val="22"/>
              </w:rPr>
              <w:t>99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39E058B" w14:textId="2CE0DFBE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46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9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2</w:t>
            </w:r>
            <w:r>
              <w:rPr>
                <w:rFonts w:ascii="標楷體" w:eastAsia="標楷體" w:hAnsi="標楷體" w:cs="Times New Roman"/>
                <w:sz w:val="22"/>
              </w:rPr>
              <w:t>9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0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8</w:t>
            </w:r>
            <w:r>
              <w:rPr>
                <w:rFonts w:ascii="標楷體" w:eastAsia="標楷體" w:hAnsi="標楷體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04782A2" w14:textId="4D5739D9" w:rsidR="00112195" w:rsidRPr="00BF5B0E" w:rsidRDefault="00F94DF0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95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/>
                <w:spacing w:val="-6"/>
                <w:sz w:val="22"/>
              </w:rPr>
              <w:t>1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8</w:t>
            </w:r>
            <w:r w:rsidR="00112195"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046</w:t>
            </w:r>
            <w:r w:rsidR="00112195"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>,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0</w:t>
            </w:r>
            <w:r w:rsidRPr="00BF5B0E">
              <w:rPr>
                <w:rFonts w:ascii="標楷體" w:eastAsia="標楷體" w:hAnsi="標楷體" w:cs="Times New Roman"/>
                <w:spacing w:val="-6"/>
                <w:sz w:val="22"/>
              </w:rPr>
              <w:t>9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26B5239" w14:textId="6AB74FD2" w:rsidR="00112195" w:rsidRPr="00BF5B0E" w:rsidRDefault="00EE0E1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15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6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2.</w:t>
            </w:r>
            <w:r>
              <w:rPr>
                <w:rFonts w:ascii="標楷體" w:eastAsia="標楷體" w:hAnsi="標楷體" w:cs="Times New Roman"/>
                <w:sz w:val="22"/>
              </w:rPr>
              <w:t>4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8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A3E3896" w14:textId="77777777" w:rsidR="00112195" w:rsidRPr="00BF5B0E" w:rsidRDefault="00112195" w:rsidP="00F03CAA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金融業營業收入較預計增加，營業稅分配</w:t>
            </w:r>
            <w:proofErr w:type="gramStart"/>
            <w:r w:rsidRPr="00BF5B0E">
              <w:rPr>
                <w:rFonts w:ascii="標楷體" w:eastAsia="標楷體" w:hAnsi="標楷體" w:cs="Times New Roman" w:hint="eastAsia"/>
                <w:sz w:val="22"/>
              </w:rPr>
              <w:t>收入隨增</w:t>
            </w:r>
            <w:proofErr w:type="gramEnd"/>
            <w:r w:rsidRPr="00BF5B0E">
              <w:rPr>
                <w:rFonts w:ascii="標楷體" w:eastAsia="標楷體" w:hAnsi="標楷體" w:cs="Times New Roman" w:hint="eastAsia"/>
                <w:sz w:val="22"/>
              </w:rPr>
              <w:t>，相對提存之金融業特別準備增加所致。</w:t>
            </w:r>
          </w:p>
        </w:tc>
      </w:tr>
    </w:tbl>
    <w:p w14:paraId="3853E225" w14:textId="77777777" w:rsidR="003F695B" w:rsidRPr="0096551F" w:rsidRDefault="00833848" w:rsidP="00BF5B0E">
      <w:pPr>
        <w:overflowPunct w:val="0"/>
        <w:autoSpaceDE w:val="0"/>
        <w:autoSpaceDN w:val="0"/>
        <w:adjustRightInd w:val="0"/>
        <w:spacing w:line="240" w:lineRule="exact"/>
        <w:ind w:leftChars="17" w:left="41"/>
        <w:jc w:val="both"/>
        <w:rPr>
          <w:rFonts w:ascii="標楷體" w:eastAsia="標楷體" w:hAnsi="標楷體" w:cs="DFKaiShu-SB-Estd-BF"/>
          <w:kern w:val="0"/>
          <w:sz w:val="28"/>
          <w:szCs w:val="28"/>
        </w:rPr>
      </w:pPr>
      <w:proofErr w:type="gramStart"/>
      <w:r w:rsidRPr="0096551F">
        <w:rPr>
          <w:rFonts w:ascii="標楷體" w:eastAsia="標楷體" w:hAnsi="標楷體" w:hint="eastAsia"/>
          <w:sz w:val="20"/>
          <w:szCs w:val="24"/>
        </w:rPr>
        <w:t>註</w:t>
      </w:r>
      <w:proofErr w:type="gramEnd"/>
      <w:r w:rsidRPr="0096551F">
        <w:rPr>
          <w:rFonts w:ascii="標楷體" w:eastAsia="標楷體" w:hAnsi="標楷體" w:hint="eastAsia"/>
          <w:sz w:val="20"/>
          <w:szCs w:val="24"/>
        </w:rPr>
        <w:t>：本表係就業務計畫實際數與預計數差異達10％或達3</w:t>
      </w:r>
      <w:proofErr w:type="gramStart"/>
      <w:r w:rsidRPr="0096551F">
        <w:rPr>
          <w:rFonts w:ascii="標楷體" w:eastAsia="標楷體" w:hAnsi="標楷體" w:hint="eastAsia"/>
          <w:sz w:val="20"/>
          <w:szCs w:val="24"/>
        </w:rPr>
        <w:t>千萬</w:t>
      </w:r>
      <w:proofErr w:type="gramEnd"/>
      <w:r w:rsidRPr="0096551F">
        <w:rPr>
          <w:rFonts w:ascii="標楷體" w:eastAsia="標楷體" w:hAnsi="標楷體" w:hint="eastAsia"/>
          <w:sz w:val="20"/>
          <w:szCs w:val="24"/>
        </w:rPr>
        <w:t>以上者，說明差異原因。</w:t>
      </w:r>
    </w:p>
    <w:p w14:paraId="05177F82" w14:textId="77777777" w:rsidR="00667CD0" w:rsidRPr="00BF5B0E" w:rsidRDefault="00667CD0" w:rsidP="00635B9D">
      <w:pPr>
        <w:autoSpaceDE w:val="0"/>
        <w:autoSpaceDN w:val="0"/>
        <w:adjustRightInd w:val="0"/>
        <w:snapToGrid w:val="0"/>
        <w:spacing w:line="54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2.</w:t>
      </w:r>
      <w:r w:rsidR="008A5A6A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預算執行情形之審核</w:t>
      </w:r>
    </w:p>
    <w:p w14:paraId="71835E70" w14:textId="294E249D" w:rsidR="00667CD0" w:rsidRPr="00BF5B0E" w:rsidRDefault="00833848" w:rsidP="00635B9D">
      <w:pPr>
        <w:overflowPunct w:val="0"/>
        <w:adjustRightInd w:val="0"/>
        <w:snapToGrid w:val="0"/>
        <w:spacing w:line="54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proofErr w:type="gramStart"/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EE0E1A">
        <w:rPr>
          <w:rFonts w:ascii="標楷體" w:eastAsia="標楷體" w:hAnsi="標楷體" w:cs="微軟正黑體"/>
          <w:kern w:val="0"/>
          <w:szCs w:val="32"/>
        </w:rPr>
        <w:t>3</w:t>
      </w:r>
      <w:proofErr w:type="gramEnd"/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年度決算審核結果，審定本期賸餘</w:t>
      </w:r>
      <w:r w:rsidRPr="00BF5B0E">
        <w:rPr>
          <w:rFonts w:ascii="標楷體" w:eastAsia="標楷體" w:hAnsi="標楷體" w:cs="微軟正黑體"/>
          <w:kern w:val="0"/>
          <w:szCs w:val="32"/>
        </w:rPr>
        <w:t>1</w:t>
      </w:r>
      <w:r w:rsidR="00141FC1">
        <w:rPr>
          <w:rFonts w:ascii="標楷體" w:eastAsia="標楷體" w:hAnsi="標楷體" w:cs="微軟正黑體"/>
          <w:kern w:val="0"/>
          <w:szCs w:val="32"/>
        </w:rPr>
        <w:t>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7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141FC1">
        <w:rPr>
          <w:rFonts w:ascii="標楷體" w:eastAsia="標楷體" w:hAnsi="標楷體" w:cs="微軟正黑體"/>
          <w:kern w:val="0"/>
          <w:szCs w:val="32"/>
        </w:rPr>
        <w:t>848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萬餘元，較預算賸餘</w:t>
      </w:r>
      <w:r w:rsidRPr="00BF5B0E">
        <w:rPr>
          <w:rFonts w:ascii="標楷體" w:eastAsia="標楷體" w:hAnsi="標楷體" w:cs="微軟正黑體"/>
          <w:kern w:val="0"/>
          <w:szCs w:val="32"/>
        </w:rPr>
        <w:t>1</w:t>
      </w:r>
      <w:r w:rsidR="00141FC1">
        <w:rPr>
          <w:rFonts w:ascii="標楷體" w:eastAsia="標楷體" w:hAnsi="標楷體" w:cs="微軟正黑體"/>
          <w:kern w:val="0"/>
          <w:szCs w:val="32"/>
        </w:rPr>
        <w:t>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5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141FC1">
        <w:rPr>
          <w:rFonts w:ascii="標楷體" w:eastAsia="標楷體" w:hAnsi="標楷體" w:cs="微軟正黑體"/>
          <w:kern w:val="0"/>
          <w:szCs w:val="32"/>
        </w:rPr>
        <w:t>808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增加2</w:t>
      </w:r>
      <w:r w:rsidR="00CC6E4D"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141FC1">
        <w:rPr>
          <w:rFonts w:ascii="標楷體" w:eastAsia="標楷體" w:hAnsi="標楷體" w:cs="微軟正黑體"/>
          <w:kern w:val="0"/>
          <w:szCs w:val="32"/>
        </w:rPr>
        <w:t>03</w:t>
      </w:r>
      <w:r w:rsidR="00CC6E4D" w:rsidRPr="00BF5B0E">
        <w:rPr>
          <w:rFonts w:ascii="標楷體" w:eastAsia="標楷體" w:hAnsi="標楷體" w:cs="微軟正黑體"/>
          <w:kern w:val="0"/>
          <w:szCs w:val="32"/>
        </w:rPr>
        <w:t>9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萬餘元，約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1</w:t>
      </w:r>
      <w:r w:rsidRPr="00BF5B0E">
        <w:rPr>
          <w:rFonts w:ascii="標楷體" w:eastAsia="標楷體" w:hAnsi="標楷體" w:cs="微軟正黑體"/>
          <w:kern w:val="0"/>
          <w:szCs w:val="32"/>
        </w:rPr>
        <w:t>.</w:t>
      </w:r>
      <w:r w:rsidR="00141FC1">
        <w:rPr>
          <w:rFonts w:ascii="標楷體" w:eastAsia="標楷體" w:hAnsi="標楷體" w:cs="微軟正黑體"/>
          <w:kern w:val="0"/>
          <w:szCs w:val="32"/>
        </w:rPr>
        <w:t>76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％，</w:t>
      </w:r>
      <w:r w:rsidR="00FC75A6" w:rsidRPr="00BF5B0E">
        <w:rPr>
          <w:rFonts w:ascii="標楷體" w:eastAsia="標楷體" w:hAnsi="標楷體" w:cs="微軟正黑體" w:hint="eastAsia"/>
          <w:kern w:val="0"/>
          <w:szCs w:val="32"/>
        </w:rPr>
        <w:t>主要係</w:t>
      </w:r>
      <w:r w:rsidR="00243B86" w:rsidRPr="00243B86">
        <w:rPr>
          <w:rFonts w:ascii="標楷體" w:eastAsia="標楷體" w:hAnsi="標楷體" w:cs="微軟正黑體" w:hint="eastAsia"/>
          <w:kern w:val="0"/>
          <w:szCs w:val="32"/>
        </w:rPr>
        <w:t>金融業特別準備金運用收益較預期增加所致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。</w:t>
      </w:r>
    </w:p>
    <w:p w14:paraId="57CAE213" w14:textId="77777777" w:rsidR="00667CD0" w:rsidRPr="00BF5B0E" w:rsidRDefault="00667CD0" w:rsidP="00635B9D">
      <w:pPr>
        <w:autoSpaceDE w:val="0"/>
        <w:autoSpaceDN w:val="0"/>
        <w:adjustRightInd w:val="0"/>
        <w:snapToGrid w:val="0"/>
        <w:spacing w:line="54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3.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餘</w:t>
      </w:r>
      <w:proofErr w:type="gramStart"/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絀</w:t>
      </w:r>
      <w:proofErr w:type="gramEnd"/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之審定</w:t>
      </w:r>
    </w:p>
    <w:p w14:paraId="1D4FE89E" w14:textId="3E8EB749" w:rsidR="00667CD0" w:rsidRPr="00BF5B0E" w:rsidRDefault="00FC75A6" w:rsidP="00635B9D">
      <w:pPr>
        <w:overflowPunct w:val="0"/>
        <w:adjustRightInd w:val="0"/>
        <w:snapToGrid w:val="0"/>
        <w:spacing w:line="54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proofErr w:type="gramStart"/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243B86">
        <w:rPr>
          <w:rFonts w:ascii="標楷體" w:eastAsia="標楷體" w:hAnsi="標楷體" w:cs="微軟正黑體"/>
          <w:kern w:val="0"/>
          <w:szCs w:val="32"/>
        </w:rPr>
        <w:t>3</w:t>
      </w:r>
      <w:proofErr w:type="gramEnd"/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年度決算經行政院核定賸餘</w:t>
      </w:r>
      <w:r w:rsidRPr="00BF5B0E">
        <w:rPr>
          <w:rFonts w:ascii="標楷體" w:eastAsia="標楷體" w:hAnsi="標楷體" w:cs="微軟正黑體"/>
          <w:kern w:val="0"/>
          <w:szCs w:val="32"/>
        </w:rPr>
        <w:t>1,</w:t>
      </w:r>
      <w:r w:rsidR="00CC6E4D" w:rsidRPr="00BF5B0E">
        <w:rPr>
          <w:rFonts w:ascii="標楷體" w:eastAsia="標楷體" w:hAnsi="標楷體" w:cs="微軟正黑體"/>
          <w:kern w:val="0"/>
          <w:szCs w:val="32"/>
        </w:rPr>
        <w:t>1</w:t>
      </w:r>
      <w:r w:rsidR="00243B86">
        <w:rPr>
          <w:rFonts w:ascii="標楷體" w:eastAsia="標楷體" w:hAnsi="標楷體" w:cs="微軟正黑體"/>
          <w:kern w:val="0"/>
          <w:szCs w:val="32"/>
        </w:rPr>
        <w:t>78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243B86">
        <w:rPr>
          <w:rFonts w:ascii="標楷體" w:eastAsia="標楷體" w:hAnsi="標楷體" w:cs="微軟正黑體"/>
          <w:kern w:val="0"/>
          <w:szCs w:val="32"/>
        </w:rPr>
        <w:t>480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243B86">
        <w:rPr>
          <w:rFonts w:ascii="標楷體" w:eastAsia="標楷體" w:hAnsi="標楷體" w:cs="微軟正黑體"/>
          <w:kern w:val="0"/>
          <w:szCs w:val="32"/>
        </w:rPr>
        <w:t>95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6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元，經核尚無不合，予以照數審定。</w:t>
      </w:r>
    </w:p>
    <w:p w14:paraId="1D9BB697" w14:textId="77777777" w:rsidR="00667CD0" w:rsidRPr="00BF5B0E" w:rsidRDefault="00667CD0" w:rsidP="00635B9D">
      <w:pPr>
        <w:autoSpaceDE w:val="0"/>
        <w:autoSpaceDN w:val="0"/>
        <w:adjustRightInd w:val="0"/>
        <w:snapToGrid w:val="0"/>
        <w:spacing w:line="54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4.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現金流量之查核</w:t>
      </w:r>
    </w:p>
    <w:p w14:paraId="79B87361" w14:textId="079A1935" w:rsidR="00667CD0" w:rsidRPr="00BF5B0E" w:rsidRDefault="00FC75A6" w:rsidP="00635B9D">
      <w:pPr>
        <w:overflowPunct w:val="0"/>
        <w:adjustRightInd w:val="0"/>
        <w:snapToGrid w:val="0"/>
        <w:spacing w:line="54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proofErr w:type="gramStart"/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243B86">
        <w:rPr>
          <w:rFonts w:ascii="標楷體" w:eastAsia="標楷體" w:hAnsi="標楷體" w:cs="微軟正黑體"/>
          <w:kern w:val="0"/>
          <w:szCs w:val="32"/>
        </w:rPr>
        <w:t>3</w:t>
      </w:r>
      <w:proofErr w:type="gramEnd"/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年度期初現金及約當現金</w:t>
      </w:r>
      <w:r w:rsidR="006464BB">
        <w:rPr>
          <w:rFonts w:ascii="標楷體" w:eastAsia="標楷體" w:hAnsi="標楷體" w:cs="微軟正黑體" w:hint="eastAsia"/>
          <w:kern w:val="0"/>
          <w:szCs w:val="32"/>
        </w:rPr>
        <w:t>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7</w:t>
      </w:r>
      <w:r w:rsidR="006464BB">
        <w:rPr>
          <w:rFonts w:ascii="標楷體" w:eastAsia="標楷體" w:hAnsi="標楷體" w:cs="微軟正黑體"/>
          <w:kern w:val="0"/>
          <w:szCs w:val="32"/>
        </w:rPr>
        <w:t>01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萬餘元，經業務、投資及籌資活動結果，現金及約當現金淨</w:t>
      </w:r>
      <w:r w:rsidR="006464BB">
        <w:rPr>
          <w:rFonts w:ascii="標楷體" w:eastAsia="標楷體" w:hAnsi="標楷體" w:cs="微軟正黑體" w:hint="eastAsia"/>
          <w:kern w:val="0"/>
          <w:szCs w:val="32"/>
        </w:rPr>
        <w:t>增6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6464BB">
        <w:rPr>
          <w:rFonts w:ascii="標楷體" w:eastAsia="標楷體" w:hAnsi="標楷體" w:cs="微軟正黑體"/>
          <w:kern w:val="0"/>
          <w:szCs w:val="32"/>
        </w:rPr>
        <w:t>980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萬餘元，期末現金及約當現金為</w:t>
      </w:r>
      <w:r w:rsidR="00333E13" w:rsidRPr="00BF5B0E">
        <w:rPr>
          <w:rFonts w:ascii="標楷體" w:eastAsia="標楷體" w:hAnsi="標楷體" w:cs="微軟正黑體" w:hint="eastAsia"/>
          <w:kern w:val="0"/>
          <w:szCs w:val="32"/>
        </w:rPr>
        <w:t>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7</w:t>
      </w:r>
      <w:r w:rsidR="006464BB">
        <w:rPr>
          <w:rFonts w:ascii="標楷體" w:eastAsia="標楷體" w:hAnsi="標楷體" w:cs="微軟正黑體"/>
          <w:kern w:val="0"/>
          <w:szCs w:val="32"/>
        </w:rPr>
        <w:t>,681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萬餘元。</w:t>
      </w:r>
    </w:p>
    <w:p w14:paraId="342F36BE" w14:textId="77777777" w:rsidR="000D7D72" w:rsidRPr="00BF5B0E" w:rsidRDefault="000D7D72" w:rsidP="00FC37C3">
      <w:pPr>
        <w:overflowPunct w:val="0"/>
        <w:adjustRightInd w:val="0"/>
        <w:snapToGrid w:val="0"/>
        <w:spacing w:line="560" w:lineRule="exact"/>
        <w:ind w:leftChars="-5" w:left="-12" w:firstLineChars="450" w:firstLine="1261"/>
        <w:jc w:val="both"/>
        <w:rPr>
          <w:rFonts w:ascii="標楷體" w:eastAsia="標楷體" w:hAnsi="標楷體" w:cs="標楷體"/>
          <w:b/>
          <w:sz w:val="32"/>
          <w:szCs w:val="32"/>
        </w:rPr>
      </w:pPr>
      <w:r w:rsidRPr="00BF5B0E"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5</w:t>
      </w:r>
      <w:r w:rsidRPr="00BF5B0E">
        <w:rPr>
          <w:rFonts w:ascii="標楷體" w:eastAsia="標楷體" w:hAnsi="標楷體" w:cs="標楷體"/>
          <w:b/>
          <w:sz w:val="28"/>
          <w:szCs w:val="28"/>
        </w:rPr>
        <w:t>.　重要審核意見</w:t>
      </w:r>
    </w:p>
    <w:p w14:paraId="1253DD16" w14:textId="376F6068" w:rsidR="000D7D72" w:rsidRPr="00AB236E" w:rsidRDefault="007F29ED" w:rsidP="009E74BA">
      <w:pPr>
        <w:widowControl/>
        <w:overflowPunct w:val="0"/>
        <w:adjustRightInd w:val="0"/>
        <w:snapToGrid w:val="0"/>
        <w:spacing w:line="610" w:lineRule="exact"/>
        <w:ind w:firstLineChars="200" w:firstLine="553"/>
        <w:jc w:val="both"/>
        <w:rPr>
          <w:rFonts w:ascii="標楷體" w:eastAsia="標楷體" w:hAnsi="標楷體" w:cs="標楷體"/>
          <w:b/>
          <w:spacing w:val="-2"/>
          <w:sz w:val="28"/>
          <w:szCs w:val="28"/>
        </w:rPr>
      </w:pPr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政府設置金融監督管理基金推動金融制度發展等業務，惟基金主要來源金融</w:t>
      </w:r>
      <w:r w:rsidR="00033FEA"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業</w:t>
      </w:r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營業稅分配收入，自114年起不</w:t>
      </w:r>
      <w:r w:rsidR="00033FEA"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再</w:t>
      </w:r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撥入，且該基金逾</w:t>
      </w:r>
      <w:proofErr w:type="gramStart"/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7成賸餘均繳庫</w:t>
      </w:r>
      <w:proofErr w:type="gramEnd"/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，恐</w:t>
      </w:r>
      <w:r w:rsidR="000D00AA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影響</w:t>
      </w:r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新型態金融業務之推動，允宜</w:t>
      </w:r>
      <w:proofErr w:type="gramStart"/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研</w:t>
      </w:r>
      <w:proofErr w:type="gramEnd"/>
      <w:r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謀因應，以利基金永續經營並健全金融機構穩定發展</w:t>
      </w:r>
      <w:r w:rsidR="009E0009" w:rsidRPr="00AB236E">
        <w:rPr>
          <w:rFonts w:ascii="標楷體" w:eastAsia="標楷體" w:hAnsi="標楷體" w:cs="標楷體" w:hint="eastAsia"/>
          <w:b/>
          <w:spacing w:val="-2"/>
          <w:sz w:val="28"/>
          <w:szCs w:val="28"/>
        </w:rPr>
        <w:t>。</w:t>
      </w:r>
    </w:p>
    <w:p w14:paraId="7F981271" w14:textId="59083CA1" w:rsidR="007F29ED" w:rsidRDefault="009E74BA" w:rsidP="00D43B22">
      <w:pPr>
        <w:autoSpaceDE w:val="0"/>
        <w:autoSpaceDN w:val="0"/>
        <w:adjustRightInd w:val="0"/>
        <w:snapToGrid w:val="0"/>
        <w:spacing w:line="610" w:lineRule="exact"/>
        <w:ind w:firstLineChars="200" w:firstLine="48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 w:hint="eastAsia"/>
          <w:noProof/>
          <w:szCs w:val="24"/>
          <w:lang w:val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EFD3A1" wp14:editId="17842A37">
                <wp:simplePos x="0" y="0"/>
                <wp:positionH relativeFrom="column">
                  <wp:posOffset>2989580</wp:posOffset>
                </wp:positionH>
                <wp:positionV relativeFrom="paragraph">
                  <wp:posOffset>4832985</wp:posOffset>
                </wp:positionV>
                <wp:extent cx="3695700" cy="2536190"/>
                <wp:effectExtent l="0" t="0" r="0" b="0"/>
                <wp:wrapSquare wrapText="bothSides"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2536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59F380" w14:textId="0A039F3B" w:rsidR="009E74BA" w:rsidRPr="009A53D6" w:rsidRDefault="009A53D6" w:rsidP="009A53D6">
                            <w:pPr>
                              <w:spacing w:afterLines="50" w:after="180" w:line="240" w:lineRule="exact"/>
                              <w:ind w:leftChars="-14" w:left="446" w:hangingChars="200" w:hanging="480"/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9A53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Cs w:val="24"/>
                              </w:rPr>
                              <w:t xml:space="preserve">圖1　</w:t>
                            </w:r>
                            <w:r w:rsidRPr="009A53D6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Cs w:val="24"/>
                              </w:rPr>
                              <w:t>金管基金金融業營業稅分配收入及占比情形</w:t>
                            </w:r>
                          </w:p>
                          <w:p w14:paraId="17DF6FDC" w14:textId="33E93683" w:rsidR="009E74BA" w:rsidRPr="00D71B93" w:rsidRDefault="009A53D6" w:rsidP="009E74BA">
                            <w:pPr>
                              <w:ind w:leftChars="-14" w:left="424" w:hangingChars="191" w:hanging="458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DD190F" wp14:editId="47F1753E">
                                  <wp:extent cx="3506470" cy="2044756"/>
                                  <wp:effectExtent l="0" t="0" r="0" b="0"/>
                                  <wp:docPr id="13" name="圖表 13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E07D2DDF-F239-4078-BB1C-278E4C397437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D31626" w14:textId="33D9D21E" w:rsidR="009E74BA" w:rsidRPr="009A53D6" w:rsidRDefault="009A53D6" w:rsidP="00073E15">
                            <w:pPr>
                              <w:spacing w:line="240" w:lineRule="exact"/>
                              <w:ind w:leftChars="136" w:left="326" w:firstLineChars="75" w:firstLine="135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8F35F6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資料來源：整理自金管基金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至1</w:t>
                            </w: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  <w:t>13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年度</w:t>
                            </w:r>
                            <w:r w:rsidRPr="008F35F6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決算書。</w:t>
                            </w:r>
                          </w:p>
                          <w:p w14:paraId="4A0597BB" w14:textId="77777777" w:rsidR="009E74BA" w:rsidRDefault="009E74BA" w:rsidP="009E74BA">
                            <w:pPr>
                              <w:ind w:leftChars="-14" w:left="310" w:hangingChars="191" w:hanging="344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 w14:paraId="539AB860" w14:textId="77777777" w:rsidR="009E74BA" w:rsidRDefault="009E74BA" w:rsidP="009E74BA">
                            <w:pPr>
                              <w:ind w:leftChars="-14" w:left="310" w:hangingChars="191" w:hanging="344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 w14:paraId="71A013BD" w14:textId="77777777" w:rsidR="009E74BA" w:rsidRDefault="009E74BA" w:rsidP="009E74BA">
                            <w:pPr>
                              <w:ind w:leftChars="-14" w:left="310" w:hangingChars="191" w:hanging="344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 w14:paraId="252223D6" w14:textId="77777777" w:rsidR="009E74BA" w:rsidRDefault="009E74BA" w:rsidP="009E74BA">
                            <w:pPr>
                              <w:ind w:leftChars="-14" w:left="310" w:hangingChars="191" w:hanging="344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 w14:paraId="29C58B0E" w14:textId="77777777" w:rsidR="009E74BA" w:rsidRDefault="009E74BA" w:rsidP="009E74BA">
                            <w:pPr>
                              <w:ind w:leftChars="-14" w:left="310" w:hangingChars="191" w:hanging="344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FD3A1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235.4pt;margin-top:380.55pt;width:291pt;height:199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r9QgIAAE4EAAAOAAAAZHJzL2Uyb0RvYy54bWysVEtu2zAQ3RfoHQjua8nf1oLlwE3gokCQ&#10;BHCKrGmKsgRQHJakLbkXKNADpOseoAfogZJzdEhJTpB2VXRDDWeG83lvRouzppLkIIwtQaV0OIgp&#10;EYpDVqpdSj/drt+8o8Q6pjImQYmUHoWlZ8vXrxa1TsQICpCZMASDKJvUOqWFczqJIssLUTE7AC0U&#10;GnMwFXN4NbsoM6zG6JWMRnE8i2owmTbAhbWovWiNdBni57ng7jrPrXBEphRrc+E04dz6M1ouWLIz&#10;TBcl78pg/1BFxUqFSU+hLphjZG/KP0JVJTdgIXcDDlUEeV5yEXrAbobxi242BdMi9ILgWH2Cyf6/&#10;sPzqcGNImaV0QoliFVL0eP/14ef3x/tfDz++kYlHqNY2QceNRlfXvIcGme71FpW+8SY3lf9iSwTt&#10;iPXxhK9oHOGoHM/m07cxmjjaRtPxbDgPDERPz7Wx7oOAinghpQYJDLiyw6V1WAq69i4+m4J1KWUg&#10;USpSp3Q2nsbhwcmCL6TCh76JtlgvuWbbdJ1tITtiYwba4bCar0tMfsmsu2EGpwELxgl313jkEjAJ&#10;dBIlBZgvf9N7fyQJrZTUOF0ptZ/3zAhK5EeF9M2Hk4kfx3BBwTzXbnut2lfngIM7xB3SPIje18le&#10;zA1Ud7gAK58NTUxxzJlS14vnrp11XCAuVqvghIOnmbtUG819aA+jh/S2uWNGd7g7pOwK+vljyQv4&#10;W9+WgNXeQV4GbjywLZod3ji0gbJuwfxWPL8Hr6ffwPI3AAAA//8DAFBLAwQUAAYACAAAACEACiod&#10;bOAAAAANAQAADwAAAGRycy9kb3ducmV2LnhtbEyPTU/DMAyG70j8h8hI3FjSibVQmk4ItAsSEh27&#10;cMsa01Y0TtVkbfn3eCd288erx4+L7eJ6MeEYOk8akpUCgVR721Gj4fC5u3sAEaIha3pPqOEXA2zL&#10;66vC5NbPVOG0j41gCIXcaGhjHHIpQ92iM2HlByTeffvRmcjt2Eg7mpnhrpdrpVLpTEd8oTUDvrRY&#10;/+xPjimPr29LfM8+fOir3Ty5r0NWDVrf3izPTyAiLvE/DGd9VoeSnY7+RDaIXsN9plg9asjSJAFx&#10;TqjNmkdHrpJUbUCWhbz8ovwDAAD//wMAUEsBAi0AFAAGAAgAAAAhALaDOJL+AAAA4QEAABMAAAAA&#10;AAAAAAAAAAAAAAAAAFtDb250ZW50X1R5cGVzXS54bWxQSwECLQAUAAYACAAAACEAOP0h/9YAAACU&#10;AQAACwAAAAAAAAAAAAAAAAAvAQAAX3JlbHMvLnJlbHNQSwECLQAUAAYACAAAACEAht3a/UICAABO&#10;BAAADgAAAAAAAAAAAAAAAAAuAgAAZHJzL2Uyb0RvYy54bWxQSwECLQAUAAYACAAAACEACiodbOAA&#10;AAANAQAADwAAAAAAAAAAAAAAAACcBAAAZHJzL2Rvd25yZXYueG1sUEsFBgAAAAAEAAQA8wAAAKkF&#10;AAAAAA==&#10;" filled="f" stroked="f" strokeweight=".5pt">
                <v:textbox inset=",0,,0">
                  <w:txbxContent>
                    <w:p w14:paraId="6A59F380" w14:textId="0A039F3B" w:rsidR="009E74BA" w:rsidRPr="009A53D6" w:rsidRDefault="009A53D6" w:rsidP="009A53D6">
                      <w:pPr>
                        <w:spacing w:afterLines="50" w:after="180" w:line="240" w:lineRule="exact"/>
                        <w:ind w:leftChars="-14" w:left="446" w:hangingChars="200" w:hanging="480"/>
                        <w:jc w:val="center"/>
                        <w:rPr>
                          <w:b/>
                          <w:bCs/>
                          <w:szCs w:val="24"/>
                        </w:rPr>
                      </w:pPr>
                      <w:r w:rsidRPr="009A53D6">
                        <w:rPr>
                          <w:rFonts w:ascii="標楷體" w:eastAsia="標楷體" w:hAnsi="標楷體" w:cs="新細明體" w:hint="eastAsia"/>
                          <w:b/>
                          <w:bCs/>
                          <w:kern w:val="0"/>
                          <w:szCs w:val="24"/>
                        </w:rPr>
                        <w:t xml:space="preserve">圖1　</w:t>
                      </w:r>
                      <w:r w:rsidRPr="009A53D6">
                        <w:rPr>
                          <w:rFonts w:ascii="標楷體" w:eastAsia="標楷體" w:hAnsi="標楷體" w:cs="新細明體"/>
                          <w:b/>
                          <w:bCs/>
                          <w:kern w:val="0"/>
                          <w:szCs w:val="24"/>
                        </w:rPr>
                        <w:t>金管基金金融業營業稅分配收入及占比情形</w:t>
                      </w:r>
                    </w:p>
                    <w:p w14:paraId="17DF6FDC" w14:textId="33E93683" w:rsidR="009E74BA" w:rsidRPr="00D71B93" w:rsidRDefault="009A53D6" w:rsidP="009E74BA">
                      <w:pPr>
                        <w:ind w:leftChars="-14" w:left="424" w:hangingChars="191" w:hanging="458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4DD190F" wp14:editId="47F1753E">
                            <wp:extent cx="3506470" cy="2044756"/>
                            <wp:effectExtent l="0" t="0" r="0" b="0"/>
                            <wp:docPr id="13" name="圖表 13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E07D2DDF-F239-4078-BB1C-278E4C397437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9"/>
                              </a:graphicData>
                            </a:graphic>
                          </wp:inline>
                        </w:drawing>
                      </w:r>
                    </w:p>
                    <w:p w14:paraId="71D31626" w14:textId="33D9D21E" w:rsidR="009E74BA" w:rsidRPr="009A53D6" w:rsidRDefault="009A53D6" w:rsidP="00073E15">
                      <w:pPr>
                        <w:spacing w:line="240" w:lineRule="exact"/>
                        <w:ind w:leftChars="136" w:left="326" w:firstLineChars="75" w:firstLine="135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  <w:r w:rsidRPr="008F35F6">
                        <w:rPr>
                          <w:rFonts w:ascii="標楷體" w:eastAsia="標楷體" w:hAnsi="標楷體" w:cs="新細明體" w:hint="eastAsia"/>
                          <w:kern w:val="0"/>
                          <w:sz w:val="18"/>
                          <w:szCs w:val="18"/>
                        </w:rPr>
                        <w:t>資料來源：整理自金管基金</w:t>
                      </w:r>
                      <w:r>
                        <w:rPr>
                          <w:rFonts w:ascii="標楷體" w:eastAsia="標楷體" w:hAnsi="標楷體" w:cs="新細明體" w:hint="eastAsia"/>
                          <w:kern w:val="0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ascii="標楷體" w:eastAsia="標楷體" w:hAnsi="標楷體" w:cs="新細明體" w:hint="eastAsia"/>
                          <w:kern w:val="0"/>
                          <w:sz w:val="18"/>
                          <w:szCs w:val="18"/>
                        </w:rPr>
                        <w:t>至1</w:t>
                      </w:r>
                      <w:r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  <w:t>13</w:t>
                      </w:r>
                      <w:r>
                        <w:rPr>
                          <w:rFonts w:ascii="標楷體" w:eastAsia="標楷體" w:hAnsi="標楷體" w:cs="新細明體" w:hint="eastAsia"/>
                          <w:kern w:val="0"/>
                          <w:sz w:val="18"/>
                          <w:szCs w:val="18"/>
                        </w:rPr>
                        <w:t>年度</w:t>
                      </w:r>
                      <w:r w:rsidRPr="008F35F6">
                        <w:rPr>
                          <w:rFonts w:ascii="標楷體" w:eastAsia="標楷體" w:hAnsi="標楷體" w:cs="新細明體" w:hint="eastAsia"/>
                          <w:kern w:val="0"/>
                          <w:sz w:val="18"/>
                          <w:szCs w:val="18"/>
                        </w:rPr>
                        <w:t>決算書。</w:t>
                      </w:r>
                    </w:p>
                    <w:p w14:paraId="4A0597BB" w14:textId="77777777" w:rsidR="009E74BA" w:rsidRDefault="009E74BA" w:rsidP="009E74BA">
                      <w:pPr>
                        <w:ind w:leftChars="-14" w:left="310" w:hangingChars="191" w:hanging="344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</w:p>
                    <w:p w14:paraId="539AB860" w14:textId="77777777" w:rsidR="009E74BA" w:rsidRDefault="009E74BA" w:rsidP="009E74BA">
                      <w:pPr>
                        <w:ind w:leftChars="-14" w:left="310" w:hangingChars="191" w:hanging="344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</w:p>
                    <w:p w14:paraId="71A013BD" w14:textId="77777777" w:rsidR="009E74BA" w:rsidRDefault="009E74BA" w:rsidP="009E74BA">
                      <w:pPr>
                        <w:ind w:leftChars="-14" w:left="310" w:hangingChars="191" w:hanging="344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</w:p>
                    <w:p w14:paraId="252223D6" w14:textId="77777777" w:rsidR="009E74BA" w:rsidRDefault="009E74BA" w:rsidP="009E74BA">
                      <w:pPr>
                        <w:ind w:leftChars="-14" w:left="310" w:hangingChars="191" w:hanging="344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</w:p>
                    <w:p w14:paraId="29C58B0E" w14:textId="77777777" w:rsidR="009E74BA" w:rsidRDefault="009E74BA" w:rsidP="009E74BA">
                      <w:pPr>
                        <w:ind w:leftChars="-14" w:left="310" w:hangingChars="191" w:hanging="344"/>
                        <w:rPr>
                          <w:rFonts w:ascii="標楷體" w:eastAsia="標楷體" w:hAnsi="標楷體" w:cs="新細明體"/>
                          <w:kern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F29ED" w:rsidRPr="007F29ED">
        <w:rPr>
          <w:rFonts w:ascii="標楷體" w:eastAsia="標楷體" w:hAnsi="標楷體" w:cs="標楷體" w:hint="eastAsia"/>
          <w:szCs w:val="24"/>
        </w:rPr>
        <w:t>依金融監督管理基金收支保管及運用辦法第1條規定：「為健全金融機構業務經營，維持金融穩定，促進金融市場發展，…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…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設置金融監督管理基金…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…</w:t>
      </w:r>
      <w:proofErr w:type="gramEnd"/>
      <w:r w:rsidR="000D00AA">
        <w:rPr>
          <w:rFonts w:ascii="標楷體" w:eastAsia="標楷體" w:hAnsi="標楷體" w:cs="標楷體" w:hint="eastAsia"/>
          <w:szCs w:val="24"/>
        </w:rPr>
        <w:t>。</w:t>
      </w:r>
      <w:r w:rsidR="007F29ED" w:rsidRPr="007F29ED">
        <w:rPr>
          <w:rFonts w:ascii="標楷體" w:eastAsia="標楷體" w:hAnsi="標楷體" w:cs="標楷體" w:hint="eastAsia"/>
          <w:szCs w:val="24"/>
        </w:rPr>
        <w:t>」第3條及第4條規定，基金來源包括政府撥款、辦理金融監督、管理及檢查業務，向監督機構收取之特許費、年費、檢查費、審查費等；基金用途包括新種金融商品之研究及發展、金融資訊公開等支出。又依金融業特別準備金運用管理辦法第2條至第4條規定，金融業特別準備金以金</w:t>
      </w:r>
      <w:r w:rsidR="00375C20">
        <w:rPr>
          <w:rFonts w:ascii="標楷體" w:eastAsia="標楷體" w:hAnsi="標楷體" w:cs="標楷體" w:hint="eastAsia"/>
          <w:szCs w:val="24"/>
        </w:rPr>
        <w:t>融監督</w:t>
      </w:r>
      <w:r w:rsidR="007F29ED" w:rsidRPr="007F29ED">
        <w:rPr>
          <w:rFonts w:ascii="標楷體" w:eastAsia="標楷體" w:hAnsi="標楷體" w:cs="標楷體" w:hint="eastAsia"/>
          <w:szCs w:val="24"/>
        </w:rPr>
        <w:t>管</w:t>
      </w:r>
      <w:r w:rsidR="00375C20">
        <w:rPr>
          <w:rFonts w:ascii="標楷體" w:eastAsia="標楷體" w:hAnsi="標楷體" w:cs="標楷體" w:hint="eastAsia"/>
          <w:szCs w:val="24"/>
        </w:rPr>
        <w:t>理委員</w:t>
      </w:r>
      <w:r w:rsidR="007F29ED" w:rsidRPr="007F29ED">
        <w:rPr>
          <w:rFonts w:ascii="標楷體" w:eastAsia="標楷體" w:hAnsi="標楷體" w:cs="標楷體" w:hint="eastAsia"/>
          <w:szCs w:val="24"/>
        </w:rPr>
        <w:t>會</w:t>
      </w:r>
      <w:r w:rsidR="00D000C8">
        <w:rPr>
          <w:rFonts w:ascii="標楷體" w:eastAsia="標楷體" w:hAnsi="標楷體" w:cs="標楷體" w:hint="eastAsia"/>
          <w:szCs w:val="24"/>
        </w:rPr>
        <w:t>（</w:t>
      </w:r>
      <w:r w:rsidR="00375C20">
        <w:rPr>
          <w:rFonts w:ascii="標楷體" w:eastAsia="標楷體" w:hAnsi="標楷體" w:cs="標楷體" w:hint="eastAsia"/>
          <w:szCs w:val="24"/>
        </w:rPr>
        <w:t>下稱金管會</w:t>
      </w:r>
      <w:r w:rsidR="00D000C8">
        <w:rPr>
          <w:rFonts w:ascii="標楷體" w:eastAsia="標楷體" w:hAnsi="標楷體" w:cs="標楷體"/>
          <w:szCs w:val="24"/>
        </w:rPr>
        <w:t>）</w:t>
      </w:r>
      <w:r w:rsidR="007F29ED" w:rsidRPr="007F29ED">
        <w:rPr>
          <w:rFonts w:ascii="標楷體" w:eastAsia="標楷體" w:hAnsi="標楷體" w:cs="標楷體" w:hint="eastAsia"/>
          <w:szCs w:val="24"/>
        </w:rPr>
        <w:t>為管理機關，納入</w:t>
      </w:r>
      <w:r w:rsidR="003F55E8" w:rsidRPr="003F55E8">
        <w:rPr>
          <w:rFonts w:ascii="標楷體" w:eastAsia="標楷體" w:hAnsi="標楷體" w:cs="標楷體" w:hint="eastAsia"/>
          <w:szCs w:val="24"/>
        </w:rPr>
        <w:t>金融監督管理基金</w:t>
      </w:r>
      <w:r w:rsidR="00D000C8">
        <w:rPr>
          <w:rFonts w:ascii="標楷體" w:eastAsia="標楷體" w:hAnsi="標楷體" w:cs="標楷體" w:hint="eastAsia"/>
          <w:szCs w:val="24"/>
        </w:rPr>
        <w:t>（</w:t>
      </w:r>
      <w:r w:rsidR="003F55E8">
        <w:rPr>
          <w:rFonts w:ascii="標楷體" w:eastAsia="標楷體" w:hAnsi="標楷體" w:cs="標楷體" w:hint="eastAsia"/>
          <w:szCs w:val="24"/>
        </w:rPr>
        <w:t>下稱</w:t>
      </w:r>
      <w:r w:rsidR="007F29ED" w:rsidRPr="007F29ED">
        <w:rPr>
          <w:rFonts w:ascii="標楷體" w:eastAsia="標楷體" w:hAnsi="標楷體" w:cs="標楷體" w:hint="eastAsia"/>
          <w:szCs w:val="24"/>
        </w:rPr>
        <w:t>金管基金</w:t>
      </w:r>
      <w:r w:rsidR="00D000C8">
        <w:rPr>
          <w:rFonts w:ascii="標楷體" w:eastAsia="標楷體" w:hAnsi="標楷體" w:cs="標楷體" w:hint="eastAsia"/>
          <w:szCs w:val="24"/>
        </w:rPr>
        <w:t>）</w:t>
      </w:r>
      <w:r w:rsidR="007F29ED" w:rsidRPr="007F29ED">
        <w:rPr>
          <w:rFonts w:ascii="標楷體" w:eastAsia="標楷體" w:hAnsi="標楷體" w:cs="標楷體" w:hint="eastAsia"/>
          <w:szCs w:val="24"/>
        </w:rPr>
        <w:t>項下辦理之業務計畫，並設立專款專用帳戶，其財源包括金融業營業稅稅款及其孳息與運用收益，</w:t>
      </w:r>
      <w:r w:rsidR="00FF21BB" w:rsidRPr="00FF21BB">
        <w:rPr>
          <w:rFonts w:ascii="標楷體" w:eastAsia="標楷體" w:hAnsi="標楷體" w:cs="標楷體" w:hint="eastAsia"/>
          <w:szCs w:val="24"/>
        </w:rPr>
        <w:t>其用途係以支應金融業退場處理事項所需資金等。經分析金管基金111至113年度收入來源，</w:t>
      </w:r>
      <w:r w:rsidR="007F29ED" w:rsidRPr="007F29ED">
        <w:rPr>
          <w:rFonts w:ascii="標楷體" w:eastAsia="標楷體" w:hAnsi="標楷體" w:cs="標楷體" w:hint="eastAsia"/>
          <w:szCs w:val="24"/>
        </w:rPr>
        <w:t>其中金融業營業稅分配收入每年介於308億餘元至443億餘元間，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均逾整體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基金來源之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9成</w:t>
      </w:r>
      <w:proofErr w:type="gramEnd"/>
      <w:r w:rsidR="00D43B22">
        <w:rPr>
          <w:rFonts w:ascii="標楷體" w:eastAsia="標楷體" w:hAnsi="標楷體" w:cs="標楷體" w:hint="eastAsia"/>
          <w:szCs w:val="24"/>
        </w:rPr>
        <w:t>（</w:t>
      </w:r>
      <w:r w:rsidR="006622D8">
        <w:rPr>
          <w:rFonts w:ascii="標楷體" w:eastAsia="標楷體" w:hAnsi="標楷體" w:cs="標楷體" w:hint="eastAsia"/>
          <w:szCs w:val="24"/>
        </w:rPr>
        <w:t>圖</w:t>
      </w:r>
      <w:r w:rsidR="009A53D6">
        <w:rPr>
          <w:rFonts w:ascii="標楷體" w:eastAsia="標楷體" w:hAnsi="標楷體" w:cs="標楷體" w:hint="eastAsia"/>
          <w:szCs w:val="24"/>
        </w:rPr>
        <w:t>1</w:t>
      </w:r>
      <w:r w:rsidR="00D43B22">
        <w:rPr>
          <w:rFonts w:ascii="標楷體" w:eastAsia="標楷體" w:hAnsi="標楷體" w:cs="標楷體" w:hint="eastAsia"/>
          <w:szCs w:val="24"/>
        </w:rPr>
        <w:t>）</w:t>
      </w:r>
      <w:r w:rsidR="007F29ED" w:rsidRPr="007F29ED">
        <w:rPr>
          <w:rFonts w:ascii="標楷體" w:eastAsia="標楷體" w:hAnsi="標楷體" w:cs="標楷體" w:hint="eastAsia"/>
          <w:szCs w:val="24"/>
        </w:rPr>
        <w:t>，截至113年底金融業特別準備金餘額為2,452億餘元，惟依加值型及非加值型營業稅法第11條規定，金融業營業稅分配收入自114年起不再撥入金融業特別準備金專戶，將悉數改由國庫收取，未來金融業特別準備金除每年準備金之孳息約27億元至34億元外，將不再有其他財源蓄積，金管會雖已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研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議引導保險業者調整商品結構、由中央存款保險公司向中央銀行申請特別融資、由財團法人保險安定基金向金融機構借款等因應措施，然辦理金融業退場處理事項所需資金，每年仍將減少3至4百億元之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挹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注，倘遇諸如1997年之亞洲金融風暴，恐難以因應動輒逾千億之經營不善金融機構資金缺口。另經扣除金融業營業稅分配收入，金管基金111至113年度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監理年費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、執照</w:t>
      </w:r>
      <w:r w:rsidR="007F29ED" w:rsidRPr="007F29ED">
        <w:rPr>
          <w:rFonts w:ascii="標楷體" w:eastAsia="標楷體" w:hAnsi="標楷體" w:cs="標楷體" w:hint="eastAsia"/>
          <w:szCs w:val="24"/>
        </w:rPr>
        <w:lastRenderedPageBreak/>
        <w:t>與登記費收入等基金來源介於14億7,716萬餘元至15億5,588萬餘元間，尚足以支應推動保</w:t>
      </w:r>
      <w:r w:rsidR="00294E8A">
        <w:rPr>
          <w:rFonts w:ascii="標楷體" w:eastAsia="標楷體" w:hAnsi="標楷體" w:cs="標楷體" w:hint="eastAsia"/>
          <w:szCs w:val="24"/>
        </w:rPr>
        <w:t>護</w:t>
      </w:r>
      <w:r w:rsidR="007F29ED" w:rsidRPr="007F29ED">
        <w:rPr>
          <w:rFonts w:ascii="標楷體" w:eastAsia="標楷體" w:hAnsi="標楷體" w:cs="標楷體" w:hint="eastAsia"/>
          <w:szCs w:val="24"/>
        </w:rPr>
        <w:t>金融消費者權益、金融資訊公開、國際金融交流等業務所需經費2億6,887萬餘元至4億4,701萬餘元，每年並可獲致賸餘10億5,139萬餘元至12億4,368萬餘元，主要係近年金融機構營業收入</w:t>
      </w:r>
      <w:r w:rsidR="000D00AA">
        <w:rPr>
          <w:rFonts w:ascii="標楷體" w:eastAsia="標楷體" w:hAnsi="標楷體" w:cs="標楷體" w:hint="eastAsia"/>
          <w:szCs w:val="24"/>
        </w:rPr>
        <w:t>增加</w:t>
      </w:r>
      <w:r w:rsidR="007F29ED" w:rsidRPr="007F29ED">
        <w:rPr>
          <w:rFonts w:ascii="標楷體" w:eastAsia="標楷體" w:hAnsi="標楷體" w:cs="標楷體" w:hint="eastAsia"/>
          <w:szCs w:val="24"/>
        </w:rPr>
        <w:t>，繳交之監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理年費隨增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所致，惟該基金近年繳庫數額介於8億554萬餘元至10億684萬元間，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占本期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賸餘之68.35％至80.96％，約7、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8成賸餘均繳庫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（表</w:t>
      </w:r>
      <w:r w:rsidR="009A53D6">
        <w:rPr>
          <w:rFonts w:ascii="標楷體" w:eastAsia="標楷體" w:hAnsi="標楷體" w:cs="標楷體" w:hint="eastAsia"/>
          <w:szCs w:val="24"/>
        </w:rPr>
        <w:t>1</w:t>
      </w:r>
      <w:r w:rsidR="007F29ED" w:rsidRPr="007F29ED">
        <w:rPr>
          <w:rFonts w:ascii="標楷體" w:eastAsia="標楷體" w:hAnsi="標楷體" w:cs="標楷體" w:hint="eastAsia"/>
          <w:szCs w:val="24"/>
        </w:rPr>
        <w:t>），賸餘數大多未能專款專用，恐偏離金管基金向金融業者收取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監理年費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、檢查費等規費</w:t>
      </w:r>
      <w:r w:rsidR="008E547C">
        <w:rPr>
          <w:rFonts w:ascii="標楷體" w:eastAsia="標楷體" w:hAnsi="標楷體" w:cs="標楷體" w:hint="eastAsia"/>
          <w:szCs w:val="24"/>
        </w:rPr>
        <w:t>，</w:t>
      </w:r>
      <w:r w:rsidR="007F29ED" w:rsidRPr="007F29ED">
        <w:rPr>
          <w:rFonts w:ascii="標楷體" w:eastAsia="標楷體" w:hAnsi="標楷體" w:cs="標楷體" w:hint="eastAsia"/>
          <w:szCs w:val="24"/>
        </w:rPr>
        <w:t>用於推動金融業發展之設立初衷，</w:t>
      </w:r>
      <w:r w:rsidR="000D00AA">
        <w:rPr>
          <w:rFonts w:ascii="標楷體" w:eastAsia="標楷體" w:hAnsi="標楷體" w:cs="標楷體" w:hint="eastAsia"/>
          <w:szCs w:val="24"/>
        </w:rPr>
        <w:t>影響</w:t>
      </w:r>
      <w:r w:rsidR="007F29ED" w:rsidRPr="007F29ED">
        <w:rPr>
          <w:rFonts w:ascii="標楷體" w:eastAsia="標楷體" w:hAnsi="標楷體" w:cs="標楷體" w:hint="eastAsia"/>
          <w:szCs w:val="24"/>
        </w:rPr>
        <w:t>未來虛擬貨幣發展之監管、打造亞洲資產管理中心、精進金融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阻詐等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新型態金融業務之推動。考量我國金融市場易受國際政治經濟環境變動影響，且未來虛擬資產業者等非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金融機構均將納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歸監管，金融監理制度及業務</w:t>
      </w:r>
      <w:r w:rsidR="00AB7660" w:rsidRPr="009A7D4C">
        <w:rPr>
          <w:rFonts w:ascii="標楷體" w:eastAsia="標楷體" w:hAnsi="標楷體" w:hint="eastAsia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FFCDCE7" wp14:editId="643EE867">
                <wp:simplePos x="0" y="0"/>
                <wp:positionH relativeFrom="column">
                  <wp:posOffset>2734945</wp:posOffset>
                </wp:positionH>
                <wp:positionV relativeFrom="paragraph">
                  <wp:posOffset>3209925</wp:posOffset>
                </wp:positionV>
                <wp:extent cx="3784600" cy="1812290"/>
                <wp:effectExtent l="0" t="0" r="0" b="0"/>
                <wp:wrapSquare wrapText="bothSides"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600" cy="1812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739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72"/>
                              <w:gridCol w:w="994"/>
                              <w:gridCol w:w="994"/>
                              <w:gridCol w:w="979"/>
                            </w:tblGrid>
                            <w:tr w:rsidR="008F35F6" w:rsidRPr="00F7766F" w14:paraId="39503B14" w14:textId="77777777" w:rsidTr="001E200D">
                              <w:trPr>
                                <w:trHeight w:val="340"/>
                              </w:trPr>
                              <w:tc>
                                <w:tcPr>
                                  <w:tcW w:w="573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68E61A" w14:textId="318472C2" w:rsidR="008F35F6" w:rsidRPr="00D912EF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9A53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Cs w:val="24"/>
                                    </w:rPr>
                                    <w:t>表</w:t>
                                  </w:r>
                                  <w:r w:rsidR="009A53D6" w:rsidRPr="009A53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Cs w:val="24"/>
                                    </w:rPr>
                                    <w:t>1</w:t>
                                  </w:r>
                                  <w:r w:rsidR="009A53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FF0000"/>
                                      <w:kern w:val="0"/>
                                      <w:szCs w:val="24"/>
                                    </w:rPr>
                                    <w:t xml:space="preserve">　</w:t>
                                  </w:r>
                                  <w:r w:rsidRPr="00D912E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Cs w:val="24"/>
                                    </w:rPr>
                                    <w:t>金管基金賸餘繳庫情形</w:t>
                                  </w:r>
                                </w:p>
                              </w:tc>
                            </w:tr>
                            <w:tr w:rsidR="008F35F6" w:rsidRPr="00F7766F" w14:paraId="08909CC3" w14:textId="77777777" w:rsidTr="001E200D">
                              <w:trPr>
                                <w:trHeight w:val="283"/>
                              </w:trPr>
                              <w:tc>
                                <w:tcPr>
                                  <w:tcW w:w="573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F73A9E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ind w:rightChars="-11" w:right="-26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單位：新臺幣千元、％</w:t>
                                  </w:r>
                                </w:p>
                              </w:tc>
                            </w:tr>
                            <w:tr w:rsidR="008F35F6" w:rsidRPr="00F7766F" w14:paraId="6AFEE714" w14:textId="77777777" w:rsidTr="00D43B22">
                              <w:trPr>
                                <w:trHeight w:val="454"/>
                              </w:trPr>
                              <w:tc>
                                <w:tcPr>
                                  <w:tcW w:w="27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DAA4C1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EF57A2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  <w:proofErr w:type="gramEnd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019B52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  <w:proofErr w:type="gramEnd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B07ED8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  <w:proofErr w:type="gramEnd"/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</w:tr>
                            <w:tr w:rsidR="008F35F6" w:rsidRPr="00F7766F" w14:paraId="62DCE1AB" w14:textId="77777777" w:rsidTr="00D43B22">
                              <w:trPr>
                                <w:trHeight w:val="454"/>
                              </w:trPr>
                              <w:tc>
                                <w:tcPr>
                                  <w:tcW w:w="277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F3D677" w14:textId="699C153B" w:rsidR="008F35F6" w:rsidRPr="0096551F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6551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本期賸餘</w:t>
                                  </w:r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96551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7768DF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1,243,684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FF2473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1,051,396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265022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1,178,480</w:t>
                                  </w:r>
                                </w:p>
                              </w:tc>
                            </w:tr>
                            <w:tr w:rsidR="008F35F6" w:rsidRPr="00F7766F" w14:paraId="62838B0C" w14:textId="77777777" w:rsidTr="00D43B22">
                              <w:trPr>
                                <w:trHeight w:val="454"/>
                              </w:trPr>
                              <w:tc>
                                <w:tcPr>
                                  <w:tcW w:w="277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CA5B99" w14:textId="0042CB74" w:rsidR="008F35F6" w:rsidRPr="0096551F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551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解繳公庫</w:t>
                                  </w:r>
                                  <w:proofErr w:type="gramEnd"/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428EDCC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1,006,840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37968E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805,543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97B18E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805,543</w:t>
                                  </w:r>
                                </w:p>
                              </w:tc>
                            </w:tr>
                            <w:tr w:rsidR="008F35F6" w:rsidRPr="00F7766F" w14:paraId="606FE9B1" w14:textId="77777777" w:rsidTr="00D43B22">
                              <w:trPr>
                                <w:trHeight w:val="454"/>
                              </w:trPr>
                              <w:tc>
                                <w:tcPr>
                                  <w:tcW w:w="277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7A2BF1" w14:textId="65E51E8B" w:rsidR="008F35F6" w:rsidRPr="0096551F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6551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解</w:t>
                                  </w:r>
                                  <w:proofErr w:type="gramStart"/>
                                  <w:r w:rsidRPr="0096551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繳公庫占</w:t>
                                  </w:r>
                                  <w:proofErr w:type="gramEnd"/>
                                  <w:r w:rsidRPr="0096551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賸餘比率</w:t>
                                  </w:r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B/A</w:t>
                                  </w:r>
                                  <w:r w:rsidRPr="0096551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×1</w:t>
                                  </w:r>
                                  <w:r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  <w:r w:rsidR="00D000C8" w:rsidRPr="0096551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F49B8F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80.96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00A313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76.62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7CFFD9" w14:textId="77777777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68.35</w:t>
                                  </w:r>
                                </w:p>
                              </w:tc>
                            </w:tr>
                            <w:tr w:rsidR="008F35F6" w:rsidRPr="00F7766F" w14:paraId="02517BEA" w14:textId="77777777" w:rsidTr="009A53D6">
                              <w:trPr>
                                <w:trHeight w:val="170"/>
                              </w:trPr>
                              <w:tc>
                                <w:tcPr>
                                  <w:tcW w:w="573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651E8A" w14:textId="7901E406" w:rsidR="008F35F6" w:rsidRPr="00D17D14" w:rsidRDefault="008F35F6" w:rsidP="00D43B22">
                                  <w:pPr>
                                    <w:widowControl/>
                                    <w:tabs>
                                      <w:tab w:val="left" w:pos="8647"/>
                                    </w:tabs>
                                    <w:adjustRightInd w:val="0"/>
                                    <w:snapToGrid w:val="0"/>
                                    <w:spacing w:line="240" w:lineRule="exact"/>
                                    <w:ind w:leftChars="-18" w:left="-43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資料來源：整理自金管基金</w:t>
                                  </w:r>
                                  <w:r w:rsidR="001B6022" w:rsidRPr="001B602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111至113年度</w:t>
                                  </w:r>
                                  <w:r w:rsidRPr="00D17D14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決算書。</w:t>
                                  </w:r>
                                </w:p>
                              </w:tc>
                            </w:tr>
                          </w:tbl>
                          <w:p w14:paraId="0B0B6314" w14:textId="77777777" w:rsidR="008F35F6" w:rsidRDefault="008F35F6" w:rsidP="008F35F6">
                            <w:pPr>
                              <w:tabs>
                                <w:tab w:val="left" w:pos="8647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CDCE7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7" type="#_x0000_t202" style="position:absolute;left:0;text-align:left;margin-left:215.35pt;margin-top:252.75pt;width:298pt;height:142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zoJSQIAAFkEAAAOAAAAZHJzL2Uyb0RvYy54bWysVEFu2zAQvBfoHwjea1mO4ziC5cBN4KKA&#10;kQRwipxpirQEiFyWpC25HyjQB6TnPqAP6IOSd3RJ2U6Q9lT0Qi13l8udmaUmF62qyVZYV4HOadrr&#10;UyI0h6LS65x+upu/G1PiPNMFq0GLnO6EoxfTt28mjcnEAEqoC2EJFtEua0xOS+9NliSOl0Ix1wMj&#10;NAYlWMU8bu06KSxrsLqqk0G/P0oasIWxwIVz6L3qgnQa60spuL+R0glP6pxibz6uNq6rsCbTCcvW&#10;lpmy4vs22D90oVil8dJjqSvmGdnY6o9SquIWHEjf46ASkLLiImJANGn/FZplyYyIWJAcZ440uf9X&#10;ll9vby2pipyOKNFMoURPD18ff35/evj1+OMbGQWGGuMyTFwaTPXte2hR6YPfoTMAb6VV4YuQCMaR&#10;692RX9F6wtF5cjYejvoY4hhLx+lgcB4VSJ6PG+v8BwGKBCOnFgWMvLLtwnlsBVMPKeE2DfOqrqOI&#10;tSYNojg57ccDxwieqDUeDCC6ZoPl21UbYR+BrKDYIT4L3Yw4w+cV9rBgzt8yi0OBfeOg+xtcZA14&#10;F+wtSkqwX/7mD/moFUYpaXDIcuo+b5gVlNQfNap4ng6HYSrjZnh6NsCNfRlZxQ169UZdAs5wis/J&#10;8GiGXF8fTGlB3eNbmIUbMcQ0x3tz6g/mpe/GHt8SF7NZTMIZNMwv9NLwUDowGti9a++ZNXsJPKp3&#10;DYdRZNkrJbrcTovZxoOsokyB447RPfU4v1G9/VsLD+TlPmY9/xGmvwEAAP//AwBQSwMEFAAGAAgA&#10;AAAhALtLWNThAAAADAEAAA8AAABkcnMvZG93bnJldi54bWxMj8FOwzAMhu9IvENkJC4VSxh0Y6Xp&#10;hEC9bRJ04541pqlonKpJt46nJzvB0fan39+fryfbsSMOvnUk4X4mgCHVTrfUSNjvyrsnYD4o0qpz&#10;hBLO6GFdXF/lKtPuRB94rELDYgj5TEkwIfQZ5742aJWfuR4p3r7cYFWI49BwPahTDLcdnwux4Fa1&#10;FD8Y1eOrwfq7Gq2EcSw3b9tkY85DEsr+571NPn0l5e3N9PIMLOAU/mC46Ed1KKLTwY2kPeskPD6I&#10;ZUQlpCJNgV0IMV/E1UHCciVWwIuc/y9R/AIAAP//AwBQSwECLQAUAAYACAAAACEAtoM4kv4AAADh&#10;AQAAEwAAAAAAAAAAAAAAAAAAAAAAW0NvbnRlbnRfVHlwZXNdLnhtbFBLAQItABQABgAIAAAAIQA4&#10;/SH/1gAAAJQBAAALAAAAAAAAAAAAAAAAAC8BAABfcmVscy8ucmVsc1BLAQItABQABgAIAAAAIQDc&#10;KzoJSQIAAFkEAAAOAAAAAAAAAAAAAAAAAC4CAABkcnMvZTJvRG9jLnhtbFBLAQItABQABgAIAAAA&#10;IQC7S1jU4QAAAAwBAAAPAAAAAAAAAAAAAAAAAKMEAABkcnMvZG93bnJldi54bWxQSwUGAAAAAAQA&#10;BADzAAAAsQUAAAAA&#10;" filled="f" stroked="f" strokeweight=".5pt">
                <v:textbox inset=",,,0">
                  <w:txbxContent>
                    <w:tbl>
                      <w:tblPr>
                        <w:tblW w:w="5739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772"/>
                        <w:gridCol w:w="994"/>
                        <w:gridCol w:w="994"/>
                        <w:gridCol w:w="979"/>
                      </w:tblGrid>
                      <w:tr w:rsidR="008F35F6" w:rsidRPr="00F7766F" w14:paraId="39503B14" w14:textId="77777777" w:rsidTr="001E200D">
                        <w:trPr>
                          <w:trHeight w:val="340"/>
                        </w:trPr>
                        <w:tc>
                          <w:tcPr>
                            <w:tcW w:w="5739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68E61A" w14:textId="318472C2" w:rsidR="008F35F6" w:rsidRPr="00D912EF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9A53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Cs w:val="24"/>
                              </w:rPr>
                              <w:t>表</w:t>
                            </w:r>
                            <w:r w:rsidR="009A53D6" w:rsidRPr="009A53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Cs w:val="24"/>
                              </w:rPr>
                              <w:t>1</w:t>
                            </w:r>
                            <w:r w:rsidR="009A53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FF0000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Pr="00D912EF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Cs w:val="24"/>
                              </w:rPr>
                              <w:t>金管基金賸餘繳庫情形</w:t>
                            </w:r>
                          </w:p>
                        </w:tc>
                      </w:tr>
                      <w:tr w:rsidR="008F35F6" w:rsidRPr="00F7766F" w14:paraId="08909CC3" w14:textId="77777777" w:rsidTr="001E200D">
                        <w:trPr>
                          <w:trHeight w:val="283"/>
                        </w:trPr>
                        <w:tc>
                          <w:tcPr>
                            <w:tcW w:w="5739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F73A9E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ind w:rightChars="-11" w:right="-26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單位：新臺幣千元、％</w:t>
                            </w:r>
                          </w:p>
                        </w:tc>
                      </w:tr>
                      <w:tr w:rsidR="008F35F6" w:rsidRPr="00F7766F" w14:paraId="6AFEE714" w14:textId="77777777" w:rsidTr="00D43B22">
                        <w:trPr>
                          <w:trHeight w:val="454"/>
                        </w:trPr>
                        <w:tc>
                          <w:tcPr>
                            <w:tcW w:w="27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DAA4C1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EF57A2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  <w:proofErr w:type="gramEnd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019B52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  <w:proofErr w:type="gramEnd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B07ED8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  <w:proofErr w:type="gramEnd"/>
                            <w:r w:rsidRPr="00D17D1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</w:tr>
                      <w:tr w:rsidR="008F35F6" w:rsidRPr="00F7766F" w14:paraId="62DCE1AB" w14:textId="77777777" w:rsidTr="00D43B22">
                        <w:trPr>
                          <w:trHeight w:val="454"/>
                        </w:trPr>
                        <w:tc>
                          <w:tcPr>
                            <w:tcW w:w="277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F3D677" w14:textId="699C153B" w:rsidR="008F35F6" w:rsidRPr="0096551F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6551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本期賸餘</w:t>
                            </w:r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96551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A</w:t>
                            </w:r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7768DF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1,243,684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FF2473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1,051,396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265022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1,178,480</w:t>
                            </w:r>
                          </w:p>
                        </w:tc>
                      </w:tr>
                      <w:tr w:rsidR="008F35F6" w:rsidRPr="00F7766F" w14:paraId="62838B0C" w14:textId="77777777" w:rsidTr="00D43B22">
                        <w:trPr>
                          <w:trHeight w:val="454"/>
                        </w:trPr>
                        <w:tc>
                          <w:tcPr>
                            <w:tcW w:w="277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CA5B99" w14:textId="0042CB74" w:rsidR="008F35F6" w:rsidRPr="0096551F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551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解繳公庫</w:t>
                            </w:r>
                            <w:proofErr w:type="gramEnd"/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B</w:t>
                            </w:r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428EDCC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1,006,840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37968E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805,543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97B18E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805,543</w:t>
                            </w:r>
                          </w:p>
                        </w:tc>
                      </w:tr>
                      <w:tr w:rsidR="008F35F6" w:rsidRPr="00F7766F" w14:paraId="606FE9B1" w14:textId="77777777" w:rsidTr="00D43B22">
                        <w:trPr>
                          <w:trHeight w:val="454"/>
                        </w:trPr>
                        <w:tc>
                          <w:tcPr>
                            <w:tcW w:w="277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7A2BF1" w14:textId="65E51E8B" w:rsidR="008F35F6" w:rsidRPr="0096551F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6551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解</w:t>
                            </w:r>
                            <w:proofErr w:type="gramStart"/>
                            <w:r w:rsidRPr="0096551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繳公庫占</w:t>
                            </w:r>
                            <w:proofErr w:type="gramEnd"/>
                            <w:r w:rsidRPr="0096551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賸餘比率</w:t>
                            </w:r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（</w:t>
                            </w:r>
                            <w:r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B/A</w:t>
                            </w:r>
                            <w:r w:rsidRPr="0096551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×1</w:t>
                            </w:r>
                            <w:r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00</w:t>
                            </w:r>
                            <w:r w:rsidR="00D000C8" w:rsidRPr="0096551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F49B8F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80.96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00A313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76.62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7CFFD9" w14:textId="77777777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  <w:szCs w:val="20"/>
                              </w:rPr>
                              <w:t>68.35</w:t>
                            </w:r>
                          </w:p>
                        </w:tc>
                      </w:tr>
                      <w:tr w:rsidR="008F35F6" w:rsidRPr="00F7766F" w14:paraId="02517BEA" w14:textId="77777777" w:rsidTr="009A53D6">
                        <w:trPr>
                          <w:trHeight w:val="170"/>
                        </w:trPr>
                        <w:tc>
                          <w:tcPr>
                            <w:tcW w:w="5739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651E8A" w14:textId="7901E406" w:rsidR="008F35F6" w:rsidRPr="00D17D14" w:rsidRDefault="008F35F6" w:rsidP="00D43B22">
                            <w:pPr>
                              <w:widowControl/>
                              <w:tabs>
                                <w:tab w:val="left" w:pos="8647"/>
                              </w:tabs>
                              <w:adjustRightInd w:val="0"/>
                              <w:snapToGrid w:val="0"/>
                              <w:spacing w:line="240" w:lineRule="exact"/>
                              <w:ind w:leftChars="-18" w:left="-43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D17D14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資料來源：整理自金管基金</w:t>
                            </w:r>
                            <w:r w:rsidR="001B6022" w:rsidRPr="001B602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111至113年度</w:t>
                            </w:r>
                            <w:r w:rsidRPr="00D17D14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決算書。</w:t>
                            </w:r>
                          </w:p>
                        </w:tc>
                      </w:tr>
                    </w:tbl>
                    <w:p w14:paraId="0B0B6314" w14:textId="77777777" w:rsidR="008F35F6" w:rsidRDefault="008F35F6" w:rsidP="008F35F6">
                      <w:pPr>
                        <w:tabs>
                          <w:tab w:val="left" w:pos="8647"/>
                        </w:tabs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F29ED" w:rsidRPr="007F29ED">
        <w:rPr>
          <w:rFonts w:ascii="標楷體" w:eastAsia="標楷體" w:hAnsi="標楷體" w:cs="標楷體" w:hint="eastAsia"/>
          <w:szCs w:val="24"/>
        </w:rPr>
        <w:t>預計日漸擴大並更多元化，</w:t>
      </w:r>
      <w:r w:rsidR="003F55E8">
        <w:rPr>
          <w:rFonts w:ascii="標楷體" w:eastAsia="標楷體" w:hAnsi="標楷體" w:cs="標楷體" w:hint="eastAsia"/>
          <w:szCs w:val="24"/>
        </w:rPr>
        <w:t>經</w:t>
      </w:r>
      <w:proofErr w:type="gramStart"/>
      <w:r w:rsidR="003F55E8">
        <w:rPr>
          <w:rFonts w:ascii="標楷體" w:eastAsia="標楷體" w:hAnsi="標楷體" w:cs="標楷體" w:hint="eastAsia"/>
          <w:szCs w:val="24"/>
        </w:rPr>
        <w:t>函</w:t>
      </w:r>
      <w:r w:rsidR="007F29ED" w:rsidRPr="007F29ED">
        <w:rPr>
          <w:rFonts w:ascii="標楷體" w:eastAsia="標楷體" w:hAnsi="標楷體" w:cs="標楷體" w:hint="eastAsia"/>
          <w:szCs w:val="24"/>
        </w:rPr>
        <w:t>請金管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會</w:t>
      </w:r>
      <w:proofErr w:type="gramStart"/>
      <w:r w:rsidR="007F29ED" w:rsidRPr="007F29ED">
        <w:rPr>
          <w:rFonts w:ascii="標楷體" w:eastAsia="標楷體" w:hAnsi="標楷體" w:cs="標楷體" w:hint="eastAsia"/>
          <w:szCs w:val="24"/>
        </w:rPr>
        <w:t>研</w:t>
      </w:r>
      <w:proofErr w:type="gramEnd"/>
      <w:r w:rsidR="007F29ED" w:rsidRPr="007F29ED">
        <w:rPr>
          <w:rFonts w:ascii="標楷體" w:eastAsia="標楷體" w:hAnsi="標楷體" w:cs="標楷體" w:hint="eastAsia"/>
          <w:szCs w:val="24"/>
        </w:rPr>
        <w:t>謀因應，以利基金永續經營並健全國內金融機構穩定發展。</w:t>
      </w:r>
      <w:r w:rsidR="004A6F0E" w:rsidRPr="004A6F0E">
        <w:rPr>
          <w:rFonts w:ascii="標楷體" w:eastAsia="標楷體" w:hAnsi="標楷體" w:cs="標楷體" w:hint="eastAsia"/>
          <w:szCs w:val="24"/>
        </w:rPr>
        <w:t>據復：</w:t>
      </w:r>
      <w:r w:rsidR="00692062">
        <w:rPr>
          <w:rFonts w:ascii="標楷體" w:eastAsia="標楷體" w:hAnsi="標楷體" w:cs="標楷體" w:hint="eastAsia"/>
          <w:szCs w:val="24"/>
        </w:rPr>
        <w:t>金管</w:t>
      </w:r>
      <w:r w:rsidR="00692062" w:rsidRPr="00F804B2">
        <w:rPr>
          <w:rFonts w:ascii="標楷體" w:eastAsia="標楷體" w:hAnsi="標楷體" w:cs="標楷體" w:hint="eastAsia"/>
          <w:szCs w:val="24"/>
        </w:rPr>
        <w:t>會</w:t>
      </w:r>
      <w:r w:rsidR="00D37CBF" w:rsidRPr="00D37CBF">
        <w:rPr>
          <w:rFonts w:ascii="標楷體" w:eastAsia="標楷體" w:hAnsi="標楷體" w:cs="標楷體" w:hint="eastAsia"/>
          <w:szCs w:val="24"/>
        </w:rPr>
        <w:t>將</w:t>
      </w:r>
      <w:r w:rsidR="00CD1852">
        <w:rPr>
          <w:rFonts w:ascii="標楷體" w:eastAsia="標楷體" w:hAnsi="標楷體" w:cs="標楷體" w:hint="eastAsia"/>
          <w:szCs w:val="24"/>
        </w:rPr>
        <w:t>透過</w:t>
      </w:r>
      <w:r w:rsidR="00CD1852" w:rsidRPr="00692062">
        <w:rPr>
          <w:rFonts w:ascii="標楷體" w:eastAsia="標楷體" w:hAnsi="標楷體" w:cs="標楷體" w:hint="eastAsia"/>
          <w:szCs w:val="24"/>
        </w:rPr>
        <w:t>金管基金</w:t>
      </w:r>
      <w:r w:rsidR="007D1FD4" w:rsidRPr="00F804B2">
        <w:rPr>
          <w:rFonts w:ascii="標楷體" w:eastAsia="標楷體" w:hAnsi="標楷體" w:cs="標楷體" w:hint="eastAsia"/>
          <w:szCs w:val="24"/>
        </w:rPr>
        <w:t>編列相關預算</w:t>
      </w:r>
      <w:r w:rsidR="007D1FD4">
        <w:rPr>
          <w:rFonts w:ascii="標楷體" w:eastAsia="標楷體" w:hAnsi="標楷體" w:cs="標楷體" w:hint="eastAsia"/>
          <w:szCs w:val="24"/>
        </w:rPr>
        <w:t>，</w:t>
      </w:r>
      <w:r w:rsidR="00CD1852">
        <w:rPr>
          <w:rFonts w:ascii="標楷體" w:eastAsia="標楷體" w:hAnsi="標楷體" w:cs="標楷體" w:hint="eastAsia"/>
          <w:szCs w:val="24"/>
        </w:rPr>
        <w:t>持續</w:t>
      </w:r>
      <w:r w:rsidR="00692062" w:rsidRPr="00692062">
        <w:rPr>
          <w:rFonts w:ascii="標楷體" w:eastAsia="標楷體" w:hAnsi="標楷體" w:cs="標楷體" w:hint="eastAsia"/>
          <w:szCs w:val="24"/>
        </w:rPr>
        <w:t>推動亞洲資產管理中心</w:t>
      </w:r>
      <w:r w:rsidR="00CD1852">
        <w:rPr>
          <w:rFonts w:ascii="標楷體" w:eastAsia="標楷體" w:hAnsi="標楷體" w:cs="標楷體" w:hint="eastAsia"/>
          <w:szCs w:val="24"/>
        </w:rPr>
        <w:t>、虛擬貨幣發展之監管</w:t>
      </w:r>
      <w:r w:rsidR="00692062">
        <w:rPr>
          <w:rFonts w:ascii="標楷體" w:eastAsia="標楷體" w:hAnsi="標楷體" w:cs="標楷體" w:hint="eastAsia"/>
          <w:szCs w:val="24"/>
        </w:rPr>
        <w:t>等</w:t>
      </w:r>
      <w:r w:rsidR="00692062" w:rsidRPr="00692062">
        <w:rPr>
          <w:rFonts w:ascii="標楷體" w:eastAsia="標楷體" w:hAnsi="標楷體" w:cs="標楷體" w:hint="eastAsia"/>
          <w:szCs w:val="24"/>
        </w:rPr>
        <w:t>新型態金融業務</w:t>
      </w:r>
      <w:r w:rsidR="00692062">
        <w:rPr>
          <w:rFonts w:ascii="標楷體" w:eastAsia="標楷體" w:hAnsi="標楷體" w:cs="標楷體" w:hint="eastAsia"/>
          <w:szCs w:val="24"/>
        </w:rPr>
        <w:t>，並</w:t>
      </w:r>
      <w:r w:rsidR="00D37CBF" w:rsidRPr="00D37CBF">
        <w:rPr>
          <w:rFonts w:ascii="標楷體" w:eastAsia="標楷體" w:hAnsi="標楷體" w:cs="標楷體" w:hint="eastAsia"/>
          <w:szCs w:val="24"/>
        </w:rPr>
        <w:t>秉持金融監理核心目標，營造安全、公平、普惠</w:t>
      </w:r>
      <w:r w:rsidR="00D37CBF">
        <w:rPr>
          <w:rFonts w:ascii="標楷體" w:eastAsia="標楷體" w:hAnsi="標楷體" w:cs="標楷體" w:hint="eastAsia"/>
          <w:szCs w:val="24"/>
        </w:rPr>
        <w:t>之</w:t>
      </w:r>
      <w:r w:rsidR="00D37CBF" w:rsidRPr="00D37CBF">
        <w:rPr>
          <w:rFonts w:ascii="標楷體" w:eastAsia="標楷體" w:hAnsi="標楷體" w:cs="標楷體" w:hint="eastAsia"/>
          <w:szCs w:val="24"/>
        </w:rPr>
        <w:t>金融環境，提供適切金融商品及服務，</w:t>
      </w:r>
      <w:r w:rsidR="003C4172">
        <w:rPr>
          <w:rFonts w:ascii="標楷體" w:eastAsia="標楷體" w:hAnsi="標楷體" w:cs="標楷體" w:hint="eastAsia"/>
          <w:szCs w:val="24"/>
        </w:rPr>
        <w:t>以</w:t>
      </w:r>
      <w:r w:rsidR="00D37CBF" w:rsidRPr="00D37CBF">
        <w:rPr>
          <w:rFonts w:ascii="標楷體" w:eastAsia="標楷體" w:hAnsi="標楷體" w:cs="標楷體" w:hint="eastAsia"/>
          <w:szCs w:val="24"/>
        </w:rPr>
        <w:t>協助產業與金融業因應各項挑戰，推動</w:t>
      </w:r>
      <w:proofErr w:type="gramStart"/>
      <w:r w:rsidR="00D37CBF" w:rsidRPr="00D37CBF">
        <w:rPr>
          <w:rFonts w:ascii="標楷體" w:eastAsia="標楷體" w:hAnsi="標楷體" w:cs="標楷體" w:hint="eastAsia"/>
          <w:szCs w:val="24"/>
        </w:rPr>
        <w:t>永續及創新</w:t>
      </w:r>
      <w:proofErr w:type="gramEnd"/>
      <w:r w:rsidR="00D37CBF" w:rsidRPr="00D37CBF">
        <w:rPr>
          <w:rFonts w:ascii="標楷體" w:eastAsia="標楷體" w:hAnsi="標楷體" w:cs="標楷體" w:hint="eastAsia"/>
          <w:szCs w:val="24"/>
        </w:rPr>
        <w:t>發展</w:t>
      </w:r>
      <w:r w:rsidR="00F15B9D">
        <w:rPr>
          <w:rFonts w:ascii="標楷體" w:eastAsia="標楷體" w:hAnsi="標楷體" w:cs="標楷體" w:hint="eastAsia"/>
          <w:szCs w:val="24"/>
        </w:rPr>
        <w:t>。</w:t>
      </w:r>
    </w:p>
    <w:p w14:paraId="7FD5A041" w14:textId="57090613" w:rsidR="00A4419D" w:rsidRPr="00BF5B0E" w:rsidRDefault="000D7D72" w:rsidP="009E74BA">
      <w:pPr>
        <w:autoSpaceDE w:val="0"/>
        <w:autoSpaceDN w:val="0"/>
        <w:adjustRightInd w:val="0"/>
        <w:snapToGrid w:val="0"/>
        <w:spacing w:line="570" w:lineRule="exact"/>
        <w:ind w:firstLineChars="450" w:firstLine="1261"/>
        <w:jc w:val="both"/>
        <w:rPr>
          <w:rFonts w:ascii="標楷體" w:eastAsia="標楷體" w:hAnsi="標楷體" w:cs="微軟正黑體"/>
          <w:kern w:val="0"/>
          <w:szCs w:val="32"/>
        </w:rPr>
      </w:pP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6</w:t>
      </w:r>
      <w:r w:rsidR="00A4419D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.　</w:t>
      </w:r>
      <w:proofErr w:type="gramStart"/>
      <w:r w:rsidR="00A4419D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11</w:t>
      </w:r>
      <w:r w:rsidR="006464BB">
        <w:rPr>
          <w:rFonts w:ascii="標楷體" w:eastAsia="標楷體" w:hAnsi="標楷體" w:cs="DFKaiShu-SB-Estd-BF"/>
          <w:b/>
          <w:kern w:val="0"/>
          <w:sz w:val="28"/>
          <w:szCs w:val="32"/>
        </w:rPr>
        <w:t>2</w:t>
      </w:r>
      <w:proofErr w:type="gramEnd"/>
      <w:r w:rsidR="00A4419D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年度重要審核意見追蹤查核情形</w:t>
      </w:r>
    </w:p>
    <w:p w14:paraId="4171E263" w14:textId="156C60B6" w:rsidR="00A4419D" w:rsidRPr="00BF5B0E" w:rsidRDefault="00A4419D" w:rsidP="00D43B22">
      <w:pPr>
        <w:overflowPunct w:val="0"/>
        <w:adjustRightInd w:val="0"/>
        <w:snapToGrid w:val="0"/>
        <w:spacing w:line="612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r w:rsidRPr="00BF5B0E">
        <w:rPr>
          <w:rFonts w:ascii="標楷體" w:eastAsia="標楷體" w:hAnsi="標楷體" w:cs="微軟正黑體" w:hint="eastAsia"/>
          <w:kern w:val="0"/>
          <w:szCs w:val="32"/>
        </w:rPr>
        <w:t>本部於</w:t>
      </w:r>
      <w:proofErr w:type="gramStart"/>
      <w:r w:rsidRPr="00BF5B0E">
        <w:rPr>
          <w:rFonts w:ascii="標楷體" w:eastAsia="標楷體" w:hAnsi="標楷體" w:cs="微軟正黑體" w:hint="eastAsia"/>
          <w:kern w:val="0"/>
          <w:szCs w:val="32"/>
        </w:rPr>
        <w:t>11</w:t>
      </w:r>
      <w:r w:rsidR="006464BB">
        <w:rPr>
          <w:rFonts w:ascii="標楷體" w:eastAsia="標楷體" w:hAnsi="標楷體" w:cs="微軟正黑體"/>
          <w:kern w:val="0"/>
          <w:szCs w:val="32"/>
        </w:rPr>
        <w:t>2</w:t>
      </w:r>
      <w:proofErr w:type="gramEnd"/>
      <w:r w:rsidRPr="00BF5B0E">
        <w:rPr>
          <w:rFonts w:ascii="標楷體" w:eastAsia="標楷體" w:hAnsi="標楷體" w:cs="微軟正黑體" w:hint="eastAsia"/>
          <w:kern w:val="0"/>
          <w:szCs w:val="32"/>
        </w:rPr>
        <w:t>年度審核報告非營業部分內列重要審核意見，</w:t>
      </w:r>
      <w:r w:rsidR="00634464" w:rsidRPr="00BF5B0E">
        <w:rPr>
          <w:rFonts w:ascii="標楷體" w:eastAsia="標楷體" w:hAnsi="標楷體" w:cs="微軟正黑體" w:hint="eastAsia"/>
          <w:kern w:val="0"/>
          <w:szCs w:val="32"/>
        </w:rPr>
        <w:t>計有</w:t>
      </w:r>
      <w:r w:rsidR="006464BB" w:rsidRPr="006464BB">
        <w:rPr>
          <w:rFonts w:ascii="標楷體" w:eastAsia="標楷體" w:hAnsi="標楷體" w:cs="微軟正黑體" w:hint="eastAsia"/>
          <w:kern w:val="0"/>
          <w:szCs w:val="32"/>
        </w:rPr>
        <w:t>金融監督管理委員會為加速金融產業發展，協助業者進行</w:t>
      </w:r>
      <w:proofErr w:type="gramStart"/>
      <w:r w:rsidR="006464BB" w:rsidRPr="006464BB">
        <w:rPr>
          <w:rFonts w:ascii="標楷體" w:eastAsia="標楷體" w:hAnsi="標楷體" w:cs="微軟正黑體" w:hint="eastAsia"/>
          <w:kern w:val="0"/>
          <w:szCs w:val="32"/>
        </w:rPr>
        <w:t>數位沙盒創新</w:t>
      </w:r>
      <w:proofErr w:type="gramEnd"/>
      <w:r w:rsidR="006464BB" w:rsidRPr="006464BB">
        <w:rPr>
          <w:rFonts w:ascii="標楷體" w:eastAsia="標楷體" w:hAnsi="標楷體" w:cs="微軟正黑體" w:hint="eastAsia"/>
          <w:kern w:val="0"/>
          <w:szCs w:val="32"/>
        </w:rPr>
        <w:t>實證，惟ESG等實證主題提案件數偏低或未有提案，又綠色金融等主題實證案件尚未與金融機構合作商轉，允宜</w:t>
      </w:r>
      <w:proofErr w:type="gramStart"/>
      <w:r w:rsidR="006464BB" w:rsidRPr="006464BB">
        <w:rPr>
          <w:rFonts w:ascii="標楷體" w:eastAsia="標楷體" w:hAnsi="標楷體" w:cs="微軟正黑體" w:hint="eastAsia"/>
          <w:kern w:val="0"/>
          <w:szCs w:val="32"/>
        </w:rPr>
        <w:t>研</w:t>
      </w:r>
      <w:proofErr w:type="gramEnd"/>
      <w:r w:rsidR="006464BB" w:rsidRPr="006464BB">
        <w:rPr>
          <w:rFonts w:ascii="標楷體" w:eastAsia="標楷體" w:hAnsi="標楷體" w:cs="微軟正黑體" w:hint="eastAsia"/>
          <w:kern w:val="0"/>
          <w:szCs w:val="32"/>
        </w:rPr>
        <w:t>謀改善，以利金融科技創新應用</w:t>
      </w:r>
      <w:r w:rsidR="00634464" w:rsidRPr="00BF5B0E">
        <w:rPr>
          <w:rFonts w:ascii="標楷體" w:eastAsia="標楷體" w:hAnsi="標楷體" w:cs="微軟正黑體" w:hint="eastAsia"/>
          <w:kern w:val="0"/>
          <w:szCs w:val="32"/>
        </w:rPr>
        <w:t>1項，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經</w:t>
      </w:r>
      <w:proofErr w:type="gramStart"/>
      <w:r w:rsidRPr="00BF5B0E">
        <w:rPr>
          <w:rFonts w:ascii="標楷體" w:eastAsia="標楷體" w:hAnsi="標楷體" w:cs="微軟正黑體" w:hint="eastAsia"/>
          <w:kern w:val="0"/>
          <w:szCs w:val="32"/>
        </w:rPr>
        <w:t>賡</w:t>
      </w:r>
      <w:proofErr w:type="gramEnd"/>
      <w:r w:rsidRPr="00BF5B0E">
        <w:rPr>
          <w:rFonts w:ascii="標楷體" w:eastAsia="標楷體" w:hAnsi="標楷體" w:cs="微軟正黑體" w:hint="eastAsia"/>
          <w:kern w:val="0"/>
          <w:szCs w:val="32"/>
        </w:rPr>
        <w:t>續追蹤查核實際辦理結果，</w:t>
      </w:r>
      <w:r w:rsidR="003B5A0F" w:rsidRPr="00BF5B0E">
        <w:rPr>
          <w:rFonts w:ascii="標楷體" w:eastAsia="標楷體" w:hAnsi="標楷體" w:cs="微軟正黑體" w:hint="eastAsia"/>
          <w:kern w:val="0"/>
          <w:szCs w:val="32"/>
        </w:rPr>
        <w:t>已</w:t>
      </w:r>
      <w:r w:rsidR="007F2A6E" w:rsidRPr="00BF5B0E">
        <w:rPr>
          <w:rFonts w:ascii="標楷體" w:eastAsia="標楷體" w:hAnsi="標楷體" w:cs="微軟正黑體" w:hint="eastAsia"/>
          <w:kern w:val="0"/>
          <w:szCs w:val="32"/>
        </w:rPr>
        <w:t>依改善措施持續辦理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。</w:t>
      </w:r>
    </w:p>
    <w:p w14:paraId="4906C4B5" w14:textId="1537AA46" w:rsidR="00BF5B0E" w:rsidRPr="00BF5B0E" w:rsidRDefault="00D4772D" w:rsidP="00116CCE">
      <w:pPr>
        <w:overflowPunct w:val="0"/>
        <w:adjustRightInd w:val="0"/>
        <w:snapToGrid w:val="0"/>
        <w:spacing w:afterLines="20" w:after="72" w:line="610" w:lineRule="exact"/>
        <w:ind w:firstLineChars="200" w:firstLine="488"/>
        <w:jc w:val="both"/>
        <w:rPr>
          <w:rFonts w:ascii="標楷體" w:eastAsia="標楷體" w:hAnsi="標楷體" w:cs="Times New Roman"/>
          <w:sz w:val="18"/>
          <w:szCs w:val="18"/>
        </w:rPr>
      </w:pPr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該基金來源用途及餘</w:t>
      </w:r>
      <w:proofErr w:type="gramStart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絀</w:t>
      </w:r>
      <w:proofErr w:type="gramEnd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之審定，暨餘</w:t>
      </w:r>
      <w:proofErr w:type="gramStart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絀</w:t>
      </w:r>
      <w:proofErr w:type="gramEnd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審定後現金流量及資產負債狀況，</w:t>
      </w:r>
      <w:proofErr w:type="gramStart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詳戊</w:t>
      </w:r>
      <w:proofErr w:type="gramEnd"/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、附表、壹、</w:t>
      </w:r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各基金附表</w:t>
      </w:r>
      <w:proofErr w:type="gramStart"/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〔</w:t>
      </w:r>
      <w:proofErr w:type="gramEnd"/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請至審計部全球資訊網之總決算審核報告查詢平台</w:t>
      </w:r>
      <w:r w:rsid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(</w:t>
      </w:r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https://auditreport.audit.gov.tw/</w:t>
      </w:r>
      <w:r w:rsid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)</w:t>
      </w:r>
      <w:r w:rsidRPr="00BF5B0E">
        <w:rPr>
          <w:rFonts w:ascii="標楷體" w:eastAsia="標楷體" w:hAnsi="標楷體" w:cs="微軟正黑體" w:hint="eastAsia"/>
          <w:spacing w:val="-2"/>
          <w:kern w:val="0"/>
          <w:szCs w:val="32"/>
        </w:rPr>
        <w:t>查閱</w:t>
      </w:r>
      <w:proofErr w:type="gramStart"/>
      <w:r w:rsidRPr="00BF5B0E">
        <w:rPr>
          <w:rFonts w:ascii="標楷體" w:eastAsia="標楷體" w:hAnsi="標楷體" w:cs="微軟正黑體" w:hint="eastAsia"/>
          <w:spacing w:val="-2"/>
          <w:kern w:val="0"/>
          <w:szCs w:val="32"/>
        </w:rPr>
        <w:t>〕</w:t>
      </w:r>
      <w:proofErr w:type="gramEnd"/>
      <w:r w:rsidRPr="00BF5B0E">
        <w:rPr>
          <w:rFonts w:ascii="標楷體" w:eastAsia="標楷體" w:hAnsi="標楷體" w:cs="微軟正黑體" w:hint="eastAsia"/>
          <w:spacing w:val="-2"/>
          <w:kern w:val="0"/>
          <w:szCs w:val="32"/>
        </w:rPr>
        <w:t>。</w:t>
      </w:r>
    </w:p>
    <w:sectPr w:rsidR="00BF5B0E" w:rsidRPr="00BF5B0E" w:rsidSect="003C56B3">
      <w:footerReference w:type="even" r:id="rId10"/>
      <w:footerReference w:type="default" r:id="rId11"/>
      <w:pgSz w:w="11906" w:h="16838" w:code="9"/>
      <w:pgMar w:top="1418" w:right="851" w:bottom="1418" w:left="851" w:header="1021" w:footer="737" w:gutter="0"/>
      <w:pgNumType w:start="3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9D33F" w14:textId="77777777" w:rsidR="007674CE" w:rsidRDefault="007674CE" w:rsidP="007A278A">
      <w:r>
        <w:separator/>
      </w:r>
    </w:p>
  </w:endnote>
  <w:endnote w:type="continuationSeparator" w:id="0">
    <w:p w14:paraId="1F4714BF" w14:textId="77777777" w:rsidR="007674CE" w:rsidRDefault="007674CE" w:rsidP="007A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F852" w14:textId="77777777" w:rsidR="00226ABD" w:rsidRPr="00332BCC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  <w:r w:rsidRPr="00332BCC">
      <w:rPr>
        <w:rFonts w:ascii="標楷體" w:eastAsia="標楷體" w:hAnsi="標楷體" w:hint="eastAsia"/>
      </w:rPr>
      <w:t>乙-</w:t>
    </w:r>
    <w:sdt>
      <w:sdtPr>
        <w:rPr>
          <w:rFonts w:ascii="標楷體" w:eastAsia="標楷體" w:hAnsi="標楷體"/>
        </w:rPr>
        <w:id w:val="-2074963145"/>
        <w:docPartObj>
          <w:docPartGallery w:val="Page Numbers (Bottom of Page)"/>
          <w:docPartUnique/>
        </w:docPartObj>
      </w:sdtPr>
      <w:sdtEndPr/>
      <w:sdtContent>
        <w:r w:rsidRPr="00332BCC">
          <w:rPr>
            <w:rFonts w:ascii="標楷體" w:eastAsia="標楷體" w:hAnsi="標楷體"/>
          </w:rPr>
          <w:fldChar w:fldCharType="begin"/>
        </w:r>
        <w:r w:rsidRPr="00332BCC">
          <w:rPr>
            <w:rFonts w:ascii="標楷體" w:eastAsia="標楷體" w:hAnsi="標楷體"/>
          </w:rPr>
          <w:instrText>PAGE   \* MERGEFORMAT</w:instrText>
        </w:r>
        <w:r w:rsidRPr="00332BCC">
          <w:rPr>
            <w:rFonts w:ascii="標楷體" w:eastAsia="標楷體" w:hAnsi="標楷體"/>
          </w:rPr>
          <w:fldChar w:fldCharType="separate"/>
        </w:r>
        <w:r w:rsidR="00AA35D7" w:rsidRPr="00AA35D7">
          <w:rPr>
            <w:rFonts w:ascii="標楷體" w:hAnsi="標楷體"/>
            <w:noProof/>
            <w:lang w:val="zh-TW"/>
          </w:rPr>
          <w:t>358</w:t>
        </w:r>
        <w:r w:rsidRPr="00332BCC">
          <w:rPr>
            <w:rFonts w:ascii="標楷體" w:eastAsia="標楷體" w:hAnsi="標楷體"/>
          </w:rPr>
          <w:fldChar w:fldCharType="end"/>
        </w:r>
      </w:sdtContent>
    </w:sdt>
  </w:p>
  <w:p w14:paraId="46684C44" w14:textId="77777777" w:rsidR="00226ABD" w:rsidRPr="00332BCC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874F" w14:textId="77777777" w:rsidR="00226ABD" w:rsidRPr="00AA35D7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  <w:r w:rsidRPr="00AA35D7">
      <w:rPr>
        <w:rFonts w:ascii="標楷體" w:eastAsia="標楷體" w:hAnsi="標楷體" w:hint="eastAsia"/>
      </w:rPr>
      <w:t>乙-</w:t>
    </w:r>
    <w:sdt>
      <w:sdtPr>
        <w:rPr>
          <w:rFonts w:ascii="標楷體" w:eastAsia="標楷體" w:hAnsi="標楷體"/>
        </w:rPr>
        <w:id w:val="-1439905866"/>
        <w:docPartObj>
          <w:docPartGallery w:val="Page Numbers (Bottom of Page)"/>
          <w:docPartUnique/>
        </w:docPartObj>
      </w:sdtPr>
      <w:sdtEndPr/>
      <w:sdtContent>
        <w:r w:rsidRPr="00AA35D7">
          <w:rPr>
            <w:rFonts w:ascii="標楷體" w:eastAsia="標楷體" w:hAnsi="標楷體"/>
          </w:rPr>
          <w:fldChar w:fldCharType="begin"/>
        </w:r>
        <w:r w:rsidRPr="00AA35D7">
          <w:rPr>
            <w:rFonts w:ascii="標楷體" w:eastAsia="標楷體" w:hAnsi="標楷體"/>
          </w:rPr>
          <w:instrText>PAGE   \* MERGEFORMAT</w:instrText>
        </w:r>
        <w:r w:rsidRPr="00AA35D7">
          <w:rPr>
            <w:rFonts w:ascii="標楷體" w:eastAsia="標楷體" w:hAnsi="標楷體"/>
          </w:rPr>
          <w:fldChar w:fldCharType="separate"/>
        </w:r>
        <w:r w:rsidR="00AA35D7" w:rsidRPr="00AA35D7">
          <w:rPr>
            <w:rFonts w:ascii="標楷體" w:eastAsia="標楷體" w:hAnsi="標楷體"/>
            <w:noProof/>
            <w:lang w:val="zh-TW"/>
          </w:rPr>
          <w:t>359</w:t>
        </w:r>
        <w:r w:rsidRPr="00AA35D7">
          <w:rPr>
            <w:rFonts w:ascii="標楷體" w:eastAsia="標楷體" w:hAnsi="標楷體"/>
          </w:rPr>
          <w:fldChar w:fldCharType="end"/>
        </w:r>
      </w:sdtContent>
    </w:sdt>
  </w:p>
  <w:p w14:paraId="711DB731" w14:textId="77777777" w:rsidR="00226ABD" w:rsidRPr="00AA35D7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3D0A" w14:textId="77777777" w:rsidR="007674CE" w:rsidRDefault="007674CE" w:rsidP="007A278A">
      <w:r>
        <w:separator/>
      </w:r>
    </w:p>
  </w:footnote>
  <w:footnote w:type="continuationSeparator" w:id="0">
    <w:p w14:paraId="61D05720" w14:textId="77777777" w:rsidR="007674CE" w:rsidRDefault="007674CE" w:rsidP="007A2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14C3"/>
    <w:multiLevelType w:val="hybridMultilevel"/>
    <w:tmpl w:val="08E81D94"/>
    <w:lvl w:ilvl="0" w:tplc="534CEA0A">
      <w:start w:val="1"/>
      <w:numFmt w:val="decimal"/>
      <w:lvlText w:val="%1."/>
      <w:lvlJc w:val="left"/>
      <w:pPr>
        <w:ind w:left="360" w:hanging="360"/>
      </w:pPr>
      <w:rPr>
        <w:rFonts w:ascii="DFKaiShu-SB-Estd-BF" w:eastAsiaTheme="minorEastAsia" w:hAnsiTheme="minorHAnsi" w:cs="DFKaiShu-SB-Estd-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064DF6"/>
    <w:multiLevelType w:val="hybridMultilevel"/>
    <w:tmpl w:val="EC02A60C"/>
    <w:lvl w:ilvl="0" w:tplc="9E66446A">
      <w:start w:val="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6EC5C15"/>
    <w:multiLevelType w:val="hybridMultilevel"/>
    <w:tmpl w:val="6E5E84E6"/>
    <w:lvl w:ilvl="0" w:tplc="6324DE22">
      <w:start w:val="8"/>
      <w:numFmt w:val="bullet"/>
      <w:lvlText w:val="-"/>
      <w:lvlJc w:val="left"/>
      <w:pPr>
        <w:ind w:left="144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3" w15:restartNumberingAfterBreak="0">
    <w:nsid w:val="2DDE518D"/>
    <w:multiLevelType w:val="hybridMultilevel"/>
    <w:tmpl w:val="BDB6A500"/>
    <w:lvl w:ilvl="0" w:tplc="B2B2EDCE">
      <w:start w:val="8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43606B3D"/>
    <w:multiLevelType w:val="hybridMultilevel"/>
    <w:tmpl w:val="809070FE"/>
    <w:lvl w:ilvl="0" w:tplc="91805850">
      <w:start w:val="8"/>
      <w:numFmt w:val="bullet"/>
      <w:lvlText w:val="-"/>
      <w:lvlJc w:val="left"/>
      <w:pPr>
        <w:ind w:left="108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4DA911FC"/>
    <w:multiLevelType w:val="hybridMultilevel"/>
    <w:tmpl w:val="D3364AE4"/>
    <w:lvl w:ilvl="0" w:tplc="D9E6D1BC">
      <w:start w:val="1"/>
      <w:numFmt w:val="decimal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2" w:hanging="480"/>
      </w:pPr>
    </w:lvl>
    <w:lvl w:ilvl="2" w:tplc="0409001B" w:tentative="1">
      <w:start w:val="1"/>
      <w:numFmt w:val="lowerRoman"/>
      <w:lvlText w:val="%3."/>
      <w:lvlJc w:val="right"/>
      <w:pPr>
        <w:ind w:left="3992" w:hanging="480"/>
      </w:pPr>
    </w:lvl>
    <w:lvl w:ilvl="3" w:tplc="0409000F" w:tentative="1">
      <w:start w:val="1"/>
      <w:numFmt w:val="decimal"/>
      <w:lvlText w:val="%4."/>
      <w:lvlJc w:val="left"/>
      <w:pPr>
        <w:ind w:left="4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2" w:hanging="480"/>
      </w:pPr>
    </w:lvl>
    <w:lvl w:ilvl="5" w:tplc="0409001B" w:tentative="1">
      <w:start w:val="1"/>
      <w:numFmt w:val="lowerRoman"/>
      <w:lvlText w:val="%6."/>
      <w:lvlJc w:val="right"/>
      <w:pPr>
        <w:ind w:left="5432" w:hanging="480"/>
      </w:pPr>
    </w:lvl>
    <w:lvl w:ilvl="6" w:tplc="0409000F" w:tentative="1">
      <w:start w:val="1"/>
      <w:numFmt w:val="decimal"/>
      <w:lvlText w:val="%7."/>
      <w:lvlJc w:val="left"/>
      <w:pPr>
        <w:ind w:left="5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2" w:hanging="480"/>
      </w:pPr>
    </w:lvl>
    <w:lvl w:ilvl="8" w:tplc="0409001B" w:tentative="1">
      <w:start w:val="1"/>
      <w:numFmt w:val="lowerRoman"/>
      <w:lvlText w:val="%9."/>
      <w:lvlJc w:val="right"/>
      <w:pPr>
        <w:ind w:left="6872" w:hanging="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6dc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0"/>
    <w:rsid w:val="0000465B"/>
    <w:rsid w:val="000046FA"/>
    <w:rsid w:val="000076F9"/>
    <w:rsid w:val="00010C5F"/>
    <w:rsid w:val="00016FDB"/>
    <w:rsid w:val="000205BD"/>
    <w:rsid w:val="00033FEA"/>
    <w:rsid w:val="000421E9"/>
    <w:rsid w:val="00044248"/>
    <w:rsid w:val="00044D26"/>
    <w:rsid w:val="0004582B"/>
    <w:rsid w:val="00045FA9"/>
    <w:rsid w:val="000574D1"/>
    <w:rsid w:val="00061329"/>
    <w:rsid w:val="000643BF"/>
    <w:rsid w:val="00065D9A"/>
    <w:rsid w:val="0007216B"/>
    <w:rsid w:val="00073E15"/>
    <w:rsid w:val="000744A7"/>
    <w:rsid w:val="000803E7"/>
    <w:rsid w:val="00093397"/>
    <w:rsid w:val="00096944"/>
    <w:rsid w:val="000D00AA"/>
    <w:rsid w:val="000D0FBC"/>
    <w:rsid w:val="000D5EA0"/>
    <w:rsid w:val="000D7D72"/>
    <w:rsid w:val="000E169F"/>
    <w:rsid w:val="000F47DE"/>
    <w:rsid w:val="001036E3"/>
    <w:rsid w:val="00107710"/>
    <w:rsid w:val="00111CBA"/>
    <w:rsid w:val="00112195"/>
    <w:rsid w:val="00116A7D"/>
    <w:rsid w:val="00116CCE"/>
    <w:rsid w:val="00117D93"/>
    <w:rsid w:val="00125B59"/>
    <w:rsid w:val="00126B79"/>
    <w:rsid w:val="00141FC1"/>
    <w:rsid w:val="0017199E"/>
    <w:rsid w:val="001834EA"/>
    <w:rsid w:val="00187C4B"/>
    <w:rsid w:val="0019528C"/>
    <w:rsid w:val="001A190C"/>
    <w:rsid w:val="001A3FA4"/>
    <w:rsid w:val="001A7B0F"/>
    <w:rsid w:val="001B28E2"/>
    <w:rsid w:val="001B6022"/>
    <w:rsid w:val="001C4C53"/>
    <w:rsid w:val="001C662F"/>
    <w:rsid w:val="001D0A3C"/>
    <w:rsid w:val="001D636F"/>
    <w:rsid w:val="001E200D"/>
    <w:rsid w:val="001E2473"/>
    <w:rsid w:val="001F3383"/>
    <w:rsid w:val="001F37EE"/>
    <w:rsid w:val="0022182C"/>
    <w:rsid w:val="00225226"/>
    <w:rsid w:val="00226ABD"/>
    <w:rsid w:val="00227C1A"/>
    <w:rsid w:val="00227ED6"/>
    <w:rsid w:val="00231B61"/>
    <w:rsid w:val="002332F7"/>
    <w:rsid w:val="0023434E"/>
    <w:rsid w:val="0024374A"/>
    <w:rsid w:val="00243B86"/>
    <w:rsid w:val="00244621"/>
    <w:rsid w:val="00247F39"/>
    <w:rsid w:val="002667A2"/>
    <w:rsid w:val="0027273B"/>
    <w:rsid w:val="00274665"/>
    <w:rsid w:val="00284E3F"/>
    <w:rsid w:val="00293707"/>
    <w:rsid w:val="00294E8A"/>
    <w:rsid w:val="0029501E"/>
    <w:rsid w:val="002A7F8C"/>
    <w:rsid w:val="002B153E"/>
    <w:rsid w:val="002D15BD"/>
    <w:rsid w:val="002D2914"/>
    <w:rsid w:val="002D6DF5"/>
    <w:rsid w:val="002D757C"/>
    <w:rsid w:val="002E0471"/>
    <w:rsid w:val="002E173D"/>
    <w:rsid w:val="002E4F3D"/>
    <w:rsid w:val="002E695A"/>
    <w:rsid w:val="002F3014"/>
    <w:rsid w:val="002F36CD"/>
    <w:rsid w:val="00303376"/>
    <w:rsid w:val="003070A8"/>
    <w:rsid w:val="00326282"/>
    <w:rsid w:val="00333E13"/>
    <w:rsid w:val="00336C33"/>
    <w:rsid w:val="0034216F"/>
    <w:rsid w:val="00343CC0"/>
    <w:rsid w:val="00352CAE"/>
    <w:rsid w:val="00366107"/>
    <w:rsid w:val="00375C20"/>
    <w:rsid w:val="003A59A3"/>
    <w:rsid w:val="003B5A0F"/>
    <w:rsid w:val="003C0224"/>
    <w:rsid w:val="003C4172"/>
    <w:rsid w:val="003C56B3"/>
    <w:rsid w:val="003C7407"/>
    <w:rsid w:val="003D71B0"/>
    <w:rsid w:val="003E3022"/>
    <w:rsid w:val="003E4BB2"/>
    <w:rsid w:val="003F3047"/>
    <w:rsid w:val="003F55E8"/>
    <w:rsid w:val="003F599F"/>
    <w:rsid w:val="003F695B"/>
    <w:rsid w:val="00400946"/>
    <w:rsid w:val="0040548C"/>
    <w:rsid w:val="004139EA"/>
    <w:rsid w:val="004211EC"/>
    <w:rsid w:val="00425F73"/>
    <w:rsid w:val="00444504"/>
    <w:rsid w:val="00451C8A"/>
    <w:rsid w:val="0046184F"/>
    <w:rsid w:val="00465096"/>
    <w:rsid w:val="00475ECA"/>
    <w:rsid w:val="00476CD9"/>
    <w:rsid w:val="004820DB"/>
    <w:rsid w:val="00496833"/>
    <w:rsid w:val="004A09F6"/>
    <w:rsid w:val="004A6F0E"/>
    <w:rsid w:val="004C36B5"/>
    <w:rsid w:val="004E5EEF"/>
    <w:rsid w:val="004E62F5"/>
    <w:rsid w:val="004E7930"/>
    <w:rsid w:val="00507FC2"/>
    <w:rsid w:val="00511BC3"/>
    <w:rsid w:val="00514CF6"/>
    <w:rsid w:val="0052295D"/>
    <w:rsid w:val="00527AC9"/>
    <w:rsid w:val="005335A0"/>
    <w:rsid w:val="005367E0"/>
    <w:rsid w:val="0054076A"/>
    <w:rsid w:val="00543159"/>
    <w:rsid w:val="00547663"/>
    <w:rsid w:val="00550462"/>
    <w:rsid w:val="00555F16"/>
    <w:rsid w:val="0056540F"/>
    <w:rsid w:val="00571196"/>
    <w:rsid w:val="00591B90"/>
    <w:rsid w:val="005932CE"/>
    <w:rsid w:val="00596520"/>
    <w:rsid w:val="005A3ECB"/>
    <w:rsid w:val="005B3112"/>
    <w:rsid w:val="005C5E66"/>
    <w:rsid w:val="00600622"/>
    <w:rsid w:val="00607D57"/>
    <w:rsid w:val="00607E6A"/>
    <w:rsid w:val="00613198"/>
    <w:rsid w:val="006208F0"/>
    <w:rsid w:val="00625D4B"/>
    <w:rsid w:val="0062725F"/>
    <w:rsid w:val="00627E8F"/>
    <w:rsid w:val="00634464"/>
    <w:rsid w:val="00635B9D"/>
    <w:rsid w:val="006464BB"/>
    <w:rsid w:val="0065388D"/>
    <w:rsid w:val="00655566"/>
    <w:rsid w:val="006622D8"/>
    <w:rsid w:val="00667CD0"/>
    <w:rsid w:val="0067110D"/>
    <w:rsid w:val="006713CA"/>
    <w:rsid w:val="0068572D"/>
    <w:rsid w:val="00692062"/>
    <w:rsid w:val="006B024B"/>
    <w:rsid w:val="006B2BCE"/>
    <w:rsid w:val="006B7638"/>
    <w:rsid w:val="006C6B02"/>
    <w:rsid w:val="006D5BF6"/>
    <w:rsid w:val="006F3B54"/>
    <w:rsid w:val="006F7FD5"/>
    <w:rsid w:val="00704A25"/>
    <w:rsid w:val="007103FD"/>
    <w:rsid w:val="007179C3"/>
    <w:rsid w:val="00727812"/>
    <w:rsid w:val="0073274B"/>
    <w:rsid w:val="007333D7"/>
    <w:rsid w:val="00733765"/>
    <w:rsid w:val="00742770"/>
    <w:rsid w:val="00743248"/>
    <w:rsid w:val="007479D8"/>
    <w:rsid w:val="007514EA"/>
    <w:rsid w:val="00752F10"/>
    <w:rsid w:val="00753971"/>
    <w:rsid w:val="00766F59"/>
    <w:rsid w:val="007674CE"/>
    <w:rsid w:val="00772BF6"/>
    <w:rsid w:val="007A278A"/>
    <w:rsid w:val="007B06DB"/>
    <w:rsid w:val="007C2B24"/>
    <w:rsid w:val="007C32DC"/>
    <w:rsid w:val="007C401A"/>
    <w:rsid w:val="007C4754"/>
    <w:rsid w:val="007C5A09"/>
    <w:rsid w:val="007C64B0"/>
    <w:rsid w:val="007C7C76"/>
    <w:rsid w:val="007D1FD4"/>
    <w:rsid w:val="007D2706"/>
    <w:rsid w:val="007D2C3F"/>
    <w:rsid w:val="007E3994"/>
    <w:rsid w:val="007E3E6D"/>
    <w:rsid w:val="007E72AC"/>
    <w:rsid w:val="007E7426"/>
    <w:rsid w:val="007E751A"/>
    <w:rsid w:val="007F29ED"/>
    <w:rsid w:val="007F2A6E"/>
    <w:rsid w:val="008050F6"/>
    <w:rsid w:val="00805516"/>
    <w:rsid w:val="0081545F"/>
    <w:rsid w:val="00823703"/>
    <w:rsid w:val="008276E4"/>
    <w:rsid w:val="0083072F"/>
    <w:rsid w:val="00831602"/>
    <w:rsid w:val="008323C8"/>
    <w:rsid w:val="00833848"/>
    <w:rsid w:val="008600B4"/>
    <w:rsid w:val="00881388"/>
    <w:rsid w:val="00886FC3"/>
    <w:rsid w:val="00892E63"/>
    <w:rsid w:val="00896FD5"/>
    <w:rsid w:val="008A5A6A"/>
    <w:rsid w:val="008B35B2"/>
    <w:rsid w:val="008B39BF"/>
    <w:rsid w:val="008B45C1"/>
    <w:rsid w:val="008B60B5"/>
    <w:rsid w:val="008C08E1"/>
    <w:rsid w:val="008C2B62"/>
    <w:rsid w:val="008D177F"/>
    <w:rsid w:val="008D6FF0"/>
    <w:rsid w:val="008E547C"/>
    <w:rsid w:val="008E58D8"/>
    <w:rsid w:val="008E608A"/>
    <w:rsid w:val="008F2591"/>
    <w:rsid w:val="008F2ED7"/>
    <w:rsid w:val="008F35F6"/>
    <w:rsid w:val="00915173"/>
    <w:rsid w:val="00934DC1"/>
    <w:rsid w:val="0093547C"/>
    <w:rsid w:val="00963E4F"/>
    <w:rsid w:val="0096471A"/>
    <w:rsid w:val="0096551F"/>
    <w:rsid w:val="009666F7"/>
    <w:rsid w:val="009827AD"/>
    <w:rsid w:val="00983962"/>
    <w:rsid w:val="009847B7"/>
    <w:rsid w:val="009A0B86"/>
    <w:rsid w:val="009A5042"/>
    <w:rsid w:val="009A53D6"/>
    <w:rsid w:val="009A5D29"/>
    <w:rsid w:val="009A7135"/>
    <w:rsid w:val="009B1889"/>
    <w:rsid w:val="009C02D5"/>
    <w:rsid w:val="009C3BB4"/>
    <w:rsid w:val="009E0009"/>
    <w:rsid w:val="009E1070"/>
    <w:rsid w:val="009E5028"/>
    <w:rsid w:val="009E74BA"/>
    <w:rsid w:val="009F415B"/>
    <w:rsid w:val="009F7EB6"/>
    <w:rsid w:val="00A014E6"/>
    <w:rsid w:val="00A0159E"/>
    <w:rsid w:val="00A1124F"/>
    <w:rsid w:val="00A173B1"/>
    <w:rsid w:val="00A20E98"/>
    <w:rsid w:val="00A33791"/>
    <w:rsid w:val="00A40F5E"/>
    <w:rsid w:val="00A41738"/>
    <w:rsid w:val="00A4257B"/>
    <w:rsid w:val="00A4419D"/>
    <w:rsid w:val="00A51CCC"/>
    <w:rsid w:val="00A66C1B"/>
    <w:rsid w:val="00A821B4"/>
    <w:rsid w:val="00AA3044"/>
    <w:rsid w:val="00AA35D7"/>
    <w:rsid w:val="00AA5002"/>
    <w:rsid w:val="00AB096C"/>
    <w:rsid w:val="00AB236E"/>
    <w:rsid w:val="00AB7660"/>
    <w:rsid w:val="00B12920"/>
    <w:rsid w:val="00B12B79"/>
    <w:rsid w:val="00B152E1"/>
    <w:rsid w:val="00B23644"/>
    <w:rsid w:val="00B27BD1"/>
    <w:rsid w:val="00B32E8B"/>
    <w:rsid w:val="00B35C5D"/>
    <w:rsid w:val="00B415DC"/>
    <w:rsid w:val="00B525D7"/>
    <w:rsid w:val="00B54B91"/>
    <w:rsid w:val="00B61B78"/>
    <w:rsid w:val="00B64B0C"/>
    <w:rsid w:val="00B70BD5"/>
    <w:rsid w:val="00B71561"/>
    <w:rsid w:val="00B80C6D"/>
    <w:rsid w:val="00B840D7"/>
    <w:rsid w:val="00B84CA2"/>
    <w:rsid w:val="00B958A9"/>
    <w:rsid w:val="00BB77E3"/>
    <w:rsid w:val="00BC52DA"/>
    <w:rsid w:val="00BE05EC"/>
    <w:rsid w:val="00BE4D5F"/>
    <w:rsid w:val="00BF2270"/>
    <w:rsid w:val="00BF5B0E"/>
    <w:rsid w:val="00C0460E"/>
    <w:rsid w:val="00C04688"/>
    <w:rsid w:val="00C05A6A"/>
    <w:rsid w:val="00C064EC"/>
    <w:rsid w:val="00C16518"/>
    <w:rsid w:val="00C17320"/>
    <w:rsid w:val="00C23EF9"/>
    <w:rsid w:val="00C24976"/>
    <w:rsid w:val="00C30963"/>
    <w:rsid w:val="00C322A9"/>
    <w:rsid w:val="00C54002"/>
    <w:rsid w:val="00C629CE"/>
    <w:rsid w:val="00C7297D"/>
    <w:rsid w:val="00C8122D"/>
    <w:rsid w:val="00C81532"/>
    <w:rsid w:val="00CA0446"/>
    <w:rsid w:val="00CA2CA7"/>
    <w:rsid w:val="00CA5875"/>
    <w:rsid w:val="00CB25D5"/>
    <w:rsid w:val="00CC29B0"/>
    <w:rsid w:val="00CC42E5"/>
    <w:rsid w:val="00CC6E4D"/>
    <w:rsid w:val="00CD1852"/>
    <w:rsid w:val="00CD4947"/>
    <w:rsid w:val="00CF2EC3"/>
    <w:rsid w:val="00CF726D"/>
    <w:rsid w:val="00D000C8"/>
    <w:rsid w:val="00D01B7C"/>
    <w:rsid w:val="00D0404F"/>
    <w:rsid w:val="00D12789"/>
    <w:rsid w:val="00D17D14"/>
    <w:rsid w:val="00D2367B"/>
    <w:rsid w:val="00D259F1"/>
    <w:rsid w:val="00D33527"/>
    <w:rsid w:val="00D373B4"/>
    <w:rsid w:val="00D37CBF"/>
    <w:rsid w:val="00D43B22"/>
    <w:rsid w:val="00D4772D"/>
    <w:rsid w:val="00D574CE"/>
    <w:rsid w:val="00D57BD1"/>
    <w:rsid w:val="00D6389C"/>
    <w:rsid w:val="00D66F61"/>
    <w:rsid w:val="00D71B93"/>
    <w:rsid w:val="00D71CAB"/>
    <w:rsid w:val="00D753F1"/>
    <w:rsid w:val="00D87599"/>
    <w:rsid w:val="00DB5317"/>
    <w:rsid w:val="00DF3E25"/>
    <w:rsid w:val="00DF6766"/>
    <w:rsid w:val="00E16320"/>
    <w:rsid w:val="00E303D3"/>
    <w:rsid w:val="00E31FE4"/>
    <w:rsid w:val="00E4060E"/>
    <w:rsid w:val="00E43612"/>
    <w:rsid w:val="00E51D72"/>
    <w:rsid w:val="00E531F8"/>
    <w:rsid w:val="00E84162"/>
    <w:rsid w:val="00EA4DC5"/>
    <w:rsid w:val="00EB1F42"/>
    <w:rsid w:val="00EB3E1E"/>
    <w:rsid w:val="00EB43B8"/>
    <w:rsid w:val="00EB626B"/>
    <w:rsid w:val="00EB6936"/>
    <w:rsid w:val="00EC5A8E"/>
    <w:rsid w:val="00ED1D81"/>
    <w:rsid w:val="00EE0E1A"/>
    <w:rsid w:val="00EE21A1"/>
    <w:rsid w:val="00EE63A8"/>
    <w:rsid w:val="00F023E1"/>
    <w:rsid w:val="00F03CAA"/>
    <w:rsid w:val="00F0599D"/>
    <w:rsid w:val="00F0631F"/>
    <w:rsid w:val="00F15B9D"/>
    <w:rsid w:val="00F32799"/>
    <w:rsid w:val="00F45C88"/>
    <w:rsid w:val="00F6071B"/>
    <w:rsid w:val="00F67815"/>
    <w:rsid w:val="00F70E5D"/>
    <w:rsid w:val="00F72992"/>
    <w:rsid w:val="00F804B2"/>
    <w:rsid w:val="00F840E0"/>
    <w:rsid w:val="00F842BA"/>
    <w:rsid w:val="00F93551"/>
    <w:rsid w:val="00F94DF0"/>
    <w:rsid w:val="00F95F18"/>
    <w:rsid w:val="00FA03D9"/>
    <w:rsid w:val="00FA3706"/>
    <w:rsid w:val="00FB02C7"/>
    <w:rsid w:val="00FB0A9C"/>
    <w:rsid w:val="00FB1AB8"/>
    <w:rsid w:val="00FB2FF8"/>
    <w:rsid w:val="00FB4596"/>
    <w:rsid w:val="00FB5087"/>
    <w:rsid w:val="00FB6D7A"/>
    <w:rsid w:val="00FB7628"/>
    <w:rsid w:val="00FC37C3"/>
    <w:rsid w:val="00FC75A6"/>
    <w:rsid w:val="00FC7DBA"/>
    <w:rsid w:val="00FD4994"/>
    <w:rsid w:val="00FE41F8"/>
    <w:rsid w:val="00FF21BB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6dc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07026243"/>
  <w15:chartTrackingRefBased/>
  <w15:docId w15:val="{1D6E0186-AC31-4AF0-AE73-480F2C5B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CD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A278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A278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5A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A5A6A"/>
    <w:rPr>
      <w:rFonts w:asciiTheme="majorHAnsi" w:eastAsiaTheme="majorEastAsia" w:hAnsiTheme="majorHAnsi" w:cstheme="majorBid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4618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46184F"/>
    <w:rPr>
      <w:rFonts w:ascii="細明體" w:eastAsia="細明體" w:hAnsi="細明體" w:cs="細明體"/>
      <w:kern w:val="0"/>
      <w:szCs w:val="24"/>
    </w:rPr>
  </w:style>
  <w:style w:type="character" w:customStyle="1" w:styleId="fontstyle01">
    <w:name w:val="fontstyle01"/>
    <w:basedOn w:val="a0"/>
    <w:rsid w:val="008F35F6"/>
    <w:rPr>
      <w:rFonts w:ascii="標楷體" w:eastAsia="標楷體" w:hAnsi="標楷體" w:hint="eastAsia"/>
      <w:b w:val="0"/>
      <w:bCs w:val="0"/>
      <w:i w:val="0"/>
      <w:iCs w:val="0"/>
      <w:color w:val="FF0000"/>
      <w:sz w:val="32"/>
      <w:szCs w:val="32"/>
    </w:rPr>
  </w:style>
  <w:style w:type="paragraph" w:styleId="aa">
    <w:name w:val="Revision"/>
    <w:hidden/>
    <w:uiPriority w:val="99"/>
    <w:semiHidden/>
    <w:rsid w:val="009E7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758734765932219"/>
          <c:y val="0.19297470169170031"/>
          <c:w val="0.75634599605579467"/>
          <c:h val="0.575677893204525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'Sheet1 (3)'!$A$2</c:f>
              <c:strCache>
                <c:ptCount val="1"/>
                <c:pt idx="0">
                  <c:v>基金來源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 cap="rnd">
              <a:noFill/>
              <a:bevel/>
            </a:ln>
            <a:effectLst/>
          </c:spPr>
          <c:invertIfNegative val="0"/>
          <c:dLbls>
            <c:dLbl>
              <c:idx val="0"/>
              <c:layout>
                <c:manualLayout>
                  <c:x val="-7.1428571428571756E-3"/>
                  <c:y val="0.1159663865546218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32E-4179-AF19-5D8B5A7CBA77}"/>
                </c:ext>
              </c:extLst>
            </c:dLbl>
            <c:dLbl>
              <c:idx val="1"/>
              <c:layout>
                <c:manualLayout>
                  <c:x val="-7.1428571428571426E-3"/>
                  <c:y val="0.115966386554621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32E-4179-AF19-5D8B5A7CBA77}"/>
                </c:ext>
              </c:extLst>
            </c:dLbl>
            <c:dLbl>
              <c:idx val="2"/>
              <c:layout>
                <c:manualLayout>
                  <c:x val="-7.1428571428571426E-3"/>
                  <c:y val="0.1159663865546218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32E-4179-AF19-5D8B5A7CBA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'Sheet1 (3)'!$B$1:$D$1</c:f>
              <c:numCache>
                <c:formatCode>General</c:formatCode>
                <c:ptCount val="3"/>
                <c:pt idx="0">
                  <c:v>111</c:v>
                </c:pt>
                <c:pt idx="1">
                  <c:v>112</c:v>
                </c:pt>
                <c:pt idx="2">
                  <c:v>113</c:v>
                </c:pt>
              </c:numCache>
            </c:numRef>
          </c:cat>
          <c:val>
            <c:numRef>
              <c:f>'Sheet1 (3)'!$B$2:$D$2</c:f>
              <c:numCache>
                <c:formatCode>_-* #,##0_-;\-* #,##0_-;_-* "-"??_-;_-@_-</c:formatCode>
                <c:ptCount val="3"/>
                <c:pt idx="0">
                  <c:v>335</c:v>
                </c:pt>
                <c:pt idx="1">
                  <c:v>410</c:v>
                </c:pt>
                <c:pt idx="2">
                  <c:v>485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32E-4179-AF19-5D8B5A7CBA77}"/>
            </c:ext>
          </c:extLst>
        </c:ser>
        <c:ser>
          <c:idx val="1"/>
          <c:order val="1"/>
          <c:tx>
            <c:strRef>
              <c:f>'Sheet1 (3)'!$A$3</c:f>
              <c:strCache>
                <c:ptCount val="1"/>
                <c:pt idx="0">
                  <c:v>金融業營業稅分配收入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7.1428571428571756E-3"/>
                  <c:y val="0.1159663865546218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32E-4179-AF19-5D8B5A7CBA77}"/>
                </c:ext>
              </c:extLst>
            </c:dLbl>
            <c:dLbl>
              <c:idx val="1"/>
              <c:layout>
                <c:manualLayout>
                  <c:x val="-7.1428571428572086E-3"/>
                  <c:y val="0.1159663865546218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32E-4179-AF19-5D8B5A7CBA77}"/>
                </c:ext>
              </c:extLst>
            </c:dLbl>
            <c:dLbl>
              <c:idx val="2"/>
              <c:layout>
                <c:manualLayout>
                  <c:x val="-7.1428571428571426E-3"/>
                  <c:y val="0.1159663865546218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32E-4179-AF19-5D8B5A7CBA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'Sheet1 (3)'!$B$1:$D$1</c:f>
              <c:numCache>
                <c:formatCode>General</c:formatCode>
                <c:ptCount val="3"/>
                <c:pt idx="0">
                  <c:v>111</c:v>
                </c:pt>
                <c:pt idx="1">
                  <c:v>112</c:v>
                </c:pt>
                <c:pt idx="2">
                  <c:v>113</c:v>
                </c:pt>
              </c:numCache>
            </c:numRef>
          </c:cat>
          <c:val>
            <c:numRef>
              <c:f>'Sheet1 (3)'!$B$3:$D$3</c:f>
              <c:numCache>
                <c:formatCode>_-* #,##0_-;\-* #,##0_-;_-* "-"??_-;_-@_-</c:formatCode>
                <c:ptCount val="3"/>
                <c:pt idx="0">
                  <c:v>308</c:v>
                </c:pt>
                <c:pt idx="1">
                  <c:v>376</c:v>
                </c:pt>
                <c:pt idx="2">
                  <c:v>443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E32E-4179-AF19-5D8B5A7CBA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8081631"/>
        <c:axId val="278087039"/>
      </c:barChart>
      <c:lineChart>
        <c:grouping val="standard"/>
        <c:varyColors val="0"/>
        <c:ser>
          <c:idx val="2"/>
          <c:order val="2"/>
          <c:tx>
            <c:strRef>
              <c:f>'Sheet1 (3)'!$A$4</c:f>
              <c:strCache>
                <c:ptCount val="1"/>
                <c:pt idx="0">
                  <c:v>占比</c:v>
                </c:pt>
              </c:strCache>
            </c:strRef>
          </c:tx>
          <c:spPr>
            <a:ln w="28575" cap="rnd">
              <a:solidFill>
                <a:schemeClr val="tx1">
                  <a:lumMod val="65000"/>
                  <a:lumOff val="35000"/>
                </a:schemeClr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bg1"/>
              </a:solidFill>
              <a:ln w="19050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</c:marker>
          <c:dPt>
            <c:idx val="1"/>
            <c:marker>
              <c:symbol val="triangle"/>
              <c:size val="7"/>
              <c:spPr>
                <a:solidFill>
                  <a:schemeClr val="bg1"/>
                </a:solidFill>
                <a:ln w="19050">
                  <a:solidFill>
                    <a:schemeClr val="tx1">
                      <a:lumMod val="65000"/>
                      <a:lumOff val="35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9-E32E-4179-AF19-5D8B5A7CBA77}"/>
              </c:ext>
            </c:extLst>
          </c:dPt>
          <c:dPt>
            <c:idx val="2"/>
            <c:marker>
              <c:symbol val="triangle"/>
              <c:size val="7"/>
              <c:spPr>
                <a:solidFill>
                  <a:schemeClr val="bg1"/>
                </a:solidFill>
                <a:ln w="19050">
                  <a:solidFill>
                    <a:schemeClr val="tx1">
                      <a:lumMod val="65000"/>
                      <a:lumOff val="35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B-E32E-4179-AF19-5D8B5A7CBA7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'Sheet1 (3)'!$B$1:$D$1</c:f>
              <c:numCache>
                <c:formatCode>General</c:formatCode>
                <c:ptCount val="3"/>
                <c:pt idx="0">
                  <c:v>111</c:v>
                </c:pt>
                <c:pt idx="1">
                  <c:v>112</c:v>
                </c:pt>
                <c:pt idx="2">
                  <c:v>113</c:v>
                </c:pt>
              </c:numCache>
            </c:numRef>
          </c:cat>
          <c:val>
            <c:numRef>
              <c:f>'Sheet1 (3)'!$B$4:$D$4</c:f>
              <c:numCache>
                <c:formatCode>General</c:formatCode>
                <c:ptCount val="3"/>
                <c:pt idx="0">
                  <c:v>91.87</c:v>
                </c:pt>
                <c:pt idx="1">
                  <c:v>91.77</c:v>
                </c:pt>
                <c:pt idx="2" formatCode="0.00_ ">
                  <c:v>91.5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E32E-4179-AF19-5D8B5A7CBA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082879"/>
        <c:axId val="278087455"/>
      </c:lineChart>
      <c:catAx>
        <c:axId val="27808163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r>
                  <a:rPr lang="zh-TW" altLang="en-US">
                    <a:solidFill>
                      <a:sysClr val="windowText" lastClr="000000"/>
                    </a:solidFill>
                  </a:rPr>
                  <a:t>年度</a:t>
                </a:r>
              </a:p>
            </c:rich>
          </c:tx>
          <c:layout>
            <c:manualLayout>
              <c:xMode val="edge"/>
              <c:yMode val="edge"/>
              <c:x val="0.81660282742204171"/>
              <c:y val="0.7763421828908555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標楷體" panose="03000509000000000000" pitchFamily="65" charset="-120"/>
                  <a:ea typeface="標楷體" panose="03000509000000000000" pitchFamily="65" charset="-120"/>
                  <a:cs typeface="+mn-cs"/>
                </a:defRPr>
              </a:pPr>
              <a:endParaRPr lang="zh-TW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78087039"/>
        <c:crossesAt val="0"/>
        <c:auto val="1"/>
        <c:lblAlgn val="ctr"/>
        <c:lblOffset val="100"/>
        <c:noMultiLvlLbl val="0"/>
      </c:catAx>
      <c:valAx>
        <c:axId val="278087039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r>
                  <a:rPr lang="zh-TW" altLang="en-US">
                    <a:solidFill>
                      <a:schemeClr val="tx1"/>
                    </a:solidFill>
                  </a:rPr>
                  <a:t>億元</a:t>
                </a:r>
              </a:p>
            </c:rich>
          </c:tx>
          <c:layout>
            <c:manualLayout>
              <c:xMode val="edge"/>
              <c:yMode val="edge"/>
              <c:x val="3.5669205782453584E-2"/>
              <c:y val="2.4432548973754232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標楷體" panose="03000509000000000000" pitchFamily="65" charset="-120"/>
                  <a:ea typeface="標楷體" panose="03000509000000000000" pitchFamily="65" charset="-120"/>
                  <a:cs typeface="+mn-cs"/>
                </a:defRPr>
              </a:pPr>
              <a:endParaRPr lang="zh-TW"/>
            </a:p>
          </c:txPr>
        </c:title>
        <c:numFmt formatCode="#,##0_);[Red]\(#,##0\)" sourceLinked="0"/>
        <c:majorTickMark val="in"/>
        <c:minorTickMark val="none"/>
        <c:tickLblPos val="nextTo"/>
        <c:spPr>
          <a:noFill/>
          <a:ln w="9525" cap="flat" cmpd="sng" algn="ctr">
            <a:solidFill>
              <a:schemeClr val="dk1">
                <a:shade val="95000"/>
                <a:satMod val="105000"/>
              </a:schemeClr>
            </a:solidFill>
            <a:prstDash val="solid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78081631"/>
        <c:crosses val="autoZero"/>
        <c:crossBetween val="between"/>
        <c:majorUnit val="150"/>
      </c:valAx>
      <c:valAx>
        <c:axId val="278087455"/>
        <c:scaling>
          <c:orientation val="minMax"/>
          <c:min val="0"/>
        </c:scaling>
        <c:delete val="0"/>
        <c:axPos val="r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r>
                  <a:rPr lang="zh-TW" altLang="en-US">
                    <a:solidFill>
                      <a:schemeClr val="tx1"/>
                    </a:solidFill>
                  </a:rPr>
                  <a:t>％</a:t>
                </a:r>
              </a:p>
            </c:rich>
          </c:tx>
          <c:layout>
            <c:manualLayout>
              <c:xMode val="edge"/>
              <c:yMode val="edge"/>
              <c:x val="0.92052405980943797"/>
              <c:y val="2.4729713928823005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標楷體" panose="03000509000000000000" pitchFamily="65" charset="-120"/>
                  <a:ea typeface="標楷體" panose="03000509000000000000" pitchFamily="65" charset="-120"/>
                  <a:cs typeface="+mn-cs"/>
                </a:defRPr>
              </a:pPr>
              <a:endParaRPr lang="zh-TW"/>
            </a:p>
          </c:tx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dk1">
                <a:shade val="95000"/>
                <a:satMod val="105000"/>
              </a:schemeClr>
            </a:solidFill>
            <a:prstDash val="solid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78082879"/>
        <c:crosses val="max"/>
        <c:crossBetween val="between"/>
        <c:majorUnit val="25"/>
      </c:valAx>
      <c:catAx>
        <c:axId val="278082879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78087455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135A9-672F-45FC-BE4F-AEBE1156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3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賴玫蓁</dc:creator>
  <cp:keywords/>
  <dc:description/>
  <cp:lastModifiedBy>吳怡霈</cp:lastModifiedBy>
  <cp:revision>81</cp:revision>
  <cp:lastPrinted>2025-07-05T13:08:00Z</cp:lastPrinted>
  <dcterms:created xsi:type="dcterms:W3CDTF">2025-06-06T01:42:00Z</dcterms:created>
  <dcterms:modified xsi:type="dcterms:W3CDTF">2025-07-07T12:46:00Z</dcterms:modified>
</cp:coreProperties>
</file>